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6373A">
              <w:fldChar w:fldCharType="begin"/>
            </w:r>
            <w:r w:rsidR="0096373A">
              <w:instrText xml:space="preserve"> FILLIN  "Введите символ после ЕCE/"  \* MERGEFORMAT </w:instrText>
            </w:r>
            <w:r w:rsidR="0096373A">
              <w:fldChar w:fldCharType="separate"/>
            </w:r>
            <w:r w:rsidR="00CA0BB8">
              <w:t>TRANS/WP.15/AC.1/2016/19</w:t>
            </w:r>
            <w:r w:rsidR="0096373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A0BB8">
              <w:t xml:space="preserve">29 </w:t>
            </w:r>
            <w:proofErr w:type="spellStart"/>
            <w:r w:rsidR="00CA0BB8">
              <w:t>June</w:t>
            </w:r>
            <w:proofErr w:type="spellEnd"/>
            <w:r w:rsidR="00CA0BB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77E8" w:rsidRDefault="007A77E8" w:rsidP="007A77E8">
      <w:pPr>
        <w:spacing w:before="120"/>
        <w:rPr>
          <w:sz w:val="28"/>
          <w:szCs w:val="28"/>
        </w:rPr>
      </w:pPr>
      <w:r>
        <w:rPr>
          <w:sz w:val="28"/>
        </w:rPr>
        <w:t>Комитет по внутреннему транспорту</w:t>
      </w:r>
    </w:p>
    <w:p w:rsidR="007A77E8" w:rsidRDefault="007A77E8" w:rsidP="007A77E8">
      <w:pPr>
        <w:spacing w:before="120" w:after="120"/>
        <w:rPr>
          <w:b/>
          <w:sz w:val="24"/>
          <w:szCs w:val="24"/>
        </w:rPr>
      </w:pPr>
      <w:r>
        <w:rPr>
          <w:b/>
          <w:sz w:val="24"/>
        </w:rPr>
        <w:t>Рабочая группа по перевозкам опасных грузов</w:t>
      </w:r>
    </w:p>
    <w:p w:rsidR="007A77E8" w:rsidRDefault="007A77E8" w:rsidP="007A77E8">
      <w:pPr>
        <w:rPr>
          <w:b/>
        </w:rPr>
      </w:pPr>
      <w:r>
        <w:rPr>
          <w:b/>
        </w:rPr>
        <w:t>Совместное совещание Комиссии экспертов МПОГ и</w:t>
      </w:r>
    </w:p>
    <w:p w:rsidR="007A77E8" w:rsidRDefault="007A77E8" w:rsidP="007A77E8">
      <w:pPr>
        <w:rPr>
          <w:b/>
        </w:rPr>
      </w:pPr>
      <w:r>
        <w:rPr>
          <w:b/>
        </w:rPr>
        <w:t>Рабочей группы по перевозкам опасных грузов</w:t>
      </w:r>
    </w:p>
    <w:p w:rsidR="007A77E8" w:rsidRDefault="007A77E8" w:rsidP="007A77E8">
      <w:r>
        <w:t>Женева, 19–23 сентября 2016 года</w:t>
      </w:r>
    </w:p>
    <w:p w:rsidR="007A77E8" w:rsidRDefault="007A77E8" w:rsidP="007A77E8">
      <w:r>
        <w:t>Пункт 6 предварительной повестки дня</w:t>
      </w:r>
    </w:p>
    <w:p w:rsidR="007A77E8" w:rsidRPr="00BB7CD1" w:rsidRDefault="007A77E8" w:rsidP="007A77E8">
      <w:pPr>
        <w:rPr>
          <w:b/>
        </w:rPr>
      </w:pPr>
      <w:r>
        <w:rPr>
          <w:b/>
        </w:rPr>
        <w:t>Доклады неофициальных рабочих групп</w:t>
      </w:r>
    </w:p>
    <w:p w:rsidR="007A77E8" w:rsidRDefault="007A77E8" w:rsidP="007A77E8">
      <w:pPr>
        <w:pStyle w:val="HChGR"/>
      </w:pPr>
      <w:r>
        <w:tab/>
      </w:r>
      <w:r>
        <w:tab/>
        <w:t>Доклад неофициальной рабочей группы по перевозке отходов электрического и электронного оборудования, содержащего литиевые батареи</w:t>
      </w:r>
    </w:p>
    <w:p w:rsidR="007A77E8" w:rsidRDefault="007A77E8" w:rsidP="007A77E8">
      <w:pPr>
        <w:pStyle w:val="H1GR"/>
      </w:pPr>
      <w:r>
        <w:tab/>
      </w:r>
      <w:r>
        <w:tab/>
        <w:t>Передано правительством Германии</w:t>
      </w:r>
      <w:r w:rsidRPr="007A77E8">
        <w:rPr>
          <w:rStyle w:val="FootnoteReference"/>
          <w:b w:val="0"/>
          <w:sz w:val="20"/>
        </w:rPr>
        <w:footnoteReference w:id="1"/>
      </w:r>
      <w:r w:rsidR="003C42F4" w:rsidRPr="003C42F4">
        <w:rPr>
          <w:b w:val="0"/>
          <w:sz w:val="20"/>
          <w:vertAlign w:val="superscript"/>
        </w:rPr>
        <w:t>,</w:t>
      </w:r>
      <w:r>
        <w:rPr>
          <w:sz w:val="18"/>
        </w:rPr>
        <w:t xml:space="preserve"> </w:t>
      </w:r>
      <w:r w:rsidRPr="007A77E8">
        <w:rPr>
          <w:rStyle w:val="FootnoteReference"/>
          <w:b w:val="0"/>
          <w:sz w:val="20"/>
        </w:rPr>
        <w:footnoteReference w:id="2"/>
      </w:r>
      <w:r>
        <w:t xml:space="preserve"> </w:t>
      </w:r>
    </w:p>
    <w:p w:rsidR="007A77E8" w:rsidRPr="005C059E" w:rsidRDefault="007A77E8" w:rsidP="007A77E8">
      <w:pPr>
        <w:pStyle w:val="HChGR"/>
      </w:pPr>
      <w:r>
        <w:tab/>
      </w:r>
      <w:r>
        <w:tab/>
        <w:t>Введение</w:t>
      </w:r>
    </w:p>
    <w:p w:rsidR="007A77E8" w:rsidRDefault="007A77E8" w:rsidP="007A77E8">
      <w:pPr>
        <w:pStyle w:val="SingleTxtGR"/>
      </w:pPr>
      <w:r>
        <w:t>1.</w:t>
      </w:r>
      <w:r>
        <w:tab/>
        <w:t>Неофициальная рабочая группа по перевозке отходов электрического и электронного оборудования, содержащего литиевые батареи, провела свое вт</w:t>
      </w:r>
      <w:r>
        <w:t>о</w:t>
      </w:r>
      <w:r>
        <w:t>рое совещание 27 и 28 апреля 2016 года в Бонне. Доклад этой неофициальной рабочей группы (по ОЭЭО) представлен в приложении.</w:t>
      </w:r>
    </w:p>
    <w:p w:rsidR="007A77E8" w:rsidRPr="005C059E" w:rsidRDefault="007A77E8" w:rsidP="007A77E8">
      <w:pPr>
        <w:pStyle w:val="HChGR"/>
      </w:pPr>
      <w:r>
        <w:tab/>
      </w:r>
      <w:r>
        <w:tab/>
        <w:t>Предложение</w:t>
      </w:r>
    </w:p>
    <w:p w:rsidR="007A77E8" w:rsidRPr="005C059E" w:rsidRDefault="007A77E8" w:rsidP="00771E68">
      <w:pPr>
        <w:pStyle w:val="SingleTxtGR"/>
      </w:pPr>
      <w:r>
        <w:t>2.</w:t>
      </w:r>
      <w:r>
        <w:tab/>
        <w:t>Совместному совещанию предлагается принять к сведению прилагаемый доклад и принять решение по предлагаемым поправкам (пункт 29).</w:t>
      </w:r>
    </w:p>
    <w:p w:rsidR="007A77E8" w:rsidRPr="00457CB3" w:rsidRDefault="007A77E8" w:rsidP="00C82F15">
      <w:pPr>
        <w:pStyle w:val="HChGR"/>
        <w:rPr>
          <w:rFonts w:ascii="Cambria" w:eastAsia="MS Mincho" w:hAnsi="Cambria"/>
          <w:sz w:val="24"/>
          <w:szCs w:val="24"/>
          <w:u w:val="single"/>
        </w:rPr>
      </w:pPr>
      <w:r>
        <w:br w:type="page"/>
      </w:r>
      <w:r>
        <w:lastRenderedPageBreak/>
        <w:tab/>
      </w:r>
      <w:r>
        <w:tab/>
        <w:t>Доклад неофициальной рабочей группы по перевозке отходов электрического и электронного оборудования, содержащего литиевые батареи</w:t>
      </w:r>
    </w:p>
    <w:p w:rsidR="007A77E8" w:rsidRPr="00457CB3" w:rsidRDefault="007A77E8" w:rsidP="00C82F15">
      <w:pPr>
        <w:pStyle w:val="H1GR"/>
        <w:rPr>
          <w:rFonts w:eastAsia="MS Mincho"/>
        </w:rPr>
      </w:pPr>
      <w:r>
        <w:tab/>
      </w:r>
      <w:r>
        <w:tab/>
        <w:t>27–28 апреля, Бонн (Германия)</w:t>
      </w:r>
    </w:p>
    <w:p w:rsidR="007A77E8" w:rsidRPr="00457CB3" w:rsidRDefault="007A77E8" w:rsidP="00C82F15">
      <w:pPr>
        <w:pStyle w:val="H1GR"/>
        <w:rPr>
          <w:rFonts w:eastAsia="MS Mincho"/>
        </w:rPr>
      </w:pPr>
      <w:r>
        <w:tab/>
      </w:r>
      <w:r>
        <w:tab/>
        <w:t>Участники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1701"/>
        <w:gridCol w:w="1701"/>
      </w:tblGrid>
      <w:tr w:rsidR="007A77E8" w:rsidRPr="00017DFF" w:rsidTr="00C82F15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Присутствова</w:t>
            </w:r>
            <w:proofErr w:type="gramStart"/>
            <w:r>
              <w:rPr>
                <w:b/>
                <w:color w:val="000000"/>
                <w:sz w:val="18"/>
              </w:rPr>
              <w:t>л(</w:t>
            </w:r>
            <w:proofErr w:type="gramEnd"/>
            <w:r>
              <w:rPr>
                <w:b/>
                <w:color w:val="000000"/>
                <w:sz w:val="1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Прине</w:t>
            </w:r>
            <w:proofErr w:type="gramStart"/>
            <w:r>
              <w:rPr>
                <w:b/>
                <w:color w:val="000000"/>
                <w:sz w:val="18"/>
              </w:rPr>
              <w:t>с(</w:t>
            </w:r>
            <w:proofErr w:type="gramEnd"/>
            <w:r>
              <w:rPr>
                <w:b/>
                <w:color w:val="000000"/>
                <w:sz w:val="18"/>
              </w:rPr>
              <w:t>ла) изв</w:t>
            </w:r>
            <w:r>
              <w:rPr>
                <w:b/>
                <w:color w:val="000000"/>
                <w:sz w:val="18"/>
              </w:rPr>
              <w:t>и</w:t>
            </w:r>
            <w:r>
              <w:rPr>
                <w:b/>
                <w:color w:val="000000"/>
                <w:sz w:val="18"/>
              </w:rPr>
              <w:t xml:space="preserve">нения в связи </w:t>
            </w:r>
            <w:r w:rsidR="00C82F15" w:rsidRPr="00C82F15">
              <w:rPr>
                <w:b/>
                <w:color w:val="000000"/>
                <w:sz w:val="18"/>
              </w:rPr>
              <w:br/>
            </w:r>
            <w:r>
              <w:rPr>
                <w:b/>
                <w:color w:val="000000"/>
                <w:sz w:val="18"/>
              </w:rPr>
              <w:t>с неучастием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Биннеманс</w:t>
            </w:r>
            <w:proofErr w:type="spellEnd"/>
            <w:r>
              <w:rPr>
                <w:color w:val="000000"/>
                <w:sz w:val="18"/>
              </w:rPr>
              <w:t>, Петер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3C42F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Международная некоммерческая организация </w:t>
            </w:r>
            <w:r w:rsidR="003C42F4">
              <w:rPr>
                <w:color w:val="000000"/>
                <w:sz w:val="18"/>
              </w:rPr>
              <w:t>«</w:t>
            </w:r>
            <w:proofErr w:type="spellStart"/>
            <w:r>
              <w:rPr>
                <w:color w:val="000000"/>
                <w:sz w:val="18"/>
              </w:rPr>
              <w:t>Еукобат</w:t>
            </w:r>
            <w:proofErr w:type="spellEnd"/>
            <w:r w:rsidR="003C42F4"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Фосетт</w:t>
            </w:r>
            <w:proofErr w:type="spellEnd"/>
            <w:r>
              <w:rPr>
                <w:color w:val="000000"/>
                <w:sz w:val="18"/>
              </w:rPr>
              <w:t>, Аса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3C42F4" w:rsidP="003C42F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«</w:t>
            </w:r>
            <w:r w:rsidR="007A77E8">
              <w:rPr>
                <w:color w:val="000000"/>
                <w:sz w:val="18"/>
              </w:rPr>
              <w:t xml:space="preserve">Стена </w:t>
            </w:r>
            <w:proofErr w:type="spellStart"/>
            <w:r w:rsidR="007A77E8">
              <w:rPr>
                <w:color w:val="000000"/>
                <w:sz w:val="18"/>
              </w:rPr>
              <w:t>текноуолд</w:t>
            </w:r>
            <w:proofErr w:type="spellEnd"/>
            <w:r w:rsidR="007A77E8">
              <w:rPr>
                <w:color w:val="000000"/>
                <w:sz w:val="18"/>
              </w:rPr>
              <w:t xml:space="preserve"> АБ</w:t>
            </w:r>
            <w:r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Гифер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Корнелиус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БДЭ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Жилабер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Мануэль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Федеральное управление по автомобильным дорогам, Швейцария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Гренлунд</w:t>
            </w:r>
            <w:proofErr w:type="spellEnd"/>
            <w:r>
              <w:rPr>
                <w:color w:val="000000"/>
                <w:sz w:val="18"/>
              </w:rPr>
              <w:t>, Мина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Финское агентство по безопасности на тран</w:t>
            </w:r>
            <w:r>
              <w:rPr>
                <w:color w:val="000000"/>
                <w:sz w:val="18"/>
              </w:rPr>
              <w:t>с</w:t>
            </w:r>
            <w:r>
              <w:rPr>
                <w:color w:val="000000"/>
                <w:sz w:val="18"/>
              </w:rPr>
              <w:t>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Гуннарсдоттир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Сьефн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Консультант по вопросам политики в области перевозок опасных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Корель</w:t>
            </w:r>
            <w:proofErr w:type="spellEnd"/>
            <w:r>
              <w:rPr>
                <w:color w:val="000000"/>
                <w:sz w:val="18"/>
              </w:rPr>
              <w:t>, Мишель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Министерство экологии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Кришок</w:t>
            </w:r>
            <w:proofErr w:type="spellEnd"/>
            <w:r>
              <w:rPr>
                <w:color w:val="000000"/>
                <w:sz w:val="18"/>
              </w:rPr>
              <w:t>, Франк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БАМ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Кросс, Себастьян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3C42F4" w:rsidP="003C42F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«</w:t>
            </w:r>
            <w:proofErr w:type="spellStart"/>
            <w:r w:rsidR="007A77E8">
              <w:rPr>
                <w:color w:val="000000"/>
                <w:sz w:val="18"/>
              </w:rPr>
              <w:t>Стифтунг</w:t>
            </w:r>
            <w:proofErr w:type="spellEnd"/>
            <w:r w:rsidR="007A77E8">
              <w:rPr>
                <w:color w:val="000000"/>
                <w:sz w:val="18"/>
              </w:rPr>
              <w:t xml:space="preserve"> ГРС </w:t>
            </w:r>
            <w:proofErr w:type="spellStart"/>
            <w:r w:rsidR="007A77E8">
              <w:rPr>
                <w:color w:val="000000"/>
                <w:sz w:val="18"/>
              </w:rPr>
              <w:t>баттариен</w:t>
            </w:r>
            <w:proofErr w:type="spellEnd"/>
            <w:r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Махеш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Содеш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РИВМ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Мэйрс</w:t>
            </w:r>
            <w:proofErr w:type="spellEnd"/>
            <w:r>
              <w:rPr>
                <w:color w:val="000000"/>
                <w:sz w:val="18"/>
              </w:rPr>
              <w:t>, Джон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Министерство транспорта, Соединенное Кор</w:t>
            </w:r>
            <w:r>
              <w:rPr>
                <w:color w:val="000000"/>
                <w:sz w:val="18"/>
              </w:rPr>
              <w:t>о</w:t>
            </w:r>
            <w:r>
              <w:rPr>
                <w:color w:val="000000"/>
                <w:sz w:val="18"/>
              </w:rPr>
              <w:t>левство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Раук</w:t>
            </w:r>
            <w:proofErr w:type="spellEnd"/>
            <w:r>
              <w:rPr>
                <w:color w:val="000000"/>
                <w:sz w:val="18"/>
              </w:rPr>
              <w:t>, Филипп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Государственная служба </w:t>
            </w:r>
            <w:proofErr w:type="spellStart"/>
            <w:r>
              <w:rPr>
                <w:color w:val="000000"/>
                <w:sz w:val="18"/>
              </w:rPr>
              <w:t>Валлонии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Шеллер</w:t>
            </w:r>
            <w:proofErr w:type="spellEnd"/>
            <w:r>
              <w:rPr>
                <w:color w:val="000000"/>
                <w:sz w:val="18"/>
              </w:rPr>
              <w:t>, Роланд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3C42F4" w:rsidP="003C42F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«</w:t>
            </w:r>
            <w:proofErr w:type="spellStart"/>
            <w:r w:rsidR="007A77E8">
              <w:rPr>
                <w:color w:val="000000"/>
                <w:sz w:val="18"/>
              </w:rPr>
              <w:t>Ремондис</w:t>
            </w:r>
            <w:proofErr w:type="spellEnd"/>
            <w:r>
              <w:rPr>
                <w:color w:val="000000"/>
                <w:sz w:val="18"/>
              </w:rPr>
              <w:t>»</w:t>
            </w:r>
            <w:r w:rsidR="007A77E8">
              <w:rPr>
                <w:color w:val="000000"/>
                <w:sz w:val="18"/>
              </w:rPr>
              <w:t>, Германия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Шван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Гудула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ФМТИ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Ван </w:t>
            </w:r>
            <w:proofErr w:type="spellStart"/>
            <w:r>
              <w:rPr>
                <w:color w:val="000000"/>
                <w:sz w:val="18"/>
              </w:rPr>
              <w:t>Хесвик</w:t>
            </w:r>
            <w:proofErr w:type="spellEnd"/>
            <w:r>
              <w:rPr>
                <w:color w:val="000000"/>
                <w:sz w:val="18"/>
              </w:rPr>
              <w:t>, Эдуард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Министерство экологии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Ван</w:t>
            </w:r>
            <w:proofErr w:type="gramStart"/>
            <w:r>
              <w:rPr>
                <w:color w:val="000000"/>
                <w:sz w:val="18"/>
              </w:rPr>
              <w:t xml:space="preserve"> П</w:t>
            </w:r>
            <w:proofErr w:type="gramEnd"/>
            <w:r>
              <w:rPr>
                <w:color w:val="000000"/>
                <w:sz w:val="18"/>
              </w:rPr>
              <w:t>рет, Вилли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ФЕБЕМ, Бельгия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Ферберкмоэс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Элс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3C42F4" w:rsidP="00EF252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«</w:t>
            </w:r>
            <w:proofErr w:type="spellStart"/>
            <w:r w:rsidR="007A77E8">
              <w:rPr>
                <w:color w:val="000000"/>
                <w:sz w:val="18"/>
              </w:rPr>
              <w:t>Рекупел</w:t>
            </w:r>
            <w:proofErr w:type="spellEnd"/>
            <w:r w:rsidR="00EF2524"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Викери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Грэм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ДЕФРА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Вижи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Кароли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Министерство экологии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Вестерфельд</w:t>
            </w:r>
            <w:proofErr w:type="spellEnd"/>
            <w:r>
              <w:rPr>
                <w:color w:val="000000"/>
                <w:sz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</w:rPr>
              <w:t>Йорг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EF2524" w:rsidP="00EF252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«</w:t>
            </w:r>
            <w:proofErr w:type="spellStart"/>
            <w:r w:rsidR="007A77E8">
              <w:rPr>
                <w:color w:val="000000"/>
                <w:sz w:val="18"/>
              </w:rPr>
              <w:t>Ремондис</w:t>
            </w:r>
            <w:proofErr w:type="spellEnd"/>
            <w:r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Вио</w:t>
            </w:r>
            <w:proofErr w:type="spellEnd"/>
            <w:r>
              <w:rPr>
                <w:color w:val="000000"/>
                <w:sz w:val="18"/>
              </w:rPr>
              <w:t>, Жан-Поль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EF2524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Международ</w:t>
            </w:r>
            <w:r w:rsidR="00EF2524">
              <w:rPr>
                <w:color w:val="000000"/>
                <w:sz w:val="18"/>
              </w:rPr>
              <w:t>ная некоммерческая организация «</w:t>
            </w:r>
            <w:proofErr w:type="spellStart"/>
            <w:r>
              <w:rPr>
                <w:color w:val="000000"/>
                <w:sz w:val="18"/>
              </w:rPr>
              <w:t>Решарж</w:t>
            </w:r>
            <w:proofErr w:type="spellEnd"/>
            <w:r w:rsidR="00EF2524">
              <w:rPr>
                <w:color w:val="000000"/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7A77E8" w:rsidRPr="00017DFF" w:rsidTr="00C82F1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Вустрау</w:t>
            </w:r>
            <w:proofErr w:type="spellEnd"/>
            <w:r>
              <w:rPr>
                <w:color w:val="000000"/>
                <w:sz w:val="18"/>
              </w:rPr>
              <w:t>, Альбрехт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СНКА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E8" w:rsidRPr="00017DFF" w:rsidRDefault="007A77E8" w:rsidP="008C476E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</w:tbl>
    <w:p w:rsidR="005705F8" w:rsidRDefault="005705F8">
      <w:pPr>
        <w:spacing w:line="240" w:lineRule="auto"/>
        <w:rPr>
          <w:b/>
          <w:spacing w:val="0"/>
          <w:w w:val="100"/>
          <w:kern w:val="0"/>
          <w:sz w:val="24"/>
          <w:lang w:eastAsia="ru-RU" w:bidi="ru-RU"/>
        </w:rPr>
      </w:pPr>
      <w:r>
        <w:br w:type="page"/>
      </w:r>
    </w:p>
    <w:p w:rsidR="007A77E8" w:rsidRPr="00457CB3" w:rsidRDefault="007A77E8" w:rsidP="005705F8">
      <w:pPr>
        <w:pStyle w:val="HChGR"/>
        <w:rPr>
          <w:rFonts w:eastAsia="MS Mincho"/>
        </w:rPr>
      </w:pPr>
      <w:r>
        <w:lastRenderedPageBreak/>
        <w:tab/>
      </w:r>
      <w:r>
        <w:tab/>
        <w:t>Повестка дня</w:t>
      </w:r>
    </w:p>
    <w:p w:rsidR="007A77E8" w:rsidRPr="00E33721" w:rsidRDefault="007A77E8" w:rsidP="00E33721">
      <w:pPr>
        <w:pStyle w:val="SingleTxtGR"/>
        <w:rPr>
          <w:rFonts w:eastAsia="MS Mincho"/>
        </w:rPr>
      </w:pPr>
      <w:r w:rsidRPr="00E33721">
        <w:rPr>
          <w:rStyle w:val="SingleTxtGChar"/>
          <w:lang w:eastAsia="en-US" w:bidi="ar-SA"/>
        </w:rPr>
        <w:t>1.</w:t>
      </w:r>
      <w:r w:rsidRPr="00E33721">
        <w:tab/>
      </w:r>
      <w:r w:rsidRPr="00E33721">
        <w:rPr>
          <w:rStyle w:val="SingleTxtGChar"/>
          <w:lang w:eastAsia="en-US" w:bidi="ar-SA"/>
        </w:rPr>
        <w:t xml:space="preserve">Г-жа </w:t>
      </w:r>
      <w:proofErr w:type="spellStart"/>
      <w:r w:rsidRPr="00E33721">
        <w:rPr>
          <w:rStyle w:val="SingleTxtGChar"/>
          <w:lang w:eastAsia="en-US" w:bidi="ar-SA"/>
        </w:rPr>
        <w:t>Гудула</w:t>
      </w:r>
      <w:proofErr w:type="spellEnd"/>
      <w:r w:rsidRPr="00E33721">
        <w:rPr>
          <w:rStyle w:val="SingleTxtGChar"/>
          <w:lang w:eastAsia="en-US" w:bidi="ar-SA"/>
        </w:rPr>
        <w:t xml:space="preserve"> </w:t>
      </w:r>
      <w:proofErr w:type="spellStart"/>
      <w:r w:rsidRPr="00E33721">
        <w:rPr>
          <w:rStyle w:val="SingleTxtGChar"/>
          <w:lang w:eastAsia="en-US" w:bidi="ar-SA"/>
        </w:rPr>
        <w:t>Шван</w:t>
      </w:r>
      <w:proofErr w:type="spellEnd"/>
      <w:r w:rsidRPr="00E33721">
        <w:rPr>
          <w:rStyle w:val="SingleTxtGChar"/>
          <w:lang w:eastAsia="en-US" w:bidi="ar-SA"/>
        </w:rPr>
        <w:t xml:space="preserve"> представляет проект повестки дня, который одобряют все</w:t>
      </w:r>
      <w:r w:rsidRPr="00E33721">
        <w:t xml:space="preserve"> участники.</w:t>
      </w:r>
    </w:p>
    <w:p w:rsidR="007A77E8" w:rsidRPr="00457CB3" w:rsidRDefault="007A77E8" w:rsidP="00E33721">
      <w:pPr>
        <w:pStyle w:val="H1GR"/>
        <w:rPr>
          <w:rFonts w:eastAsia="MS Gothic"/>
        </w:rPr>
      </w:pPr>
      <w:bookmarkStart w:id="3" w:name="_Toc451456494"/>
      <w:r>
        <w:tab/>
      </w:r>
      <w:r>
        <w:tab/>
        <w:t>Открытие/</w:t>
      </w:r>
      <w:r w:rsidRPr="00E33721">
        <w:t>приветственное</w:t>
      </w:r>
      <w:r>
        <w:t xml:space="preserve"> слово</w:t>
      </w:r>
      <w:bookmarkEnd w:id="3"/>
    </w:p>
    <w:p w:rsidR="007A77E8" w:rsidRPr="00457CB3" w:rsidRDefault="007A77E8" w:rsidP="005705F8">
      <w:pPr>
        <w:pStyle w:val="SingleTxtGR"/>
        <w:rPr>
          <w:rFonts w:eastAsia="MS Mincho"/>
          <w:sz w:val="24"/>
          <w:szCs w:val="24"/>
        </w:rPr>
      </w:pPr>
      <w:r>
        <w:t>2.</w:t>
      </w:r>
      <w:r>
        <w:tab/>
        <w:t xml:space="preserve">Г-жа </w:t>
      </w:r>
      <w:proofErr w:type="spellStart"/>
      <w:r>
        <w:t>Гудула</w:t>
      </w:r>
      <w:proofErr w:type="spellEnd"/>
      <w:r>
        <w:t xml:space="preserve"> </w:t>
      </w:r>
      <w:proofErr w:type="spellStart"/>
      <w:r>
        <w:t>Шван</w:t>
      </w:r>
      <w:proofErr w:type="spellEnd"/>
      <w:r>
        <w:t xml:space="preserve"> приветствует всех участников в Бонне.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3.</w:t>
      </w:r>
      <w:r>
        <w:tab/>
        <w:t xml:space="preserve">Г-жа </w:t>
      </w:r>
      <w:proofErr w:type="spellStart"/>
      <w:r>
        <w:t>Гудула</w:t>
      </w:r>
      <w:proofErr w:type="spellEnd"/>
      <w:r>
        <w:t xml:space="preserve"> </w:t>
      </w:r>
      <w:proofErr w:type="spellStart"/>
      <w:r>
        <w:t>Шван</w:t>
      </w:r>
      <w:proofErr w:type="spellEnd"/>
      <w:r>
        <w:t xml:space="preserve"> дает обзор хода обсуждения этого вопроса в рамках Совместного совещания.</w:t>
      </w:r>
    </w:p>
    <w:p w:rsidR="007A77E8" w:rsidRPr="00457CB3" w:rsidRDefault="007A77E8" w:rsidP="005705F8">
      <w:pPr>
        <w:pStyle w:val="H1GR"/>
        <w:rPr>
          <w:rFonts w:eastAsia="MS Gothic"/>
        </w:rPr>
      </w:pPr>
      <w:bookmarkStart w:id="4" w:name="_Toc451456495"/>
      <w:r>
        <w:tab/>
      </w:r>
      <w:r>
        <w:tab/>
        <w:t>Рассмотрение ответов на вопросник, касающийся литиевых батарей в ОЭЭО</w:t>
      </w:r>
      <w:bookmarkEnd w:id="4"/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4.</w:t>
      </w:r>
      <w:r>
        <w:tab/>
        <w:t>Неофициальная рабочая группа рассматривает полученные ответы на в</w:t>
      </w:r>
      <w:r>
        <w:t>о</w:t>
      </w:r>
      <w:r>
        <w:t>просник, касающийся литиевых батарей в ОЭЭО.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5.</w:t>
      </w:r>
      <w:r>
        <w:tab/>
        <w:t xml:space="preserve">Джон </w:t>
      </w:r>
      <w:proofErr w:type="spellStart"/>
      <w:r>
        <w:t>Мэйрс</w:t>
      </w:r>
      <w:proofErr w:type="spellEnd"/>
      <w:r>
        <w:t xml:space="preserve"> добавляет, что, по мнению Соединенного Королевства, хотя правила ДОПОГ применяются к перевозке ОЭЭО, содержащего литиевые бат</w:t>
      </w:r>
      <w:r>
        <w:t>а</w:t>
      </w:r>
      <w:r>
        <w:t>реи, это не отражает реальное положение дел, поскольку такая перевозка не предполагает возникновение какого-либо риска.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6.</w:t>
      </w:r>
      <w:r>
        <w:tab/>
        <w:t>Общие выводы, сделанные на основе полученных ответов, можно изл</w:t>
      </w:r>
      <w:r>
        <w:t>о</w:t>
      </w:r>
      <w:r>
        <w:t>жить следующим образом: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>Данные различных стран не являются сопоставимыми, поскольку нево</w:t>
      </w:r>
      <w:r>
        <w:t>з</w:t>
      </w:r>
      <w:r>
        <w:t>можно сопоставить состав собранных потоков.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 xml:space="preserve">Ограничение одной перевозки 333 кг не создает никаких проблем. </w:t>
      </w:r>
      <w:r w:rsidR="005705F8" w:rsidRPr="00E33721">
        <w:br/>
      </w:r>
      <w:r>
        <w:t>В большинстве стран существует система обеспечения качества.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>Большинство холодильных и морозильных устройств не содержит лити</w:t>
      </w:r>
      <w:r>
        <w:t>е</w:t>
      </w:r>
      <w:r>
        <w:t xml:space="preserve">вые батареи. В некоторых исключительных случаях устройства содержат </w:t>
      </w:r>
      <w:proofErr w:type="gramStart"/>
      <w:r>
        <w:t>литий-металлическую</w:t>
      </w:r>
      <w:proofErr w:type="gramEnd"/>
      <w:r>
        <w:t xml:space="preserve"> батарею либо пуговичного типа, либо цилиндр</w:t>
      </w:r>
      <w:r>
        <w:t>и</w:t>
      </w:r>
      <w:r>
        <w:t>ческой формы.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 xml:space="preserve">Телевизоры и мониторы можно разбить на две различные категории: оснащенные и не оснащенные кабелем. 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>Лампы литиевые батареи не содержат.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>Большинство крупных бытовых приборов не содержат литиевые батареи, за исключением некоторых приспособлений, в которых имеется резер</w:t>
      </w:r>
      <w:r>
        <w:t>в</w:t>
      </w:r>
      <w:r>
        <w:t>ная батарея.</w:t>
      </w:r>
    </w:p>
    <w:p w:rsidR="007A77E8" w:rsidRPr="00457CB3" w:rsidRDefault="007A77E8" w:rsidP="005705F8">
      <w:pPr>
        <w:pStyle w:val="SingleTxtGR"/>
        <w:ind w:left="1701"/>
        <w:rPr>
          <w:rFonts w:eastAsia="MS Mincho"/>
        </w:rPr>
      </w:pPr>
      <w:r>
        <w:t xml:space="preserve">Малое оборудование можно разбить на разные категории: оборудование с </w:t>
      </w:r>
      <w:proofErr w:type="gramStart"/>
      <w:r>
        <w:t>литий-металлическими</w:t>
      </w:r>
      <w:proofErr w:type="gramEnd"/>
      <w:r>
        <w:t xml:space="preserve"> батареями в качестве основного источника эне</w:t>
      </w:r>
      <w:r>
        <w:t>р</w:t>
      </w:r>
      <w:r>
        <w:t>гии (с очень низким содержанием лития), оборудование, содержащее только резервную литиевую батарею, оборудование с литий-ионными б</w:t>
      </w:r>
      <w:r>
        <w:t>а</w:t>
      </w:r>
      <w:r>
        <w:t>тареями в качестве основного источника энергии и оборудование без к</w:t>
      </w:r>
      <w:r>
        <w:t>а</w:t>
      </w:r>
      <w:r>
        <w:t>ких-либо литиевых батарей.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7.</w:t>
      </w:r>
      <w:r>
        <w:tab/>
        <w:t>С учетом специфики перевозки ОЭЭО и отходов в виде батарей неофиц</w:t>
      </w:r>
      <w:r>
        <w:t>и</w:t>
      </w:r>
      <w:r>
        <w:t>альная рабочая группа рекомендует разбить СП 636 на два специальных пол</w:t>
      </w:r>
      <w:r>
        <w:t>о</w:t>
      </w:r>
      <w:r>
        <w:t xml:space="preserve">жения: одно </w:t>
      </w:r>
      <w:r w:rsidR="00EF2524">
        <w:t xml:space="preserve">– </w:t>
      </w:r>
      <w:r>
        <w:t>для батарей, а другое – для оборудования.</w:t>
      </w:r>
    </w:p>
    <w:p w:rsidR="007A77E8" w:rsidRPr="00457CB3" w:rsidRDefault="007A77E8" w:rsidP="005705F8">
      <w:pPr>
        <w:pStyle w:val="H1GR"/>
        <w:rPr>
          <w:rFonts w:eastAsia="MS Gothic"/>
        </w:rPr>
      </w:pPr>
      <w:bookmarkStart w:id="5" w:name="_Toc451456496"/>
      <w:r>
        <w:lastRenderedPageBreak/>
        <w:tab/>
      </w:r>
      <w:r>
        <w:tab/>
        <w:t xml:space="preserve">Введение более низких предельных значений в целях дальнейшего упрощения процедур для литиевых батарей </w:t>
      </w:r>
      <w:r w:rsidR="005705F8" w:rsidRPr="005705F8">
        <w:br/>
      </w:r>
      <w:r>
        <w:t>в ОЭЭО</w:t>
      </w:r>
      <w:bookmarkEnd w:id="5"/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8.</w:t>
      </w:r>
      <w:r>
        <w:tab/>
        <w:t>Ответы на вопросник свидетельствуют о том, что перевозка оборудов</w:t>
      </w:r>
      <w:r>
        <w:t>а</w:t>
      </w:r>
      <w:r>
        <w:t>ния, содержащего только резервную батарею, не представляет никакой опасн</w:t>
      </w:r>
      <w:r>
        <w:t>о</w:t>
      </w:r>
      <w:r>
        <w:t>сти. Существует система обеспечения качества, и перевозимые количества намного ниже предельных значений. Содержание лития в этих резервных бат</w:t>
      </w:r>
      <w:r>
        <w:t>а</w:t>
      </w:r>
      <w:r>
        <w:t>реях весьма низко (</w:t>
      </w:r>
      <w:r>
        <w:rPr>
          <w:rFonts w:ascii="Arial" w:hAnsi="Arial"/>
        </w:rPr>
        <w:t>&lt;</w:t>
      </w:r>
      <w:r>
        <w:t>1 г), и они находятся внутри оборудования. Все члены н</w:t>
      </w:r>
      <w:r>
        <w:t>е</w:t>
      </w:r>
      <w:r>
        <w:t>официальной рабочей группы согласны с тем, что это оборудование может быть освобождено от применения ДОПОГ. Поскольку описать такое оборудование невозможно, неофициальная рабочая группа рекомендует предусмотреть осв</w:t>
      </w:r>
      <w:r>
        <w:t>о</w:t>
      </w:r>
      <w:r>
        <w:t>бождение для содержащихся в оборудовании батарей и батареек, которые не используются в качестве основных источников энергии, и приводит некоторые примеры такого оборудования.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9.</w:t>
      </w:r>
      <w:r>
        <w:tab/>
        <w:t>В соответствии с согласованным предложением в отношении перевозки отходов оборудования, использующего литиевые батареи в качестве основного источника энергии, может быть предусмотрено изъятие, если батареи удаляю</w:t>
      </w:r>
      <w:r>
        <w:t>т</w:t>
      </w:r>
      <w:r>
        <w:t xml:space="preserve">ся из оборудования. 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10.</w:t>
      </w:r>
      <w:r>
        <w:tab/>
        <w:t>Некоторые члены считают, что такое изъятие может быть распространено на другое оборудование, содержащее литиевые батареи пуговичного типа, кот</w:t>
      </w:r>
      <w:r>
        <w:t>о</w:t>
      </w:r>
      <w:r>
        <w:t xml:space="preserve">рые используются в качестве основных источников энергии, например на </w:t>
      </w:r>
      <w:proofErr w:type="gramStart"/>
      <w:r>
        <w:t>часы</w:t>
      </w:r>
      <w:proofErr w:type="gramEnd"/>
      <w:r>
        <w:t xml:space="preserve"> и калькуляторы, или даже на все ОЭЭО. Неофициальная рабочая группа не с</w:t>
      </w:r>
      <w:r>
        <w:t>о</w:t>
      </w:r>
      <w:r>
        <w:t>гласна с этим предложением, поскольку в данном случае соотношение веса б</w:t>
      </w:r>
      <w:r>
        <w:t>а</w:t>
      </w:r>
      <w:r>
        <w:t>тарей и оборудования является совершенно иным. Риск с точки зрения безопа</w:t>
      </w:r>
      <w:r>
        <w:t>с</w:t>
      </w:r>
      <w:r>
        <w:t>ности может возникнуть в ходе погрузки и разгрузки ОЭЭО.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11.</w:t>
      </w:r>
      <w:r>
        <w:tab/>
        <w:t xml:space="preserve">Г-н </w:t>
      </w:r>
      <w:proofErr w:type="spellStart"/>
      <w:r>
        <w:t>Мануэль</w:t>
      </w:r>
      <w:proofErr w:type="spellEnd"/>
      <w:r>
        <w:t xml:space="preserve"> </w:t>
      </w:r>
      <w:proofErr w:type="spellStart"/>
      <w:r>
        <w:t>Жилабер</w:t>
      </w:r>
      <w:proofErr w:type="spellEnd"/>
      <w:r>
        <w:t xml:space="preserve"> предлагает включить дополнительное условие, с</w:t>
      </w:r>
      <w:r>
        <w:t>о</w:t>
      </w:r>
      <w:r>
        <w:t xml:space="preserve">гласно которому оборудование не должно быть повреждено, с </w:t>
      </w:r>
      <w:proofErr w:type="gramStart"/>
      <w:r>
        <w:t>тем</w:t>
      </w:r>
      <w:proofErr w:type="gramEnd"/>
      <w:r>
        <w:t xml:space="preserve"> чтобы защ</w:t>
      </w:r>
      <w:r>
        <w:t>и</w:t>
      </w:r>
      <w:r>
        <w:t>тить батареи. Неофициальная рабочая группа приняла решение включить в предлагаемый текст условие, аналогичное условию в Р909. Согласно этому условию оборудование, в котором содержатся батареи, обеспечивает их эквив</w:t>
      </w:r>
      <w:r>
        <w:t>а</w:t>
      </w:r>
      <w:r>
        <w:t>лентную защиту.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12.</w:t>
      </w:r>
      <w:r>
        <w:tab/>
        <w:t>В различных странах были разработаны специальные емкости для сбора ОЭЭО. Эти емкости обеспечивают достаточную защиту во время сбора и транспортировки, однако они не полностью отвечают применимым требован</w:t>
      </w:r>
      <w:r>
        <w:t>и</w:t>
      </w:r>
      <w:r>
        <w:t xml:space="preserve">ям инструкции по упаковке Р909. 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13.</w:t>
      </w:r>
      <w:r>
        <w:tab/>
        <w:t>Неофициальная рабочая группа согласна с тем, что может быть рекоме</w:t>
      </w:r>
      <w:r>
        <w:t>н</w:t>
      </w:r>
      <w:r>
        <w:t xml:space="preserve">довано дополнительное смягчение условий перевозки ОЭЭО (тех, на которые не распространяется изъятие). 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14.</w:t>
      </w:r>
      <w:r>
        <w:tab/>
        <w:t>Неофициальная рабочая группа согласна с тем, что для перевозки ОЭЭО, содержащего литиевые батареи, ОЭЭО могут быть упакованы в соответствии с</w:t>
      </w:r>
      <w:r w:rsidR="00AA7BE7">
        <w:t> </w:t>
      </w:r>
      <w:r>
        <w:t>Р909 или в специально разработанные емкости для сбора.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15.</w:t>
      </w:r>
      <w:r>
        <w:tab/>
        <w:t>Специально разработанные емкости для сбора должны быть изготовлены из подходящего материала и иметь надлежащую прочность и конструкцию в з</w:t>
      </w:r>
      <w:r>
        <w:t>а</w:t>
      </w:r>
      <w:r>
        <w:t>висимости от вместимости тары и ее предназначения. Вместе с тем тара может не отвечать требованиям пункта 4.1.1.3.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16.</w:t>
      </w:r>
      <w:r>
        <w:tab/>
        <w:t>Неофициальная рабочая группа рассматривает следующий вопрос: жел</w:t>
      </w:r>
      <w:r>
        <w:t>а</w:t>
      </w:r>
      <w:r>
        <w:t>тельно ли добавить положение о том, что должно быть предотвращено повр</w:t>
      </w:r>
      <w:r>
        <w:t>е</w:t>
      </w:r>
      <w:r>
        <w:t xml:space="preserve">ждение оборудования и утрата содержимого. Неофициальная рабочая группа </w:t>
      </w:r>
      <w:r>
        <w:lastRenderedPageBreak/>
        <w:t>согласна с тем, что невозможно предотвратить все случаи повреждения обор</w:t>
      </w:r>
      <w:r>
        <w:t>у</w:t>
      </w:r>
      <w:r>
        <w:t>дования, поскольку емкости заполняют потребители в общественных местах без надзора квалифицированных сотрудников. Невозможно также избежать н</w:t>
      </w:r>
      <w:r>
        <w:t>е</w:t>
      </w:r>
      <w:r>
        <w:t>правильного использования емкостей, например случаев, когда потребители выбрасывают в них другие товары или отдельные батарейки. Практика показ</w:t>
      </w:r>
      <w:r>
        <w:t>ы</w:t>
      </w:r>
      <w:r>
        <w:t>вает, что такое неправильное использование носит весьма ограниченный хара</w:t>
      </w:r>
      <w:r>
        <w:t>к</w:t>
      </w:r>
      <w:r>
        <w:t>тер. Неофициальная рабочая группа согласна с тем, что следует включить д</w:t>
      </w:r>
      <w:r>
        <w:t>о</w:t>
      </w:r>
      <w:r>
        <w:t>полнительное условие, которое вместе с тем будет направлено исключительно на снижение до минимума ущерба оборудованию и предотвращение утери с</w:t>
      </w:r>
      <w:r>
        <w:t>о</w:t>
      </w:r>
      <w:r>
        <w:t>держимого. Отверстия, предназначенные для заполнения, являются приемл</w:t>
      </w:r>
      <w:r>
        <w:t>е</w:t>
      </w:r>
      <w:r>
        <w:t>мыми только в том случае, если они сконструированы таким образом, чтобы не допустить утерю содержимого.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17.</w:t>
      </w:r>
      <w:r>
        <w:tab/>
        <w:t>Более низкое, по сравнению с 333 кг, ограничение на литиевые батареи в расчете на одну перевозку не приведет к повышению безопасности, поскольку масса литиевых батарей, содержащихся в ОЭЭО, является относительно незн</w:t>
      </w:r>
      <w:r>
        <w:t>а</w:t>
      </w:r>
      <w:r>
        <w:t>чительной. Неофициальная рабочая группа приняла решение не включать это условие в свое предложение.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18.</w:t>
      </w:r>
      <w:r>
        <w:tab/>
        <w:t>Возможное требование официального утверждения компетентными орг</w:t>
      </w:r>
      <w:r>
        <w:t>а</w:t>
      </w:r>
      <w:r>
        <w:t>нами может стать препятствием для смешанных перевозок и является шагом назад. Неофициальная рабочая группа приняла решение не включать это усл</w:t>
      </w:r>
      <w:r>
        <w:t>о</w:t>
      </w:r>
      <w:r>
        <w:t>вие в свое предложение.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19.</w:t>
      </w:r>
      <w:r>
        <w:tab/>
        <w:t xml:space="preserve">Исключение конкретных категорий ОЭЭО с более тяжелыми батареями, например электрического инструмента или </w:t>
      </w:r>
      <w:proofErr w:type="spellStart"/>
      <w:r>
        <w:t>электровелосипедов</w:t>
      </w:r>
      <w:proofErr w:type="spellEnd"/>
      <w:r>
        <w:t>, на практике не будет выполнимым. Кроме того, сбор этого вида оборудования в основном пр</w:t>
      </w:r>
      <w:r>
        <w:t>о</w:t>
      </w:r>
      <w:r>
        <w:t>изводится по другим каналам. Неофициальная рабочая группа приняла решение не включать это условие в свое предложение.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20.</w:t>
      </w:r>
      <w:r>
        <w:tab/>
        <w:t>Для уточнения ссылки на статистические методы в примечании неофиц</w:t>
      </w:r>
      <w:r>
        <w:t>и</w:t>
      </w:r>
      <w:r>
        <w:t xml:space="preserve">альная рабочая группа принимает решение заменить слова "в смешанном грузе" словами </w:t>
      </w:r>
      <w:r w:rsidR="00635307">
        <w:t>«</w:t>
      </w:r>
      <w:r>
        <w:t>в оборудовании домашних хозяйств</w:t>
      </w:r>
      <w:r w:rsidR="00635307">
        <w:t>»</w:t>
      </w:r>
      <w:r>
        <w:t>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21.</w:t>
      </w:r>
      <w:r>
        <w:tab/>
        <w:t>В соответствии с согласованным предложением перевозка навалом/</w:t>
      </w:r>
      <w:r w:rsidR="00635307">
        <w:br/>
      </w:r>
      <w:r>
        <w:t xml:space="preserve">насыпью ОЭЭО, </w:t>
      </w:r>
      <w:proofErr w:type="gramStart"/>
      <w:r>
        <w:t>содержащего</w:t>
      </w:r>
      <w:proofErr w:type="gramEnd"/>
      <w:r>
        <w:t xml:space="preserve"> литиевые батареи, не допускается. Вместе с тем нет никаких ограничений в отношении содержимого емкостей.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22.</w:t>
      </w:r>
      <w:r>
        <w:tab/>
        <w:t>В рамках обсуждения вопроса о специальном положении 636 неофиц</w:t>
      </w:r>
      <w:r>
        <w:t>и</w:t>
      </w:r>
      <w:r>
        <w:t>альная рабочая группа также рассматривает нынешнее СП 636 а).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23.</w:t>
      </w:r>
      <w:r>
        <w:tab/>
        <w:t>Текст СП 636 а) основан на аналогичных положениях Технических и</w:t>
      </w:r>
      <w:r>
        <w:t>н</w:t>
      </w:r>
      <w:r>
        <w:t>струкций Международной организации гражданской авиации (ИКАО) и восх</w:t>
      </w:r>
      <w:r>
        <w:t>о</w:t>
      </w:r>
      <w:r>
        <w:t>дит к ряду инцидентов, имевших место в 1970-х годах с некоторыми конкре</w:t>
      </w:r>
      <w:r>
        <w:t>т</w:t>
      </w:r>
      <w:r>
        <w:t xml:space="preserve">ными </w:t>
      </w:r>
      <w:proofErr w:type="gramStart"/>
      <w:r>
        <w:t>литий-металлическими</w:t>
      </w:r>
      <w:proofErr w:type="gramEnd"/>
      <w:r>
        <w:t xml:space="preserve"> батареями (содержавшими двуокись серы, </w:t>
      </w:r>
      <w:r w:rsidR="00477236">
        <w:br/>
      </w:r>
      <w:proofErr w:type="spellStart"/>
      <w:r>
        <w:t>сульфурилхлорид</w:t>
      </w:r>
      <w:proofErr w:type="spellEnd"/>
      <w:r>
        <w:t xml:space="preserve"> или </w:t>
      </w:r>
      <w:proofErr w:type="spellStart"/>
      <w:r>
        <w:t>тионилхлорид</w:t>
      </w:r>
      <w:proofErr w:type="spellEnd"/>
      <w:r>
        <w:t>) в низковольтном состоянии. С конца 1970-х годов конструкция элементов и батарей была значительно усоверше</w:t>
      </w:r>
      <w:r>
        <w:t>н</w:t>
      </w:r>
      <w:r>
        <w:t>ствована. С тех пор испытания, предусмотренные в Руководстве по испытаниям и критериям, были обновлены, и в настоящее время они предусматривают пр</w:t>
      </w:r>
      <w:r>
        <w:t>и</w:t>
      </w:r>
      <w:r>
        <w:t>нудительную разрядку. Неофициальная рабочая группа согласна с тем, что да</w:t>
      </w:r>
      <w:r>
        <w:t>н</w:t>
      </w:r>
      <w:r>
        <w:t>ное специальное положение более не имеет ценности и может быть исключено из текста.</w:t>
      </w:r>
    </w:p>
    <w:p w:rsidR="007A77E8" w:rsidRPr="00457CB3" w:rsidRDefault="007A77E8" w:rsidP="005705F8">
      <w:pPr>
        <w:pStyle w:val="H1GR"/>
        <w:rPr>
          <w:rFonts w:eastAsia="MS Gothic"/>
        </w:rPr>
      </w:pPr>
      <w:bookmarkStart w:id="6" w:name="_Toc451456497"/>
      <w:r>
        <w:lastRenderedPageBreak/>
        <w:tab/>
      </w:r>
      <w:r>
        <w:tab/>
        <w:t>Условия перевозки собранных батарей</w:t>
      </w:r>
      <w:bookmarkEnd w:id="6"/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24.</w:t>
      </w:r>
      <w:r>
        <w:tab/>
        <w:t>Неофициальная рабочая группа рассматривает предложение Швейцарии о том, чтобы разрешить перевозку в соответствии с СП 636 только в том случае, если литиевые батареи перевозятся вместе с другими, не литиевыми, батаре</w:t>
      </w:r>
      <w:r>
        <w:t>я</w:t>
      </w:r>
      <w:r>
        <w:t>ми, при этом доля литиевых батарей не должна превышать 3% от общего веса груза.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25.</w:t>
      </w:r>
      <w:r>
        <w:tab/>
      </w:r>
      <w:r w:rsidR="00635307">
        <w:t>«</w:t>
      </w:r>
      <w:proofErr w:type="spellStart"/>
      <w:r w:rsidRPr="00A352FD">
        <w:t>Еукобат</w:t>
      </w:r>
      <w:proofErr w:type="spellEnd"/>
      <w:r w:rsidR="00635307">
        <w:t>»</w:t>
      </w:r>
      <w:r>
        <w:t xml:space="preserve"> указывает, что данное предложение будет иметь важные п</w:t>
      </w:r>
      <w:r>
        <w:t>о</w:t>
      </w:r>
      <w:r>
        <w:t>следствия для существующих систем сбора и потребует видоизменения соо</w:t>
      </w:r>
      <w:r>
        <w:t>т</w:t>
      </w:r>
      <w:r>
        <w:t>ветствующих схем. Кроме того, его будет трудно применять на практике.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26.</w:t>
      </w:r>
      <w:r>
        <w:tab/>
        <w:t>Другие участники также не поддерживают данное предложение в пре</w:t>
      </w:r>
      <w:r>
        <w:t>д</w:t>
      </w:r>
      <w:r>
        <w:t xml:space="preserve">ставленном виде и считают, что дальнейшее обсуждение должно происходить только на основе дополнительной информации, при этом в настоящее время необходимость в проведении еще одного неофициального совещания рабочей группы отсутствует. </w:t>
      </w:r>
      <w:r w:rsidR="00635307">
        <w:t>«</w:t>
      </w:r>
      <w:proofErr w:type="spellStart"/>
      <w:r>
        <w:t>Еукобат</w:t>
      </w:r>
      <w:proofErr w:type="spellEnd"/>
      <w:r w:rsidR="00635307">
        <w:t>»</w:t>
      </w:r>
      <w:r>
        <w:t xml:space="preserve"> представит дополнительную информацию о фактической ситуации.</w:t>
      </w:r>
    </w:p>
    <w:p w:rsidR="007A77E8" w:rsidRPr="00457CB3" w:rsidRDefault="007A77E8" w:rsidP="005705F8">
      <w:pPr>
        <w:pStyle w:val="SingleTxtGR"/>
        <w:rPr>
          <w:rFonts w:eastAsia="MS Mincho"/>
        </w:rPr>
      </w:pPr>
      <w:r>
        <w:t>27.</w:t>
      </w:r>
      <w:r>
        <w:tab/>
        <w:t>Неофициальная рабочая группа рекомендует не вносить изменения в с</w:t>
      </w:r>
      <w:r>
        <w:t>у</w:t>
      </w:r>
      <w:r>
        <w:t>ществующие критерии СП 636 в отношении отходов в виде батарей.</w:t>
      </w:r>
    </w:p>
    <w:p w:rsidR="007A77E8" w:rsidRPr="00457CB3" w:rsidRDefault="007A77E8" w:rsidP="005C2E67">
      <w:pPr>
        <w:pStyle w:val="H1GR"/>
        <w:rPr>
          <w:rFonts w:eastAsia="MS Gothic"/>
        </w:rPr>
      </w:pPr>
      <w:bookmarkStart w:id="7" w:name="_Toc451456498"/>
      <w:r>
        <w:tab/>
      </w:r>
      <w:r>
        <w:tab/>
        <w:t>Выводы</w:t>
      </w:r>
      <w:bookmarkEnd w:id="7"/>
    </w:p>
    <w:p w:rsidR="007A77E8" w:rsidRPr="00457CB3" w:rsidRDefault="007A77E8" w:rsidP="005C2E67">
      <w:pPr>
        <w:pStyle w:val="SingleTxtGR"/>
        <w:rPr>
          <w:rFonts w:eastAsia="MS Mincho"/>
        </w:rPr>
      </w:pPr>
      <w:r>
        <w:t>28.</w:t>
      </w:r>
      <w:r>
        <w:tab/>
        <w:t xml:space="preserve">Неофициальная рабочая группа рекомендует: 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исключить СП 636 а), поскольку оно уже не имеет ценности;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разбить СП 636 b) на два специальных положения, одно – для батарей, другое – для оборудования;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предусмотреть полное изъятие для батарей и элементов, содержащихся в оборудовании, которые не используются в качестве основных источников энергии;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предусмотреть дополнительное смягчение условий перевозки ОЭЭО, на которых это изъятие не распространяется;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не вносить изменения в критерии существующего специального полож</w:t>
      </w:r>
      <w:r>
        <w:t>е</w:t>
      </w:r>
      <w:r>
        <w:t>ния 636 b) в отношении отходов в виде батарей.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>29.</w:t>
      </w:r>
      <w:r>
        <w:tab/>
        <w:t>Неофициальная рабочая группа предлагает следующий те</w:t>
      </w:r>
      <w:proofErr w:type="gramStart"/>
      <w:r>
        <w:t>кст дв</w:t>
      </w:r>
      <w:proofErr w:type="gramEnd"/>
      <w:r>
        <w:t>ух спец</w:t>
      </w:r>
      <w:r>
        <w:t>и</w:t>
      </w:r>
      <w:r>
        <w:t>альных положений:</w:t>
      </w:r>
    </w:p>
    <w:p w:rsidR="007A77E8" w:rsidRPr="00457CB3" w:rsidRDefault="007A77E8" w:rsidP="005C2E67">
      <w:pPr>
        <w:pStyle w:val="H23GR"/>
        <w:rPr>
          <w:rFonts w:eastAsia="MS Mincho"/>
        </w:rPr>
      </w:pPr>
      <w:r>
        <w:tab/>
      </w:r>
      <w:r>
        <w:tab/>
        <w:t>Батареи</w:t>
      </w:r>
    </w:p>
    <w:p w:rsidR="007A77E8" w:rsidRPr="00457CB3" w:rsidRDefault="00180A93" w:rsidP="005C2E67">
      <w:pPr>
        <w:pStyle w:val="SingleTxtGR"/>
        <w:rPr>
          <w:rFonts w:eastAsia="MS Mincho"/>
        </w:rPr>
      </w:pPr>
      <w:r>
        <w:tab/>
      </w:r>
      <w:r w:rsidR="007A77E8">
        <w:t>Изменить СП 636 следующим образом:</w:t>
      </w:r>
    </w:p>
    <w:p w:rsidR="007A77E8" w:rsidRPr="00457CB3" w:rsidRDefault="00635307" w:rsidP="005C2E67">
      <w:pPr>
        <w:pStyle w:val="SingleTxtGR"/>
        <w:rPr>
          <w:rFonts w:eastAsia="MS Mincho"/>
        </w:rPr>
      </w:pPr>
      <w:proofErr w:type="gramStart"/>
      <w:r>
        <w:t>«</w:t>
      </w:r>
      <w:r w:rsidR="007A77E8">
        <w:t xml:space="preserve">Вплоть до места промежуточной переработки литиевые элементы и батареи массой брутто не более 500 г каждый/каждая или литий-ионные элементы мощностью в ватт-часах не более 20 </w:t>
      </w:r>
      <w:proofErr w:type="spellStart"/>
      <w:r w:rsidR="007A77E8">
        <w:t>Вт·ч</w:t>
      </w:r>
      <w:proofErr w:type="spellEnd"/>
      <w:r w:rsidR="007A77E8">
        <w:t xml:space="preserve">, литий-ионные батареи мощностью в ватт-часах не более 100 </w:t>
      </w:r>
      <w:proofErr w:type="spellStart"/>
      <w:r w:rsidR="007A77E8">
        <w:t>Вт·ч</w:t>
      </w:r>
      <w:proofErr w:type="spellEnd"/>
      <w:r w:rsidR="007A77E8">
        <w:t>, литий-металлические элементы с содержанием лития не более 1 г и литий-металлические элементы с совокупным содержан</w:t>
      </w:r>
      <w:r w:rsidR="007A77E8">
        <w:t>и</w:t>
      </w:r>
      <w:r w:rsidR="007A77E8">
        <w:t>ем лития не более 2 г, не содержащиеся</w:t>
      </w:r>
      <w:proofErr w:type="gramEnd"/>
      <w:r w:rsidR="007A77E8">
        <w:t xml:space="preserve"> в оборудовании, собранные и предъя</w:t>
      </w:r>
      <w:r w:rsidR="007A77E8">
        <w:t>в</w:t>
      </w:r>
      <w:r w:rsidR="007A77E8">
        <w:t>ленные для перевозки в целях сортировки, удаления или утилизации, не подп</w:t>
      </w:r>
      <w:r w:rsidR="007A77E8">
        <w:t>а</w:t>
      </w:r>
      <w:r w:rsidR="007A77E8">
        <w:t>дают под действие других положений МПОГ/ДОПОГ/ВОПОГ, включая спец</w:t>
      </w:r>
      <w:r w:rsidR="007A77E8">
        <w:t>и</w:t>
      </w:r>
      <w:r w:rsidR="007A77E8">
        <w:t>альное положение 376 и пункт 2.2.9.1.7, если они отвечают следующим услов</w:t>
      </w:r>
      <w:r w:rsidR="007A77E8">
        <w:t>и</w:t>
      </w:r>
      <w:r w:rsidR="007A77E8">
        <w:t>ям: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lastRenderedPageBreak/>
        <w:tab/>
        <w:t>a)</w:t>
      </w:r>
      <w:r>
        <w:tab/>
        <w:t>применяются положения инструкции по упаковке Р909, содерж</w:t>
      </w:r>
      <w:r>
        <w:t>а</w:t>
      </w:r>
      <w:r>
        <w:t>щейся в подразделе 4.1.4.1, за исключением дополнительных требований 1 и 2;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b)</w:t>
      </w:r>
      <w:r>
        <w:tab/>
        <w:t xml:space="preserve">применяется система обеспечения качества, с </w:t>
      </w:r>
      <w:proofErr w:type="gramStart"/>
      <w:r>
        <w:t>тем</w:t>
      </w:r>
      <w:proofErr w:type="gramEnd"/>
      <w:r>
        <w:t xml:space="preserve"> чтобы общее к</w:t>
      </w:r>
      <w:r>
        <w:t>о</w:t>
      </w:r>
      <w:r>
        <w:t>личество литиевых элементов или батарей в каждой транспортной единице не превышало 333 кг;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ПРИМЕЧАНИЕ: Общее количество литиевых элементов и батарей в смешанном грузе может оцениваться с помощью статистического метода, включенного в систему обеспечения качества. Копия учетной документ</w:t>
      </w:r>
      <w:r>
        <w:t>а</w:t>
      </w:r>
      <w:r>
        <w:t>ции по обеспечению качества должна предоставляться компетентному органу по его запросу.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c)</w:t>
      </w:r>
      <w:r>
        <w:tab/>
        <w:t xml:space="preserve">на упаковках должен иметься маркировочный знак </w:t>
      </w:r>
      <w:r w:rsidR="00FD0D52">
        <w:t>"</w:t>
      </w:r>
      <w:r>
        <w:t>ЛИТИЕВЫЕ БАТАРЕИ ДЛЯ УТИЛИЗАЦИИ</w:t>
      </w:r>
      <w:r w:rsidR="00FD0D52">
        <w:t>"</w:t>
      </w:r>
      <w:r>
        <w:t xml:space="preserve"> или </w:t>
      </w:r>
      <w:r w:rsidR="00FD0D52">
        <w:t>"</w:t>
      </w:r>
      <w:r>
        <w:t>ЛИТИЕВЫЕ БАТАРЕИ ДЛЯ ПЕРЕРАБОТКИ</w:t>
      </w:r>
      <w:r w:rsidR="00FD0D52">
        <w:t>"</w:t>
      </w:r>
      <w:r>
        <w:t>, в зависимости от случая</w:t>
      </w:r>
      <w:r w:rsidR="00FD0D52">
        <w:t>»</w:t>
      </w:r>
      <w:r>
        <w:t>.</w:t>
      </w:r>
    </w:p>
    <w:p w:rsidR="007A77E8" w:rsidRPr="00457CB3" w:rsidRDefault="007A77E8" w:rsidP="005C2E67">
      <w:pPr>
        <w:pStyle w:val="H23GR"/>
        <w:rPr>
          <w:rFonts w:eastAsia="MS Mincho"/>
        </w:rPr>
      </w:pPr>
      <w:r>
        <w:tab/>
      </w:r>
      <w:r>
        <w:tab/>
        <w:t xml:space="preserve">Оборудование </w:t>
      </w:r>
    </w:p>
    <w:p w:rsidR="007A77E8" w:rsidRPr="00457CB3" w:rsidRDefault="00180A93" w:rsidP="005C2E67">
      <w:pPr>
        <w:pStyle w:val="SingleTxtGR"/>
        <w:rPr>
          <w:rFonts w:eastAsia="MS Mincho"/>
        </w:rPr>
      </w:pPr>
      <w:r>
        <w:tab/>
      </w:r>
      <w:r w:rsidR="007A77E8">
        <w:t xml:space="preserve">Включить новое специальное положение </w:t>
      </w:r>
      <w:proofErr w:type="spellStart"/>
      <w:r w:rsidR="007A77E8">
        <w:t>ххх</w:t>
      </w:r>
      <w:proofErr w:type="spellEnd"/>
      <w:r w:rsidR="007A77E8">
        <w:t>:</w:t>
      </w:r>
    </w:p>
    <w:p w:rsidR="007A77E8" w:rsidRPr="00457CB3" w:rsidRDefault="00635307" w:rsidP="005C2E67">
      <w:pPr>
        <w:pStyle w:val="SingleTxtGR"/>
        <w:rPr>
          <w:rFonts w:eastAsia="MS Mincho"/>
        </w:rPr>
      </w:pPr>
      <w:r>
        <w:t>«</w:t>
      </w:r>
      <w:proofErr w:type="spellStart"/>
      <w:r w:rsidR="007A77E8">
        <w:t>ххх</w:t>
      </w:r>
      <w:proofErr w:type="spellEnd"/>
      <w:r w:rsidR="007A77E8">
        <w:t xml:space="preserve"> a) литиевые элементы или батареи, установленные в оборудовании д</w:t>
      </w:r>
      <w:r w:rsidR="007A77E8">
        <w:t>о</w:t>
      </w:r>
      <w:r w:rsidR="007A77E8">
        <w:t xml:space="preserve">машних хозяйств, собранном и предъявленном для перевозки в целях </w:t>
      </w:r>
      <w:proofErr w:type="spellStart"/>
      <w:r w:rsidR="007A77E8">
        <w:t>деконт</w:t>
      </w:r>
      <w:r w:rsidR="007A77E8">
        <w:t>а</w:t>
      </w:r>
      <w:r w:rsidR="007A77E8">
        <w:t>минации</w:t>
      </w:r>
      <w:proofErr w:type="spellEnd"/>
      <w:r w:rsidR="007A77E8">
        <w:t>, разборки, утилизации или удаления, не подпадают под действие др</w:t>
      </w:r>
      <w:r w:rsidR="007A77E8">
        <w:t>у</w:t>
      </w:r>
      <w:r w:rsidR="007A77E8">
        <w:t>гих положений МПОГ/ДОПОГ/ВОПОГ, включая специальное положение 376 и пункт 2.2.9.1.7, если: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– они не являются основным источником энергии для функционирования оборудования, в котором они содержатся;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– оборудование, в котором они содержатся, не содержит какого-либо (к</w:t>
      </w:r>
      <w:r>
        <w:t>а</w:t>
      </w:r>
      <w:r>
        <w:t>кой-либо) другог</w:t>
      </w:r>
      <w:proofErr w:type="gramStart"/>
      <w:r>
        <w:t>о(</w:t>
      </w:r>
      <w:proofErr w:type="gramEnd"/>
      <w:r>
        <w:t>ой) литиевого элемента или батареи, используемого(ой) в к</w:t>
      </w:r>
      <w:r>
        <w:t>а</w:t>
      </w:r>
      <w:r>
        <w:t>честве основного источника энергии; и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– оборудование, в котором они содержатся, обеспечивает их эквивален</w:t>
      </w:r>
      <w:r>
        <w:t>т</w:t>
      </w:r>
      <w:r>
        <w:t xml:space="preserve">ную защиту. </w:t>
      </w:r>
    </w:p>
    <w:p w:rsidR="007A77E8" w:rsidRPr="00457CB3" w:rsidRDefault="00180A93" w:rsidP="005C2E67">
      <w:pPr>
        <w:pStyle w:val="SingleTxtGR"/>
        <w:rPr>
          <w:rFonts w:eastAsia="MS Mincho"/>
        </w:rPr>
      </w:pPr>
      <w:r>
        <w:tab/>
      </w:r>
      <w:r w:rsidR="007A77E8">
        <w:t xml:space="preserve">Примерами элементов и батарей, охватываемых этим пунктом, являются элементы пуговичного типа, используемые для сохранения данных в бытовых приборах (таких, как холодильники, стиральные и посудомоечные машины) или в других видах электрического и электронного оборудования. 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</w:r>
      <w:proofErr w:type="gramStart"/>
      <w:r>
        <w:t>b)</w:t>
      </w:r>
      <w:r>
        <w:tab/>
      </w:r>
      <w:r w:rsidR="00FD0D52">
        <w:t>"</w:t>
      </w:r>
      <w:r>
        <w:t>Вплоть до места промежуточной переработки литиевые элементы и батареи, содержащиеся в не соответствующем требованиям подпункта a) об</w:t>
      </w:r>
      <w:r>
        <w:t>о</w:t>
      </w:r>
      <w:r>
        <w:t xml:space="preserve">рудовании домашних хозяйств, собранные и предъявленные для перевозки в целях </w:t>
      </w:r>
      <w:proofErr w:type="spellStart"/>
      <w:r>
        <w:t>деконтаминации</w:t>
      </w:r>
      <w:proofErr w:type="spellEnd"/>
      <w:r>
        <w:t>, разборки, утилизации или удаления, не подпадают под действие других положений МПОГ/ДОПОГ, включая специальное полож</w:t>
      </w:r>
      <w:r>
        <w:t>е</w:t>
      </w:r>
      <w:r>
        <w:t>ние</w:t>
      </w:r>
      <w:r w:rsidR="00FD0D52">
        <w:t> </w:t>
      </w:r>
      <w:r>
        <w:t>376 и пункт 2.2.9.1.7, если они отвечают следующим условиям:</w:t>
      </w:r>
      <w:proofErr w:type="gramEnd"/>
    </w:p>
    <w:p w:rsidR="007A77E8" w:rsidRPr="00457CB3" w:rsidRDefault="007A77E8" w:rsidP="005C2E67">
      <w:pPr>
        <w:pStyle w:val="SingleTxtGR"/>
        <w:ind w:left="1701" w:hanging="567"/>
        <w:rPr>
          <w:rFonts w:eastAsia="MS Mincho"/>
        </w:rPr>
      </w:pPr>
      <w:r>
        <w:tab/>
        <w:t>i)</w:t>
      </w:r>
      <w:r>
        <w:tab/>
        <w:t>они упакованы в соответствии с инструкцией по упаковке P 909, изложенной в подразделе 4.1.4.1, за исключением дополнительных треб</w:t>
      </w:r>
      <w:r>
        <w:t>о</w:t>
      </w:r>
      <w:r>
        <w:t xml:space="preserve">ваний 1 и 2; или они упакованы в прочную наружную тару, </w:t>
      </w:r>
      <w:proofErr w:type="gramStart"/>
      <w:r>
        <w:t>например</w:t>
      </w:r>
      <w:proofErr w:type="gramEnd"/>
      <w:r>
        <w:t xml:space="preserve"> специально разработанные емкости для сбора, которые удовлетворяют следующим требованиям: 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– наружная тара должна быть изготовлена из подходящего материала и иметь надлежащую прочность и конструкцию в зависимости от вместимости тары и ее предназначения. Тара необязательно должна отвечать требованиям пункта 4.1.1.3;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lastRenderedPageBreak/>
        <w:tab/>
        <w:t>– должны быть приняты соответствующие меры для сведения к миним</w:t>
      </w:r>
      <w:r>
        <w:t>у</w:t>
      </w:r>
      <w:r>
        <w:t>му ущерба оборудованию при заполнении и обработке тары, например путем применения резиновых матов; и</w:t>
      </w:r>
    </w:p>
    <w:p w:rsidR="007A77E8" w:rsidRPr="00457CB3" w:rsidRDefault="007A77E8" w:rsidP="005C2E67">
      <w:pPr>
        <w:pStyle w:val="SingleTxtGR"/>
        <w:rPr>
          <w:rFonts w:eastAsia="MS Mincho"/>
        </w:rPr>
      </w:pPr>
      <w:r>
        <w:tab/>
        <w:t>– тара должна быть сконструирована и должна закрываться таким обр</w:t>
      </w:r>
      <w:r>
        <w:t>а</w:t>
      </w:r>
      <w:r>
        <w:t>зом, чтобы предотвратить любую потерю содержимого во время перевозки, например с использованием крышек, плотных вкладышей, защитного покрытия для перевозки. Отверстия, предназначенные для заполнения, являются прие</w:t>
      </w:r>
      <w:r>
        <w:t>м</w:t>
      </w:r>
      <w:r>
        <w:t xml:space="preserve">лемыми только в том случае, если они сконструированы таким образом, чтобы не допустить утерю содержимого; 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proofErr w:type="spellStart"/>
      <w:r>
        <w:t>ii</w:t>
      </w:r>
      <w:proofErr w:type="spellEnd"/>
      <w:r>
        <w:t>)</w:t>
      </w:r>
      <w:r>
        <w:tab/>
        <w:t xml:space="preserve">применяется система обеспечения качества, с </w:t>
      </w:r>
      <w:proofErr w:type="gramStart"/>
      <w:r>
        <w:t>тем</w:t>
      </w:r>
      <w:proofErr w:type="gramEnd"/>
      <w:r>
        <w:t xml:space="preserve"> чтобы общее к</w:t>
      </w:r>
      <w:r>
        <w:t>о</w:t>
      </w:r>
      <w:r>
        <w:t>личество литиевых элементов или батарей в каждой транспортной ед</w:t>
      </w:r>
      <w:r>
        <w:t>и</w:t>
      </w:r>
      <w:r>
        <w:t>нице не превышало 333 кг;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>ПРИМЕЧАНИЕ: Общее количество литиевых элементов и батарей в об</w:t>
      </w:r>
      <w:r>
        <w:t>о</w:t>
      </w:r>
      <w:r>
        <w:t>рудовании домашних хозяйств может быть оценено с помощью статист</w:t>
      </w:r>
      <w:r>
        <w:t>и</w:t>
      </w:r>
      <w:r>
        <w:t>ческого метода, включенного в систему обеспечения качества. Копия учетной документации по обеспечению качества должна предоставляться компетентному органу по его запросу.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proofErr w:type="spellStart"/>
      <w:proofErr w:type="gramStart"/>
      <w:r>
        <w:t>iii</w:t>
      </w:r>
      <w:proofErr w:type="spellEnd"/>
      <w:r>
        <w:t>)</w:t>
      </w:r>
      <w:r>
        <w:tab/>
        <w:t xml:space="preserve">на упаковках должен иметься маркировочный знак </w:t>
      </w:r>
      <w:r w:rsidR="00601BED">
        <w:t>"</w:t>
      </w:r>
      <w:r>
        <w:t>ЛИТИЕВЫЕ БАТАРЕИ ДЛЯ УТИЛИЗАЦИИ</w:t>
      </w:r>
      <w:r w:rsidR="00601BED">
        <w:t>"</w:t>
      </w:r>
      <w:r>
        <w:t xml:space="preserve"> или </w:t>
      </w:r>
      <w:r w:rsidR="00601BED">
        <w:t>"</w:t>
      </w:r>
      <w:r>
        <w:t>ЛИТИЕВЫЕ БАТАРЕИ ДЛЯ ПЕРЕРАБОТКИ</w:t>
      </w:r>
      <w:r w:rsidR="00601BED">
        <w:t>"</w:t>
      </w:r>
      <w:r>
        <w:t>, в зависимости от случая.</w:t>
      </w:r>
      <w:proofErr w:type="gramEnd"/>
      <w:r>
        <w:t xml:space="preserve"> Если оборудование, содерж</w:t>
      </w:r>
      <w:r>
        <w:t>а</w:t>
      </w:r>
      <w:r>
        <w:t>щее литиевые элементы или батареи, перевозится в неупакованном виде или на поддонах в соответствии с инструкцией по упаковке P909 (3), и</w:t>
      </w:r>
      <w:r>
        <w:t>з</w:t>
      </w:r>
      <w:r>
        <w:t>ложенной в подразделе 4.1.4.1, то в качестве альтернативы этот маркир</w:t>
      </w:r>
      <w:r>
        <w:t>о</w:t>
      </w:r>
      <w:r>
        <w:t>вочный знак может быть размещен на внешней поверхности ваг</w:t>
      </w:r>
      <w:r>
        <w:t>о</w:t>
      </w:r>
      <w:r>
        <w:t>нов/транспортных средств или контейнеров.</w:t>
      </w:r>
    </w:p>
    <w:p w:rsidR="007A77E8" w:rsidRPr="00457CB3" w:rsidRDefault="007A77E8" w:rsidP="005C2E67">
      <w:pPr>
        <w:pStyle w:val="SingleTxtGR"/>
        <w:ind w:left="1701"/>
        <w:rPr>
          <w:rFonts w:eastAsia="MS Mincho"/>
        </w:rPr>
      </w:pPr>
      <w:r>
        <w:t xml:space="preserve">ПРИМЕЧАНИЕ: </w:t>
      </w:r>
      <w:r w:rsidR="00601BED">
        <w:t>"</w:t>
      </w:r>
      <w:r>
        <w:t>Оборудование домашних хозяйств</w:t>
      </w:r>
      <w:r w:rsidR="00601BED">
        <w:t>"</w:t>
      </w:r>
      <w:r>
        <w:t xml:space="preserve"> означает оборуд</w:t>
      </w:r>
      <w:r>
        <w:t>о</w:t>
      </w:r>
      <w:r>
        <w:t>вание, поступающее из домашних хозяйств, и оборудование коммерч</w:t>
      </w:r>
      <w:r>
        <w:t>е</w:t>
      </w:r>
      <w:r>
        <w:t>ского, промышленного, институционального и иного происхождения, к</w:t>
      </w:r>
      <w:r>
        <w:t>о</w:t>
      </w:r>
      <w:r>
        <w:t>торое в силу своего характера и количества аналогично оборудованию домашних хозяйств. Оборудование, которое может использоваться как домашними хозяйствами, так и другими пользователями помимо дома</w:t>
      </w:r>
      <w:r>
        <w:t>ш</w:t>
      </w:r>
      <w:r>
        <w:t>них хозяйств, рассматривается в любом случае как оборудование дома</w:t>
      </w:r>
      <w:r>
        <w:t>ш</w:t>
      </w:r>
      <w:r>
        <w:t>них хозяйств</w:t>
      </w:r>
      <w:r w:rsidR="00601BED">
        <w:t>»</w:t>
      </w:r>
      <w:r>
        <w:t xml:space="preserve">. </w:t>
      </w:r>
    </w:p>
    <w:p w:rsidR="007A77E8" w:rsidRPr="00457CB3" w:rsidRDefault="005C2E67" w:rsidP="005C2E67">
      <w:pPr>
        <w:pStyle w:val="H23GR"/>
        <w:rPr>
          <w:rFonts w:eastAsia="MS Mincho"/>
        </w:rPr>
      </w:pPr>
      <w:r w:rsidRPr="00E33721">
        <w:tab/>
      </w:r>
      <w:r w:rsidRPr="00E33721">
        <w:tab/>
      </w:r>
      <w:r w:rsidR="007A77E8">
        <w:t>Сопутствующая поправка</w:t>
      </w:r>
    </w:p>
    <w:p w:rsidR="00A658DB" w:rsidRPr="0099016C" w:rsidRDefault="00180A93" w:rsidP="005C2E67">
      <w:pPr>
        <w:pStyle w:val="SingleTxtGR"/>
      </w:pPr>
      <w:r>
        <w:tab/>
      </w:r>
      <w:r w:rsidR="007A77E8">
        <w:t xml:space="preserve">В перечне опасных грузов, № ООН 3091 и 3481: заменить </w:t>
      </w:r>
      <w:r w:rsidR="00635307">
        <w:t>«</w:t>
      </w:r>
      <w:r w:rsidR="007A77E8">
        <w:t>636</w:t>
      </w:r>
      <w:r w:rsidR="00635307">
        <w:t>»</w:t>
      </w:r>
      <w:r w:rsidR="007A77E8">
        <w:t xml:space="preserve"> на</w:t>
      </w:r>
      <w:r>
        <w:t> </w:t>
      </w:r>
      <w:r w:rsidR="00635307">
        <w:t>«</w:t>
      </w:r>
      <w:proofErr w:type="spellStart"/>
      <w:r w:rsidR="007A77E8">
        <w:t>ххх</w:t>
      </w:r>
      <w:proofErr w:type="spellEnd"/>
      <w:r w:rsidR="00635307">
        <w:t>»</w:t>
      </w:r>
      <w:r w:rsidR="0099016C" w:rsidRPr="0099016C">
        <w:t>.</w:t>
      </w:r>
    </w:p>
    <w:p w:rsidR="0099016C" w:rsidRPr="00AB46FB" w:rsidRDefault="00AB46FB" w:rsidP="00AB46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016C" w:rsidRPr="00AB46F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8" w:rsidRDefault="00CA0BB8" w:rsidP="00B471C5">
      <w:r>
        <w:separator/>
      </w:r>
    </w:p>
  </w:endnote>
  <w:endnote w:type="continuationSeparator" w:id="0">
    <w:p w:rsidR="00CA0BB8" w:rsidRDefault="00CA0BB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6373A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71E68">
      <w:rPr>
        <w:lang w:val="en-US"/>
      </w:rPr>
      <w:t>11061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771E68">
      <w:rPr>
        <w:lang w:val="en-US"/>
      </w:rPr>
      <w:t>11061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6373A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71E6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71E68">
            <w:t>11061</w:t>
          </w:r>
          <w:r w:rsidRPr="001C3ABC">
            <w:rPr>
              <w:lang w:val="en-US"/>
            </w:rPr>
            <w:t xml:space="preserve"> (R)</w:t>
          </w:r>
          <w:r w:rsidR="00771E68">
            <w:t xml:space="preserve">  140716  150716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71E6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71E68" w:rsidRDefault="00771E6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71E6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8" w:rsidRPr="009141DC" w:rsidRDefault="00CA0BB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A0BB8" w:rsidRPr="00D1261C" w:rsidRDefault="00CA0BB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A77E8" w:rsidRPr="007A77E8" w:rsidRDefault="00771E68" w:rsidP="00771E68">
      <w:pPr>
        <w:pStyle w:val="FootnoteText"/>
        <w:rPr>
          <w:lang w:val="ru-RU"/>
        </w:rPr>
      </w:pPr>
      <w:r>
        <w:rPr>
          <w:lang w:val="ru-RU"/>
        </w:rPr>
        <w:tab/>
      </w:r>
      <w:r w:rsidR="007A77E8">
        <w:rPr>
          <w:rStyle w:val="FootnoteReference"/>
        </w:rPr>
        <w:footnoteRef/>
      </w:r>
      <w:r w:rsidR="007A77E8" w:rsidRPr="007A77E8">
        <w:rPr>
          <w:lang w:val="ru-RU"/>
        </w:rPr>
        <w:tab/>
        <w:t xml:space="preserve">В соответствии с программой работы </w:t>
      </w:r>
      <w:r w:rsidR="007A77E8" w:rsidRPr="00771E68">
        <w:rPr>
          <w:lang w:val="ru-RU"/>
        </w:rPr>
        <w:t>Комитета</w:t>
      </w:r>
      <w:r w:rsidR="007A77E8" w:rsidRPr="007A77E8">
        <w:rPr>
          <w:lang w:val="ru-RU"/>
        </w:rPr>
        <w:t xml:space="preserve"> по внутреннему транспорту </w:t>
      </w:r>
      <w:r>
        <w:rPr>
          <w:lang w:val="ru-RU"/>
        </w:rPr>
        <w:br/>
      </w:r>
      <w:r w:rsidR="007A77E8" w:rsidRPr="007A77E8">
        <w:rPr>
          <w:lang w:val="ru-RU"/>
        </w:rPr>
        <w:t>на 2016</w:t>
      </w:r>
      <w:r w:rsidR="003C42F4">
        <w:rPr>
          <w:lang w:val="ru-RU"/>
        </w:rPr>
        <w:t>–</w:t>
      </w:r>
      <w:r w:rsidR="007A77E8" w:rsidRPr="007A77E8">
        <w:rPr>
          <w:lang w:val="ru-RU"/>
        </w:rPr>
        <w:t>2017 годы (</w:t>
      </w:r>
      <w:r w:rsidR="007A77E8">
        <w:t>ECE</w:t>
      </w:r>
      <w:r w:rsidR="007A77E8" w:rsidRPr="007A77E8">
        <w:rPr>
          <w:lang w:val="ru-RU"/>
        </w:rPr>
        <w:t>/</w:t>
      </w:r>
      <w:r w:rsidR="007A77E8">
        <w:t>TRANS</w:t>
      </w:r>
      <w:r w:rsidR="007A77E8" w:rsidRPr="007A77E8">
        <w:rPr>
          <w:lang w:val="ru-RU"/>
        </w:rPr>
        <w:t>/2016/28/</w:t>
      </w:r>
      <w:r w:rsidR="007A77E8">
        <w:t>Add</w:t>
      </w:r>
      <w:r w:rsidR="007A77E8" w:rsidRPr="007A77E8">
        <w:rPr>
          <w:lang w:val="ru-RU"/>
        </w:rPr>
        <w:t>.1 (9.2)).</w:t>
      </w:r>
    </w:p>
  </w:footnote>
  <w:footnote w:id="2">
    <w:p w:rsidR="007A77E8" w:rsidRPr="007A77E8" w:rsidRDefault="00771E68" w:rsidP="00771E68">
      <w:pPr>
        <w:pStyle w:val="FootnoteText"/>
        <w:rPr>
          <w:lang w:val="ru-RU"/>
        </w:rPr>
      </w:pPr>
      <w:r>
        <w:rPr>
          <w:lang w:val="ru-RU"/>
        </w:rPr>
        <w:tab/>
      </w:r>
      <w:r w:rsidR="007A77E8">
        <w:rPr>
          <w:rStyle w:val="FootnoteReference"/>
        </w:rPr>
        <w:footnoteRef/>
      </w:r>
      <w:r w:rsidR="007A77E8" w:rsidRPr="007A77E8">
        <w:rPr>
          <w:lang w:val="ru-RU"/>
        </w:rPr>
        <w:tab/>
        <w:t xml:space="preserve">Распространено </w:t>
      </w:r>
      <w:r w:rsidR="007A77E8" w:rsidRPr="00E33721">
        <w:rPr>
          <w:lang w:val="ru-RU"/>
        </w:rPr>
        <w:t>Межправительственной</w:t>
      </w:r>
      <w:r w:rsidR="007A77E8" w:rsidRPr="007A77E8">
        <w:rPr>
          <w:lang w:val="ru-RU"/>
        </w:rPr>
        <w:t xml:space="preserve"> организацией по международным железнодорожным перевозкам (ОТИФ) под символом </w:t>
      </w:r>
      <w:r w:rsidR="007A77E8">
        <w:t>OTIF</w:t>
      </w:r>
      <w:r w:rsidR="007A77E8" w:rsidRPr="007A77E8">
        <w:rPr>
          <w:lang w:val="ru-RU"/>
        </w:rPr>
        <w:t>/</w:t>
      </w:r>
      <w:r w:rsidR="007A77E8">
        <w:t>RID</w:t>
      </w:r>
      <w:r w:rsidR="007A77E8" w:rsidRPr="007A77E8">
        <w:rPr>
          <w:lang w:val="ru-RU"/>
        </w:rPr>
        <w:t>/</w:t>
      </w:r>
      <w:r w:rsidR="007A77E8">
        <w:t>RC</w:t>
      </w:r>
      <w:r w:rsidR="007A77E8" w:rsidRPr="007A77E8">
        <w:rPr>
          <w:lang w:val="ru-RU"/>
        </w:rPr>
        <w:t>/2016/19.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771E68">
      <w:t>TRANS/WP.15/AC.1/2016/19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771E68">
      <w:t>TRANS/WP.15/AC.1/2016/19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B8"/>
    <w:rsid w:val="000450D1"/>
    <w:rsid w:val="000B1FD5"/>
    <w:rsid w:val="000B77A6"/>
    <w:rsid w:val="000F2A4F"/>
    <w:rsid w:val="00180A93"/>
    <w:rsid w:val="00203F84"/>
    <w:rsid w:val="0024617E"/>
    <w:rsid w:val="00275188"/>
    <w:rsid w:val="0028687D"/>
    <w:rsid w:val="002B091C"/>
    <w:rsid w:val="002B3D40"/>
    <w:rsid w:val="002D0CCB"/>
    <w:rsid w:val="00345C79"/>
    <w:rsid w:val="00366A39"/>
    <w:rsid w:val="0038196B"/>
    <w:rsid w:val="003C42F4"/>
    <w:rsid w:val="00477236"/>
    <w:rsid w:val="0048005C"/>
    <w:rsid w:val="004D639B"/>
    <w:rsid w:val="004E242B"/>
    <w:rsid w:val="00544379"/>
    <w:rsid w:val="00566944"/>
    <w:rsid w:val="005705F8"/>
    <w:rsid w:val="005C2E67"/>
    <w:rsid w:val="005D56BF"/>
    <w:rsid w:val="00601BED"/>
    <w:rsid w:val="0062027E"/>
    <w:rsid w:val="00635307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1E68"/>
    <w:rsid w:val="00773BA8"/>
    <w:rsid w:val="007A1F42"/>
    <w:rsid w:val="007A77E8"/>
    <w:rsid w:val="007D76DD"/>
    <w:rsid w:val="00816FB8"/>
    <w:rsid w:val="00864D21"/>
    <w:rsid w:val="008717E8"/>
    <w:rsid w:val="008D01AE"/>
    <w:rsid w:val="008E0423"/>
    <w:rsid w:val="009141DC"/>
    <w:rsid w:val="009174A1"/>
    <w:rsid w:val="0096373A"/>
    <w:rsid w:val="0098674D"/>
    <w:rsid w:val="0099016C"/>
    <w:rsid w:val="00997ACA"/>
    <w:rsid w:val="00A03FB7"/>
    <w:rsid w:val="00A55C56"/>
    <w:rsid w:val="00A658DB"/>
    <w:rsid w:val="00A75A11"/>
    <w:rsid w:val="00A9606E"/>
    <w:rsid w:val="00AA7BE7"/>
    <w:rsid w:val="00AB46FB"/>
    <w:rsid w:val="00AD7EAD"/>
    <w:rsid w:val="00B35A32"/>
    <w:rsid w:val="00B432C6"/>
    <w:rsid w:val="00B471C5"/>
    <w:rsid w:val="00B6474A"/>
    <w:rsid w:val="00BE1742"/>
    <w:rsid w:val="00C82F15"/>
    <w:rsid w:val="00CA0BB8"/>
    <w:rsid w:val="00D1261C"/>
    <w:rsid w:val="00D26030"/>
    <w:rsid w:val="00D75DCE"/>
    <w:rsid w:val="00DD35AC"/>
    <w:rsid w:val="00DD479F"/>
    <w:rsid w:val="00E15E48"/>
    <w:rsid w:val="00E33721"/>
    <w:rsid w:val="00EB0723"/>
    <w:rsid w:val="00EB2957"/>
    <w:rsid w:val="00EE6F37"/>
    <w:rsid w:val="00EF2524"/>
    <w:rsid w:val="00F1599F"/>
    <w:rsid w:val="00F31EF2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7A77E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SingleTxtG">
    <w:name w:val="_ Single Txt_G"/>
    <w:basedOn w:val="Normal"/>
    <w:link w:val="SingleTxtGChar"/>
    <w:qFormat/>
    <w:rsid w:val="007A77E8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7A77E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paragraph" w:customStyle="1" w:styleId="H23G">
    <w:name w:val="_ H_2/3_G"/>
    <w:basedOn w:val="Normal"/>
    <w:next w:val="Normal"/>
    <w:rsid w:val="007A77E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eastAsia="ru-RU" w:bidi="ru-RU"/>
    </w:rPr>
  </w:style>
  <w:style w:type="character" w:customStyle="1" w:styleId="H1GChar">
    <w:name w:val="_ H_1_G Char"/>
    <w:link w:val="H1G"/>
    <w:rsid w:val="007A77E8"/>
    <w:rPr>
      <w:rFonts w:ascii="Times New Roman" w:eastAsia="Times New Roman" w:hAnsi="Times New Roman" w:cs="Times New Roman"/>
      <w:b/>
      <w:sz w:val="24"/>
      <w:szCs w:val="20"/>
      <w:lang w:eastAsia="ru-RU" w:bidi="ru-RU"/>
    </w:rPr>
  </w:style>
  <w:style w:type="character" w:customStyle="1" w:styleId="SingleTxtGChar">
    <w:name w:val="_ Single Txt_G Char"/>
    <w:link w:val="SingleTxtG"/>
    <w:rsid w:val="007A77E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HChGChar">
    <w:name w:val="_ H _Ch_G Char"/>
    <w:link w:val="HChG"/>
    <w:rsid w:val="007A77E8"/>
    <w:rPr>
      <w:rFonts w:ascii="Times New Roman" w:eastAsia="Times New Roman" w:hAnsi="Times New Roman" w:cs="Times New Roman"/>
      <w:b/>
      <w:sz w:val="28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3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7A77E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SingleTxtG">
    <w:name w:val="_ Single Txt_G"/>
    <w:basedOn w:val="Normal"/>
    <w:link w:val="SingleTxtGChar"/>
    <w:qFormat/>
    <w:rsid w:val="007A77E8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7A77E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paragraph" w:customStyle="1" w:styleId="H23G">
    <w:name w:val="_ H_2/3_G"/>
    <w:basedOn w:val="Normal"/>
    <w:next w:val="Normal"/>
    <w:rsid w:val="007A77E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eastAsia="ru-RU" w:bidi="ru-RU"/>
    </w:rPr>
  </w:style>
  <w:style w:type="character" w:customStyle="1" w:styleId="H1GChar">
    <w:name w:val="_ H_1_G Char"/>
    <w:link w:val="H1G"/>
    <w:rsid w:val="007A77E8"/>
    <w:rPr>
      <w:rFonts w:ascii="Times New Roman" w:eastAsia="Times New Roman" w:hAnsi="Times New Roman" w:cs="Times New Roman"/>
      <w:b/>
      <w:sz w:val="24"/>
      <w:szCs w:val="20"/>
      <w:lang w:eastAsia="ru-RU" w:bidi="ru-RU"/>
    </w:rPr>
  </w:style>
  <w:style w:type="character" w:customStyle="1" w:styleId="SingleTxtGChar">
    <w:name w:val="_ Single Txt_G Char"/>
    <w:link w:val="SingleTxtG"/>
    <w:rsid w:val="007A77E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HChGChar">
    <w:name w:val="_ H _Ch_G Char"/>
    <w:link w:val="HChG"/>
    <w:rsid w:val="007A77E8"/>
    <w:rPr>
      <w:rFonts w:ascii="Times New Roman" w:eastAsia="Times New Roman" w:hAnsi="Times New Roman" w:cs="Times New Roman"/>
      <w:b/>
      <w:sz w:val="28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3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A2AE-7C61-44CA-AB01-A5E1BE4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dcterms:created xsi:type="dcterms:W3CDTF">2016-07-20T09:58:00Z</dcterms:created>
  <dcterms:modified xsi:type="dcterms:W3CDTF">2016-07-20T09:58:00Z</dcterms:modified>
</cp:coreProperties>
</file>