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620"/>
        <w:gridCol w:w="195"/>
        <w:gridCol w:w="1725"/>
        <w:gridCol w:w="2819"/>
      </w:tblGrid>
      <w:tr w:rsidR="00A658DB" w:rsidRPr="00B038A4" w:rsidTr="008563C6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B038A4" w:rsidRDefault="00A658DB" w:rsidP="008563C6">
            <w:pPr>
              <w:spacing w:after="80" w:line="300" w:lineRule="exact"/>
              <w:rPr>
                <w:sz w:val="28"/>
              </w:rPr>
            </w:pPr>
            <w:r w:rsidRPr="00B038A4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B038A4" w:rsidRDefault="00A658DB" w:rsidP="008563C6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B038A4" w:rsidRDefault="00A658DB" w:rsidP="008563C6">
            <w:pPr>
              <w:jc w:val="right"/>
            </w:pPr>
            <w:r w:rsidRPr="00B038A4">
              <w:rPr>
                <w:sz w:val="40"/>
                <w:szCs w:val="40"/>
              </w:rPr>
              <w:t>ECE</w:t>
            </w:r>
            <w:r w:rsidRPr="00B038A4">
              <w:t>/</w:t>
            </w:r>
            <w:fldSimple w:instr=" FILLIN  &quot;Введите символ после ЕCE/&quot;  \* MERGEFORMAT ">
              <w:r w:rsidR="00D1062F" w:rsidRPr="00B038A4">
                <w:t>TRANS/WP.15/AC.1/2016/22</w:t>
              </w:r>
            </w:fldSimple>
            <w:r w:rsidR="00B038A4" w:rsidRPr="00B038A4">
              <w:t xml:space="preserve">  </w:t>
            </w:r>
          </w:p>
        </w:tc>
      </w:tr>
      <w:tr w:rsidR="00A658DB" w:rsidRPr="00B038A4" w:rsidTr="008563C6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B038A4" w:rsidRDefault="00A658DB" w:rsidP="008563C6">
            <w:pPr>
              <w:spacing w:before="120"/>
              <w:jc w:val="center"/>
            </w:pPr>
            <w:r w:rsidRPr="00B038A4">
              <w:rPr>
                <w:noProof/>
                <w:lang w:val="fr-FR" w:eastAsia="fr-FR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B038A4" w:rsidRDefault="00A658DB" w:rsidP="008563C6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B038A4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B038A4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B038A4" w:rsidRDefault="00A658DB" w:rsidP="008563C6">
            <w:pPr>
              <w:spacing w:before="240"/>
            </w:pPr>
            <w:r w:rsidRPr="00B038A4">
              <w:t xml:space="preserve">Distr.: </w:t>
            </w:r>
            <w:bookmarkStart w:id="0" w:name="ПолеСоСписком1"/>
            <w:r w:rsidR="00E33EF0" w:rsidRPr="00B038A4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B038A4">
              <w:instrText xml:space="preserve"> FORMDROPDOWN </w:instrText>
            </w:r>
            <w:r w:rsidR="00E33EF0">
              <w:fldChar w:fldCharType="separate"/>
            </w:r>
            <w:r w:rsidR="00E33EF0" w:rsidRPr="00B038A4">
              <w:fldChar w:fldCharType="end"/>
            </w:r>
            <w:bookmarkEnd w:id="0"/>
          </w:p>
          <w:p w:rsidR="00A658DB" w:rsidRPr="00B038A4" w:rsidRDefault="00E33EF0" w:rsidP="008563C6">
            <w:fldSimple w:instr=" FILLIN  &quot;Введите дату документа&quot; \* MERGEFORMAT ">
              <w:r w:rsidR="00D1062F" w:rsidRPr="00B038A4">
                <w:t>29 June 2016</w:t>
              </w:r>
            </w:fldSimple>
          </w:p>
          <w:p w:rsidR="00A658DB" w:rsidRPr="00B038A4" w:rsidRDefault="00A658DB" w:rsidP="008563C6">
            <w:r w:rsidRPr="00B038A4">
              <w:t>Russian</w:t>
            </w:r>
          </w:p>
          <w:p w:rsidR="00A658DB" w:rsidRPr="00B038A4" w:rsidRDefault="00A658DB" w:rsidP="008563C6">
            <w:r w:rsidRPr="00B038A4">
              <w:t xml:space="preserve">Original: </w:t>
            </w:r>
            <w:bookmarkStart w:id="1" w:name="ПолеСоСписком2"/>
            <w:r w:rsidR="00E33EF0" w:rsidRPr="00B038A4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B038A4">
              <w:instrText xml:space="preserve"> FORMDROPDOWN </w:instrText>
            </w:r>
            <w:r w:rsidR="00E33EF0">
              <w:fldChar w:fldCharType="separate"/>
            </w:r>
            <w:r w:rsidR="00E33EF0" w:rsidRPr="00B038A4">
              <w:fldChar w:fldCharType="end"/>
            </w:r>
            <w:bookmarkEnd w:id="1"/>
          </w:p>
          <w:p w:rsidR="00A658DB" w:rsidRPr="00B038A4" w:rsidRDefault="00A658DB" w:rsidP="008563C6"/>
        </w:tc>
      </w:tr>
    </w:tbl>
    <w:p w:rsidR="00A658DB" w:rsidRPr="00B038A4" w:rsidRDefault="00A658DB" w:rsidP="00A658DB">
      <w:pPr>
        <w:spacing w:before="120"/>
        <w:rPr>
          <w:b/>
          <w:sz w:val="28"/>
          <w:szCs w:val="28"/>
        </w:rPr>
      </w:pPr>
      <w:r w:rsidRPr="00B038A4">
        <w:rPr>
          <w:b/>
          <w:sz w:val="28"/>
          <w:szCs w:val="28"/>
        </w:rPr>
        <w:t>Европейская экономическая комиссия</w:t>
      </w:r>
    </w:p>
    <w:p w:rsidR="00D1062F" w:rsidRPr="00B038A4" w:rsidRDefault="00D1062F" w:rsidP="00581A29">
      <w:pPr>
        <w:spacing w:before="120" w:after="120"/>
        <w:rPr>
          <w:sz w:val="28"/>
          <w:szCs w:val="28"/>
        </w:rPr>
      </w:pPr>
      <w:r w:rsidRPr="00B038A4">
        <w:rPr>
          <w:sz w:val="28"/>
          <w:szCs w:val="28"/>
        </w:rPr>
        <w:t>Комитет по внутреннему транспорту</w:t>
      </w:r>
    </w:p>
    <w:p w:rsidR="00D1062F" w:rsidRPr="00B038A4" w:rsidRDefault="00D1062F" w:rsidP="00D1062F">
      <w:pPr>
        <w:spacing w:after="120"/>
        <w:rPr>
          <w:b/>
          <w:sz w:val="24"/>
          <w:szCs w:val="24"/>
        </w:rPr>
      </w:pPr>
      <w:r w:rsidRPr="00B038A4">
        <w:rPr>
          <w:b/>
          <w:sz w:val="24"/>
          <w:szCs w:val="24"/>
        </w:rPr>
        <w:t>Рабочая группа по перевозкам опасных грузов</w:t>
      </w:r>
    </w:p>
    <w:p w:rsidR="00D1062F" w:rsidRPr="00B038A4" w:rsidRDefault="00D1062F" w:rsidP="00D1062F">
      <w:pPr>
        <w:rPr>
          <w:b/>
        </w:rPr>
      </w:pPr>
      <w:r w:rsidRPr="00B038A4">
        <w:rPr>
          <w:b/>
        </w:rPr>
        <w:t>Совместное совещание Комиссии экспертов МПОГ</w:t>
      </w:r>
      <w:r w:rsidRPr="00B038A4">
        <w:rPr>
          <w:b/>
        </w:rPr>
        <w:br/>
        <w:t>и Рабочей группы по перевозкам опасных грузов</w:t>
      </w:r>
    </w:p>
    <w:p w:rsidR="00D1062F" w:rsidRPr="00B038A4" w:rsidRDefault="00D1062F" w:rsidP="00D1062F">
      <w:r w:rsidRPr="00B038A4">
        <w:t>Женева, 19–23</w:t>
      </w:r>
      <w:r w:rsidR="00B038A4" w:rsidRPr="00B038A4">
        <w:t xml:space="preserve"> </w:t>
      </w:r>
      <w:r w:rsidRPr="00B038A4">
        <w:t>сентября 2016</w:t>
      </w:r>
      <w:r w:rsidR="00B038A4" w:rsidRPr="00B038A4">
        <w:t xml:space="preserve"> </w:t>
      </w:r>
      <w:r w:rsidRPr="00B038A4">
        <w:t>года</w:t>
      </w:r>
    </w:p>
    <w:p w:rsidR="00D1062F" w:rsidRPr="00581A29" w:rsidRDefault="00D1062F" w:rsidP="00D1062F">
      <w:r w:rsidRPr="00581A29">
        <w:t>Пункт</w:t>
      </w:r>
      <w:r w:rsidR="00B038A4" w:rsidRPr="00581A29">
        <w:t xml:space="preserve"> </w:t>
      </w:r>
      <w:r w:rsidRPr="00581A29">
        <w:t>5</w:t>
      </w:r>
      <w:r w:rsidR="00581A29" w:rsidRPr="00581A29">
        <w:t xml:space="preserve"> </w:t>
      </w:r>
      <w:r w:rsidRPr="00581A29">
        <w:t>a</w:t>
      </w:r>
      <w:r w:rsidR="00581A29" w:rsidRPr="00581A29">
        <w:t>)</w:t>
      </w:r>
      <w:r w:rsidRPr="00581A29">
        <w:t xml:space="preserve"> предварительной повестки дня</w:t>
      </w:r>
    </w:p>
    <w:p w:rsidR="00D1062F" w:rsidRPr="00B038A4" w:rsidRDefault="00D1062F" w:rsidP="00581A29">
      <w:r w:rsidRPr="00581A29">
        <w:rPr>
          <w:b/>
        </w:rPr>
        <w:t xml:space="preserve">Предложения о внесении поправок в МПОГ/ДОПОГ/ВОПОГ: </w:t>
      </w:r>
      <w:r w:rsidR="00581A29">
        <w:rPr>
          <w:b/>
        </w:rPr>
        <w:br/>
      </w:r>
      <w:r w:rsidRPr="00581A29">
        <w:rPr>
          <w:b/>
        </w:rPr>
        <w:t>нерассмотренные вопросы</w:t>
      </w:r>
    </w:p>
    <w:p w:rsidR="00D1062F" w:rsidRPr="00B038A4" w:rsidRDefault="00D1062F" w:rsidP="00581A29">
      <w:pPr>
        <w:pStyle w:val="HChGR"/>
      </w:pPr>
      <w:r w:rsidRPr="00B038A4">
        <w:tab/>
      </w:r>
      <w:r w:rsidRPr="00B038A4">
        <w:tab/>
        <w:t>Альтернативные методы периодической проверки сосудов под давлением многоразового использования</w:t>
      </w:r>
    </w:p>
    <w:p w:rsidR="00D1062F" w:rsidRPr="00B038A4" w:rsidRDefault="00D1062F" w:rsidP="00581A29">
      <w:pPr>
        <w:pStyle w:val="H1GR"/>
      </w:pPr>
      <w:r w:rsidRPr="00B038A4">
        <w:tab/>
      </w:r>
      <w:r w:rsidRPr="00B038A4">
        <w:tab/>
        <w:t xml:space="preserve">Передано Европейской ассоциацией по сжиженным нефтяным газам (ЕАСНГ) от имени </w:t>
      </w:r>
      <w:r w:rsidR="00581A29">
        <w:t>неофициальной рабочей группы по </w:t>
      </w:r>
      <w:r w:rsidRPr="00B038A4">
        <w:t>альтернативным методам периодической проверки</w:t>
      </w:r>
      <w:r w:rsidRPr="00AA6753">
        <w:rPr>
          <w:rStyle w:val="Appelnotedebasdep"/>
          <w:b w:val="0"/>
        </w:rPr>
        <w:footnoteReference w:id="1"/>
      </w:r>
      <w:r w:rsidRPr="00AD3B34">
        <w:rPr>
          <w:b w:val="0"/>
          <w:vertAlign w:val="superscript"/>
        </w:rPr>
        <w:t>,</w:t>
      </w:r>
      <w:r w:rsidRPr="00B038A4">
        <w:rPr>
          <w:vertAlign w:val="superscript"/>
        </w:rPr>
        <w:t xml:space="preserve"> </w:t>
      </w:r>
      <w:r w:rsidRPr="00AA6753">
        <w:rPr>
          <w:rStyle w:val="Appelnotedebasdep"/>
          <w:b w:val="0"/>
        </w:rPr>
        <w:footnoteReference w:id="2"/>
      </w:r>
    </w:p>
    <w:p w:rsidR="00D1062F" w:rsidRPr="00B038A4" w:rsidRDefault="00D1062F" w:rsidP="00D1062F">
      <w:pPr>
        <w:pStyle w:val="SingleTxtGR"/>
        <w:rPr>
          <w:b/>
        </w:rPr>
      </w:pPr>
      <w:r w:rsidRPr="00B038A4">
        <w:rPr>
          <w:b/>
        </w:rPr>
        <w:br w:type="page"/>
      </w:r>
    </w:p>
    <w:tbl>
      <w:tblPr>
        <w:tblStyle w:val="Grilledutableau"/>
        <w:tblW w:w="0" w:type="auto"/>
        <w:tblBorders>
          <w:insideH w:val="none" w:sz="0" w:space="0" w:color="auto"/>
        </w:tblBorders>
        <w:tblLook w:val="05E0"/>
      </w:tblPr>
      <w:tblGrid>
        <w:gridCol w:w="9854"/>
      </w:tblGrid>
      <w:tr w:rsidR="00AA6753" w:rsidTr="00AA6753">
        <w:tc>
          <w:tcPr>
            <w:tcW w:w="9854" w:type="dxa"/>
            <w:shd w:val="clear" w:color="auto" w:fill="auto"/>
          </w:tcPr>
          <w:p w:rsidR="00AA6753" w:rsidRPr="00AA6753" w:rsidRDefault="00AA6753" w:rsidP="00AA6753">
            <w:pPr>
              <w:suppressAutoHyphens/>
              <w:spacing w:before="240" w:after="120"/>
              <w:ind w:left="255"/>
              <w:rPr>
                <w:i/>
                <w:sz w:val="24"/>
              </w:rPr>
            </w:pPr>
            <w:r w:rsidRPr="00AA6753">
              <w:rPr>
                <w:i/>
                <w:sz w:val="24"/>
              </w:rPr>
              <w:lastRenderedPageBreak/>
              <w:t>Резюме</w:t>
            </w:r>
          </w:p>
        </w:tc>
      </w:tr>
      <w:tr w:rsidR="00AA6753" w:rsidTr="00AA6753">
        <w:tc>
          <w:tcPr>
            <w:tcW w:w="9854" w:type="dxa"/>
            <w:shd w:val="clear" w:color="auto" w:fill="auto"/>
          </w:tcPr>
          <w:p w:rsidR="0086224A" w:rsidRPr="0086224A" w:rsidRDefault="0086224A" w:rsidP="004B7955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left" w:pos="2898"/>
              </w:tabs>
              <w:ind w:left="2898" w:hanging="2618"/>
            </w:pPr>
            <w:r w:rsidRPr="0086224A">
              <w:rPr>
                <w:b/>
              </w:rPr>
              <w:t>Существо предложения:</w:t>
            </w:r>
            <w:r w:rsidRPr="0086224A">
              <w:tab/>
              <w:t>Настоящий документ является результатом деятельности рабочей группы по альтернативным методам периодической проверки баллонов многоразового использования. В нем содержится просьба о внесении в МПОГ/ДОПОГ общего положения, разделенного на три предложения, с изложением требований, касающихся разработки и предложения альтернативного метода периодической проверки сосудов под давлением:</w:t>
            </w:r>
          </w:p>
          <w:p w:rsidR="0086224A" w:rsidRPr="0086224A" w:rsidRDefault="005B0C03" w:rsidP="004B7955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left" w:pos="2898"/>
              </w:tabs>
              <w:ind w:left="2898" w:hanging="2618"/>
            </w:pPr>
            <w:r>
              <w:tab/>
            </w:r>
            <w:r w:rsidRPr="0086224A">
              <w:t xml:space="preserve">предложение </w:t>
            </w:r>
            <w:r w:rsidR="00DD6A2E">
              <w:t>1 </w:t>
            </w:r>
            <w:r w:rsidR="00E12FFB">
              <w:t>–</w:t>
            </w:r>
            <w:r w:rsidR="00DD6A2E">
              <w:t> </w:t>
            </w:r>
            <w:r w:rsidR="0086224A" w:rsidRPr="0086224A">
              <w:t>общие правила;</w:t>
            </w:r>
          </w:p>
          <w:p w:rsidR="0086224A" w:rsidRPr="0086224A" w:rsidRDefault="00F00315" w:rsidP="004B7955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left" w:pos="2898"/>
              </w:tabs>
              <w:ind w:left="2898" w:hanging="2618"/>
            </w:pPr>
            <w:r>
              <w:tab/>
            </w:r>
            <w:r w:rsidR="00DD6A2E">
              <w:t>предложение 2 </w:t>
            </w:r>
            <w:r w:rsidR="00E12FFB">
              <w:t>–</w:t>
            </w:r>
            <w:r w:rsidR="00DD6A2E">
              <w:t> </w:t>
            </w:r>
            <w:r w:rsidR="0086224A" w:rsidRPr="0086224A">
              <w:t>неразрушающий контроль в качестве первого варианта замены;</w:t>
            </w:r>
          </w:p>
          <w:p w:rsidR="00AA6753" w:rsidRDefault="00F00315" w:rsidP="004B7955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left" w:pos="2898"/>
              </w:tabs>
              <w:ind w:left="2898" w:hanging="2618"/>
            </w:pPr>
            <w:r>
              <w:tab/>
            </w:r>
            <w:r w:rsidR="00DD6A2E">
              <w:t>предложение 3 </w:t>
            </w:r>
            <w:r w:rsidR="00E12FFB">
              <w:t>–</w:t>
            </w:r>
            <w:r w:rsidR="00DD6A2E">
              <w:t> </w:t>
            </w:r>
            <w:r w:rsidR="0086224A" w:rsidRPr="0086224A">
              <w:t>разрушающий контроль, когда неразрушающий контроль проводить нецелесообразно.</w:t>
            </w:r>
          </w:p>
        </w:tc>
      </w:tr>
      <w:tr w:rsidR="0086224A" w:rsidTr="00AA6753">
        <w:tc>
          <w:tcPr>
            <w:tcW w:w="9854" w:type="dxa"/>
            <w:shd w:val="clear" w:color="auto" w:fill="auto"/>
          </w:tcPr>
          <w:p w:rsidR="0086224A" w:rsidRPr="00F00315" w:rsidRDefault="0086224A" w:rsidP="004B7955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left" w:pos="2898"/>
              </w:tabs>
              <w:ind w:left="2898" w:hanging="2618"/>
            </w:pPr>
            <w:r w:rsidRPr="0086224A">
              <w:rPr>
                <w:b/>
              </w:rPr>
              <w:t>Предлагаемое решение:</w:t>
            </w:r>
            <w:r w:rsidRPr="0086224A">
              <w:rPr>
                <w:b/>
              </w:rPr>
              <w:tab/>
            </w:r>
            <w:r w:rsidRPr="00F00315">
              <w:t>Включить новый подраздел 6.2.3.5.3;</w:t>
            </w:r>
          </w:p>
          <w:p w:rsidR="0086224A" w:rsidRPr="00F00315" w:rsidRDefault="0073641D" w:rsidP="004B7955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left" w:pos="2898"/>
              </w:tabs>
              <w:ind w:left="2898" w:hanging="2618"/>
            </w:pPr>
            <w:r>
              <w:tab/>
            </w:r>
            <w:r w:rsidR="0086224A" w:rsidRPr="00F00315">
              <w:t>включить новый подраздел 6.2.3.5.3.1;</w:t>
            </w:r>
          </w:p>
          <w:p w:rsidR="0086224A" w:rsidRPr="0086224A" w:rsidRDefault="0086224A" w:rsidP="004B7955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left" w:pos="2898"/>
              </w:tabs>
              <w:ind w:left="2898" w:hanging="2618"/>
              <w:rPr>
                <w:b/>
              </w:rPr>
            </w:pPr>
            <w:r w:rsidRPr="00F00315">
              <w:tab/>
              <w:t>включить новый подраздел 6.2.3.5.3.2.</w:t>
            </w:r>
          </w:p>
        </w:tc>
      </w:tr>
      <w:tr w:rsidR="0073641D" w:rsidTr="00AA6753">
        <w:tc>
          <w:tcPr>
            <w:tcW w:w="9854" w:type="dxa"/>
            <w:shd w:val="clear" w:color="auto" w:fill="auto"/>
          </w:tcPr>
          <w:p w:rsidR="0073641D" w:rsidRPr="0073641D" w:rsidRDefault="0073641D" w:rsidP="004B7955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left" w:pos="2898"/>
              </w:tabs>
              <w:ind w:left="2898" w:hanging="2618"/>
            </w:pPr>
            <w:r w:rsidRPr="0073641D">
              <w:rPr>
                <w:b/>
              </w:rPr>
              <w:t>Справочные документы:</w:t>
            </w:r>
            <w:r w:rsidRPr="0073641D">
              <w:rPr>
                <w:b/>
              </w:rPr>
              <w:tab/>
            </w:r>
            <w:r w:rsidRPr="0073641D">
              <w:t>ECE/TRANS/WP.15/AC.1/2015/48 и неофициальные документы INF.20 и INF.30, представленные на осенней сессии 2015 года;</w:t>
            </w:r>
          </w:p>
          <w:p w:rsidR="0073641D" w:rsidRPr="0073641D" w:rsidRDefault="0073641D" w:rsidP="004B7955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left" w:pos="2898"/>
              </w:tabs>
              <w:ind w:left="2898" w:hanging="2618"/>
            </w:pPr>
            <w:r w:rsidRPr="0073641D">
              <w:tab/>
              <w:t>ECE/TRANS/WP.15/AC</w:t>
            </w:r>
            <w:r w:rsidR="005020E8">
              <w:t>.1/138 и неофициальный документ </w:t>
            </w:r>
            <w:r w:rsidRPr="0073641D">
              <w:t>INF.23, представленные на весенней сессии 2015 года;</w:t>
            </w:r>
          </w:p>
          <w:p w:rsidR="0073641D" w:rsidRPr="0073641D" w:rsidRDefault="0073641D" w:rsidP="004B7955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left" w:pos="2898"/>
              </w:tabs>
              <w:ind w:left="2898" w:hanging="2618"/>
            </w:pPr>
            <w:r w:rsidRPr="0073641D">
              <w:tab/>
              <w:t>ECE/TRANS/WP.15/AC.1/2014/48 и неофициальные документы INF.5 и INF.52, представленные на осенней сессии 2014 года;</w:t>
            </w:r>
          </w:p>
          <w:p w:rsidR="0073641D" w:rsidRPr="0073641D" w:rsidRDefault="0073641D" w:rsidP="004B7955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left" w:pos="2898"/>
              </w:tabs>
              <w:ind w:left="2898" w:hanging="2618"/>
            </w:pPr>
            <w:r w:rsidRPr="0073641D">
              <w:tab/>
              <w:t>ECE/TRANS/WP.15/AC.1/2014/31 и неофициальный документ INF.4, представленные на весенней сессии 2014 года;</w:t>
            </w:r>
          </w:p>
          <w:p w:rsidR="0073641D" w:rsidRPr="0073641D" w:rsidRDefault="0073641D" w:rsidP="004B7955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left" w:pos="2898"/>
              </w:tabs>
              <w:ind w:left="2898" w:hanging="2618"/>
            </w:pPr>
            <w:r w:rsidRPr="0073641D">
              <w:tab/>
              <w:t>неофициальный документ INF.50, представленный ЕАСНГ, и неофициальный документ INF.45, представленный Германией на осенней сессии 2013 года;</w:t>
            </w:r>
          </w:p>
          <w:p w:rsidR="0073641D" w:rsidRPr="0073641D" w:rsidRDefault="0073641D" w:rsidP="004B7955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left" w:pos="2898"/>
              </w:tabs>
              <w:ind w:left="2898" w:hanging="2618"/>
            </w:pPr>
            <w:r w:rsidRPr="0073641D">
              <w:tab/>
              <w:t>ECE/TRANS/WP.15/AC.1/2013/43 и неофициальный документ INF.6, представленные на осенней сессии 2013 года;</w:t>
            </w:r>
          </w:p>
          <w:p w:rsidR="0073641D" w:rsidRPr="0073641D" w:rsidRDefault="005E1046" w:rsidP="004B7955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left" w:pos="2898"/>
              </w:tabs>
              <w:ind w:left="2898" w:hanging="2618"/>
            </w:pPr>
            <w:r>
              <w:tab/>
            </w:r>
            <w:r w:rsidR="0073641D" w:rsidRPr="0073641D">
              <w:t>неофициальный документ INF.39, представленный на весенней сессии 2013 года;</w:t>
            </w:r>
          </w:p>
          <w:p w:rsidR="0073641D" w:rsidRPr="0086224A" w:rsidRDefault="005E1046" w:rsidP="004B7955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left" w:pos="2898"/>
              </w:tabs>
              <w:ind w:left="2898" w:hanging="2618"/>
              <w:rPr>
                <w:b/>
              </w:rPr>
            </w:pPr>
            <w:r>
              <w:tab/>
            </w:r>
            <w:r w:rsidR="0073641D" w:rsidRPr="0073641D">
              <w:t>ECE/TRANS/WP.15/AC.1/2013/16.</w:t>
            </w:r>
          </w:p>
        </w:tc>
      </w:tr>
      <w:tr w:rsidR="00AA6753" w:rsidTr="00AA6753">
        <w:tc>
          <w:tcPr>
            <w:tcW w:w="9854" w:type="dxa"/>
            <w:shd w:val="clear" w:color="auto" w:fill="auto"/>
          </w:tcPr>
          <w:p w:rsidR="00AA6753" w:rsidRDefault="00AA6753" w:rsidP="00AA6753"/>
        </w:tc>
      </w:tr>
    </w:tbl>
    <w:p w:rsidR="00D1062F" w:rsidRPr="00B038A4" w:rsidRDefault="00D1062F" w:rsidP="00D96DD9">
      <w:pPr>
        <w:pStyle w:val="HChGR"/>
        <w:rPr>
          <w:bCs/>
        </w:rPr>
      </w:pPr>
      <w:r w:rsidRPr="00B038A4">
        <w:lastRenderedPageBreak/>
        <w:tab/>
      </w:r>
      <w:r w:rsidRPr="00B038A4">
        <w:tab/>
        <w:t>Общая информация</w:t>
      </w:r>
    </w:p>
    <w:p w:rsidR="00D1062F" w:rsidRPr="00B038A4" w:rsidRDefault="00D1062F" w:rsidP="00D1062F">
      <w:pPr>
        <w:pStyle w:val="SingleTxtGR"/>
      </w:pPr>
      <w:r w:rsidRPr="00B038A4">
        <w:t>1.</w:t>
      </w:r>
      <w:r w:rsidRPr="00B038A4">
        <w:tab/>
        <w:t>Как было решено на последней сессии Совместного совещания в Берне (март 2016</w:t>
      </w:r>
      <w:r w:rsidR="00B038A4" w:rsidRPr="00B038A4">
        <w:t xml:space="preserve"> </w:t>
      </w:r>
      <w:r w:rsidRPr="00B038A4">
        <w:t>года), в Париже 3 и 4</w:t>
      </w:r>
      <w:r w:rsidR="00B038A4" w:rsidRPr="00B038A4">
        <w:t xml:space="preserve"> </w:t>
      </w:r>
      <w:r w:rsidRPr="00B038A4">
        <w:t>мая 2016</w:t>
      </w:r>
      <w:r w:rsidR="00B038A4" w:rsidRPr="00B038A4">
        <w:t xml:space="preserve"> </w:t>
      </w:r>
      <w:r w:rsidRPr="00B038A4">
        <w:t>года была проведена новая сессия, на которой присутствовали представители Австрии, Бельгии, Германии, Швейцарии, Швеции, Европейской ассоциации по промышленным газам (ЕАПГ), Европейской ассоциации производителей баллонов (ЕАПБ) и Европейской ассоциации по сжиженным нефтяным газам (ЕАСНГ).</w:t>
      </w:r>
    </w:p>
    <w:p w:rsidR="00D1062F" w:rsidRPr="00B038A4" w:rsidRDefault="00D1062F" w:rsidP="00D1062F">
      <w:pPr>
        <w:pStyle w:val="SingleTxtGR"/>
      </w:pPr>
      <w:r w:rsidRPr="00B038A4">
        <w:t>2.</w:t>
      </w:r>
      <w:r w:rsidRPr="00B038A4">
        <w:tab/>
        <w:t>В ходе сессии ЕАСНГ напомнила новым участникам о теме обсуждения, так как Совместное совещание решило распространить сферу применения на другие виды газов и баллонов.</w:t>
      </w:r>
    </w:p>
    <w:p w:rsidR="00D1062F" w:rsidRPr="00B038A4" w:rsidRDefault="00D1062F" w:rsidP="00D1062F">
      <w:pPr>
        <w:pStyle w:val="SingleTxtGR"/>
      </w:pPr>
      <w:r w:rsidRPr="00B038A4">
        <w:t>3.</w:t>
      </w:r>
      <w:r w:rsidRPr="00B038A4">
        <w:tab/>
        <w:t>Участники решили ответить на различные вопросы, поднятые в связи с обсуждаемой темой на сессии Совместного совещания в сентябре 2015</w:t>
      </w:r>
      <w:r w:rsidR="00B038A4" w:rsidRPr="00B038A4">
        <w:t xml:space="preserve"> </w:t>
      </w:r>
      <w:r w:rsidRPr="00B038A4">
        <w:t>года, такие как:</w:t>
      </w:r>
    </w:p>
    <w:p w:rsidR="00D1062F" w:rsidRPr="00B038A4" w:rsidRDefault="00D1062F" w:rsidP="00D96DD9">
      <w:pPr>
        <w:pStyle w:val="Bullet1GR"/>
      </w:pPr>
      <w:r w:rsidRPr="00B038A4">
        <w:t>обеспокоенность Испании (неофициальный документ INF.30),</w:t>
      </w:r>
    </w:p>
    <w:p w:rsidR="00D1062F" w:rsidRPr="00B038A4" w:rsidRDefault="00D1062F" w:rsidP="00D96DD9">
      <w:pPr>
        <w:pStyle w:val="Bullet1GR"/>
      </w:pPr>
      <w:r w:rsidRPr="00B038A4">
        <w:t>вопросы о статистике (Бельгия, Люксембург, Швейцария), поднятые на неофициальном заседании в ходе обеденного перерыва,</w:t>
      </w:r>
    </w:p>
    <w:p w:rsidR="00D1062F" w:rsidRPr="00B038A4" w:rsidRDefault="00D1062F" w:rsidP="00D1062F">
      <w:pPr>
        <w:pStyle w:val="SingleTxtGR"/>
      </w:pPr>
      <w:r w:rsidRPr="00B038A4">
        <w:t>либо путем представления комментариев по каждому вопросу, либо путем изменения предложений.</w:t>
      </w:r>
    </w:p>
    <w:p w:rsidR="00D96DD9" w:rsidRDefault="00D96DD9" w:rsidP="00D96DD9">
      <w:pPr>
        <w:pStyle w:val="SingleTxtGR"/>
      </w:pPr>
      <w:r>
        <w:tab/>
      </w:r>
      <w:r w:rsidR="00D1062F" w:rsidRPr="00B038A4">
        <w:t>Что касается, в частности, неофициального документа INF.30, то ниже приводятся уточнения, подготовленные рабочей группы по каждому разделу названного документа.</w:t>
      </w:r>
    </w:p>
    <w:p w:rsidR="00D1062F" w:rsidRPr="00D96DD9" w:rsidRDefault="00D1062F" w:rsidP="00D96DD9">
      <w:pPr>
        <w:pStyle w:val="SingleTxtGR"/>
        <w:ind w:firstLine="567"/>
      </w:pPr>
      <w:r w:rsidRPr="00B038A4">
        <w:rPr>
          <w:b/>
          <w:i/>
          <w:u w:val="single"/>
        </w:rPr>
        <w:t>Замечания общего порядка</w:t>
      </w:r>
    </w:p>
    <w:p w:rsidR="00D1062F" w:rsidRPr="00B038A4" w:rsidRDefault="004E5016" w:rsidP="004E5016">
      <w:pPr>
        <w:pStyle w:val="SingleTxtGR"/>
        <w:ind w:left="1701" w:hanging="567"/>
        <w:rPr>
          <w:i/>
        </w:rPr>
      </w:pPr>
      <w:r>
        <w:rPr>
          <w:i/>
        </w:rPr>
        <w:tab/>
      </w:r>
      <w:r w:rsidR="008563C6">
        <w:rPr>
          <w:i/>
        </w:rPr>
        <w:tab/>
      </w:r>
      <w:r w:rsidR="00D1062F" w:rsidRPr="00B038A4">
        <w:rPr>
          <w:i/>
        </w:rPr>
        <w:t>Общий подход заключается в разработке поэтапного процесса в качестве руководства по внесению в ДОПОГ необходимых изменений, касающихся периодических проверок и испытаний.</w:t>
      </w:r>
    </w:p>
    <w:p w:rsidR="00D1062F" w:rsidRPr="00B038A4" w:rsidRDefault="008563C6" w:rsidP="004E5016">
      <w:pPr>
        <w:pStyle w:val="SingleTxtGR"/>
        <w:ind w:left="1701" w:hanging="567"/>
        <w:rPr>
          <w:i/>
        </w:rPr>
      </w:pPr>
      <w:r>
        <w:rPr>
          <w:i/>
        </w:rPr>
        <w:tab/>
      </w:r>
      <w:r>
        <w:rPr>
          <w:i/>
        </w:rPr>
        <w:tab/>
      </w:r>
      <w:r w:rsidR="00D1062F" w:rsidRPr="00B038A4">
        <w:rPr>
          <w:i/>
        </w:rPr>
        <w:t>Этот подход означает, что необходимо настаивать на установлении очередности принимаемых решений, вследствие чего общее положение было разделено на три предложения. В частности, в предложении</w:t>
      </w:r>
      <w:r w:rsidR="00B038A4" w:rsidRPr="00B038A4">
        <w:rPr>
          <w:i/>
        </w:rPr>
        <w:t xml:space="preserve"> </w:t>
      </w:r>
      <w:r w:rsidR="00D1062F" w:rsidRPr="00B038A4">
        <w:rPr>
          <w:i/>
        </w:rPr>
        <w:t>2 содержится требование о том, чтобы для любых альтернативных вариантов рассматривать в первую очередь индивидуальный неразрушающий контроль (НРК) 100% сосудов для замены требуемых в настоящее время испытаний ДОПОГ в том случае, если они не подходят.</w:t>
      </w:r>
    </w:p>
    <w:p w:rsidR="00D1062F" w:rsidRPr="00B038A4" w:rsidRDefault="008563C6" w:rsidP="004E5016">
      <w:pPr>
        <w:pStyle w:val="SingleTxtGR"/>
        <w:ind w:left="1701" w:hanging="567"/>
        <w:rPr>
          <w:i/>
        </w:rPr>
      </w:pPr>
      <w:r>
        <w:rPr>
          <w:i/>
        </w:rPr>
        <w:tab/>
      </w:r>
      <w:r>
        <w:rPr>
          <w:i/>
        </w:rPr>
        <w:tab/>
      </w:r>
      <w:r w:rsidR="00D1062F" w:rsidRPr="00B038A4">
        <w:rPr>
          <w:i/>
        </w:rPr>
        <w:t>Независимый эксперт, обладающий опытом в области статистики и сосудов под давлением, должен подтвердить уровень безопасности любого альтернативного статистического метода (который может применяться только в том случае, если 100-процентный НРК невозможен). В</w:t>
      </w:r>
      <w:r>
        <w:rPr>
          <w:i/>
        </w:rPr>
        <w:t> </w:t>
      </w:r>
      <w:r w:rsidR="00D1062F" w:rsidRPr="00B038A4">
        <w:rPr>
          <w:i/>
        </w:rPr>
        <w:t>ходе этого анализа должна быть оценена функция распределения и должны быть приняты во внимание потенциальные изменения функции распределения, вызванные, например, ухудшением характеристик в процессе эксплуатации. Часть образцов должна также отображать наихудшие сценарии ухудшения характеристик.</w:t>
      </w:r>
    </w:p>
    <w:p w:rsidR="00D1062F" w:rsidRPr="00B038A4" w:rsidRDefault="008563C6" w:rsidP="004E5016">
      <w:pPr>
        <w:pStyle w:val="SingleTxtGR"/>
        <w:ind w:left="1701" w:hanging="567"/>
        <w:rPr>
          <w:i/>
        </w:rPr>
      </w:pPr>
      <w:r>
        <w:rPr>
          <w:i/>
        </w:rPr>
        <w:tab/>
      </w:r>
      <w:r>
        <w:rPr>
          <w:i/>
        </w:rPr>
        <w:tab/>
      </w:r>
      <w:r w:rsidR="00D1062F" w:rsidRPr="00B038A4">
        <w:rPr>
          <w:i/>
        </w:rPr>
        <w:t>В предложении</w:t>
      </w:r>
      <w:r w:rsidR="00B038A4" w:rsidRPr="00B038A4">
        <w:rPr>
          <w:i/>
        </w:rPr>
        <w:t xml:space="preserve"> </w:t>
      </w:r>
      <w:r w:rsidR="00D1062F" w:rsidRPr="00B038A4">
        <w:rPr>
          <w:i/>
        </w:rPr>
        <w:t>1 содержится четкое требование о том, чтобы любой альтернативный метод указывался в соответствующем пункте главы</w:t>
      </w:r>
      <w:r w:rsidR="00B038A4" w:rsidRPr="00B038A4">
        <w:rPr>
          <w:i/>
        </w:rPr>
        <w:t xml:space="preserve"> </w:t>
      </w:r>
      <w:r w:rsidR="00D1062F" w:rsidRPr="00B038A4">
        <w:rPr>
          <w:i/>
        </w:rPr>
        <w:t xml:space="preserve">6.2.3 и подробно излагался в специальном положении или </w:t>
      </w:r>
      <w:r w:rsidR="00D1062F" w:rsidRPr="00B038A4">
        <w:rPr>
          <w:i/>
        </w:rPr>
        <w:lastRenderedPageBreak/>
        <w:t>стандарте, на который сделана ссылка. Поэтому альтернативный метод должен быть представлен Совместному совещанию и окончательно согласован.</w:t>
      </w:r>
    </w:p>
    <w:p w:rsidR="00D1062F" w:rsidRPr="00B038A4" w:rsidRDefault="008563C6" w:rsidP="004E5016">
      <w:pPr>
        <w:pStyle w:val="SingleTxtGR"/>
        <w:ind w:left="1701" w:hanging="567"/>
        <w:rPr>
          <w:b/>
          <w:i/>
          <w:u w:val="single"/>
        </w:rPr>
      </w:pPr>
      <w:r w:rsidRPr="008563C6">
        <w:rPr>
          <w:i/>
        </w:rPr>
        <w:tab/>
      </w:r>
      <w:r w:rsidR="00D1062F" w:rsidRPr="00B038A4">
        <w:rPr>
          <w:b/>
          <w:i/>
          <w:u w:val="single"/>
        </w:rPr>
        <w:t>Методы проектирования</w:t>
      </w:r>
    </w:p>
    <w:p w:rsidR="00D1062F" w:rsidRPr="00B038A4" w:rsidRDefault="008563C6" w:rsidP="004E5016">
      <w:pPr>
        <w:pStyle w:val="SingleTxtGR"/>
        <w:ind w:left="1701" w:hanging="567"/>
        <w:rPr>
          <w:i/>
        </w:rPr>
      </w:pPr>
      <w:r>
        <w:rPr>
          <w:i/>
        </w:rPr>
        <w:tab/>
      </w:r>
      <w:r>
        <w:rPr>
          <w:i/>
        </w:rPr>
        <w:tab/>
      </w:r>
      <w:r w:rsidR="00D1062F" w:rsidRPr="00B038A4">
        <w:rPr>
          <w:i/>
        </w:rPr>
        <w:t>Ответ уже был предоставлен Совместным совещанием в сентябре 2015</w:t>
      </w:r>
      <w:r>
        <w:rPr>
          <w:i/>
        </w:rPr>
        <w:t> </w:t>
      </w:r>
      <w:r w:rsidR="00D1062F" w:rsidRPr="00B038A4">
        <w:rPr>
          <w:i/>
        </w:rPr>
        <w:t>года, в правила могут вноситься изменения с целью учета технологической эволюции.</w:t>
      </w:r>
    </w:p>
    <w:p w:rsidR="00D1062F" w:rsidRPr="00B038A4" w:rsidRDefault="00CD0B0C" w:rsidP="004E5016">
      <w:pPr>
        <w:pStyle w:val="SingleTxtGR"/>
        <w:ind w:left="1701" w:hanging="567"/>
        <w:rPr>
          <w:i/>
        </w:rPr>
      </w:pPr>
      <w:r>
        <w:rPr>
          <w:i/>
        </w:rPr>
        <w:tab/>
      </w:r>
      <w:r w:rsidR="008563C6">
        <w:rPr>
          <w:i/>
        </w:rPr>
        <w:tab/>
      </w:r>
      <w:r w:rsidR="00D1062F" w:rsidRPr="00B038A4">
        <w:rPr>
          <w:i/>
        </w:rPr>
        <w:t>Безопасность сосуда под давлением любого типа на протяжении всего срока его эксплуатации обусловлена комбинацией эффективных:</w:t>
      </w:r>
    </w:p>
    <w:p w:rsidR="00D1062F" w:rsidRPr="00B038A4" w:rsidRDefault="00D1062F" w:rsidP="008563C6">
      <w:pPr>
        <w:pStyle w:val="Bullet2GR"/>
      </w:pPr>
      <w:r w:rsidRPr="00B038A4">
        <w:t>проектных параметров, производственных показателей;</w:t>
      </w:r>
    </w:p>
    <w:p w:rsidR="00D1062F" w:rsidRPr="00B038A4" w:rsidRDefault="00D1062F" w:rsidP="008563C6">
      <w:pPr>
        <w:pStyle w:val="Bullet2GR"/>
      </w:pPr>
      <w:r w:rsidRPr="00B038A4">
        <w:t>проверок при заполнении (осуществлении операций); и</w:t>
      </w:r>
    </w:p>
    <w:p w:rsidR="00D1062F" w:rsidRPr="00B038A4" w:rsidRDefault="00D1062F" w:rsidP="008563C6">
      <w:pPr>
        <w:pStyle w:val="Bullet2GR"/>
      </w:pPr>
      <w:r w:rsidRPr="00B038A4">
        <w:t>периодических проверок.</w:t>
      </w:r>
    </w:p>
    <w:p w:rsidR="00D1062F" w:rsidRPr="00B038A4" w:rsidRDefault="00CD0B0C" w:rsidP="004E5016">
      <w:pPr>
        <w:pStyle w:val="SingleTxtGR"/>
        <w:ind w:left="1701" w:hanging="567"/>
        <w:rPr>
          <w:i/>
        </w:rPr>
      </w:pPr>
      <w:r>
        <w:rPr>
          <w:i/>
        </w:rPr>
        <w:tab/>
      </w:r>
      <w:r w:rsidR="008563C6">
        <w:rPr>
          <w:i/>
        </w:rPr>
        <w:tab/>
      </w:r>
      <w:r w:rsidR="00D1062F" w:rsidRPr="00B038A4">
        <w:rPr>
          <w:i/>
        </w:rPr>
        <w:t>Другими словами, общая безопасность является результатом проявления мастерства на всех этапах, и, например, чтобы поддерживать эквивалентный уровень безопасности, периодические проверки можно приспособлять к конкретным показателям или конструкторским нововведениям.</w:t>
      </w:r>
    </w:p>
    <w:p w:rsidR="00D1062F" w:rsidRPr="00B038A4" w:rsidRDefault="00CD0B0C" w:rsidP="004E5016">
      <w:pPr>
        <w:pStyle w:val="SingleTxtGR"/>
        <w:ind w:left="1701" w:hanging="567"/>
        <w:rPr>
          <w:b/>
          <w:i/>
          <w:u w:val="single"/>
        </w:rPr>
      </w:pPr>
      <w:r w:rsidRPr="00CD0B0C">
        <w:rPr>
          <w:b/>
          <w:i/>
        </w:rPr>
        <w:tab/>
      </w:r>
      <w:r w:rsidR="00D1062F" w:rsidRPr="00B038A4">
        <w:rPr>
          <w:b/>
          <w:i/>
          <w:u w:val="single"/>
        </w:rPr>
        <w:t>Нормальное статистическое распределение</w:t>
      </w:r>
    </w:p>
    <w:p w:rsidR="00D1062F" w:rsidRPr="00B038A4" w:rsidRDefault="00CD0B0C" w:rsidP="004E5016">
      <w:pPr>
        <w:pStyle w:val="SingleTxtGR"/>
        <w:ind w:left="1701" w:hanging="567"/>
        <w:rPr>
          <w:i/>
        </w:rPr>
      </w:pPr>
      <w:r>
        <w:rPr>
          <w:i/>
        </w:rPr>
        <w:tab/>
      </w:r>
      <w:r w:rsidR="008563C6">
        <w:rPr>
          <w:i/>
        </w:rPr>
        <w:tab/>
      </w:r>
      <w:r w:rsidR="00D1062F" w:rsidRPr="00B038A4">
        <w:rPr>
          <w:i/>
        </w:rPr>
        <w:t>Нормальное распределение, как и всякое другое распределение, позволяет получать очень высокий процент надежности, если оно соответствует поведению основной популяции. Если какая-либо популяция или какая-либо подгруппа отклоняется от функции нормального распределения, используется другой тип распределения, наиболее подходящий для этой популяции или этой подгруппы.</w:t>
      </w:r>
    </w:p>
    <w:p w:rsidR="00D1062F" w:rsidRPr="00B038A4" w:rsidRDefault="00CD0B0C" w:rsidP="004E5016">
      <w:pPr>
        <w:pStyle w:val="SingleTxtGR"/>
        <w:ind w:left="1701" w:hanging="567"/>
        <w:rPr>
          <w:i/>
        </w:rPr>
      </w:pPr>
      <w:r>
        <w:rPr>
          <w:i/>
        </w:rPr>
        <w:tab/>
      </w:r>
      <w:r w:rsidR="008563C6">
        <w:rPr>
          <w:i/>
        </w:rPr>
        <w:tab/>
      </w:r>
      <w:r w:rsidR="00D1062F" w:rsidRPr="00B038A4">
        <w:rPr>
          <w:i/>
        </w:rPr>
        <w:t>Бывают ситуации, когда индивидуальные испытания, хотя они и являются обязательными, не позволяют исключить наихудшие случаи.</w:t>
      </w:r>
    </w:p>
    <w:p w:rsidR="00D1062F" w:rsidRPr="00B038A4" w:rsidRDefault="00CD0B0C" w:rsidP="004E5016">
      <w:pPr>
        <w:pStyle w:val="SingleTxtGR"/>
        <w:ind w:left="1701" w:hanging="567"/>
        <w:rPr>
          <w:b/>
          <w:i/>
          <w:u w:val="single"/>
        </w:rPr>
      </w:pPr>
      <w:r w:rsidRPr="00CD0B0C">
        <w:rPr>
          <w:b/>
          <w:i/>
        </w:rPr>
        <w:tab/>
      </w:r>
      <w:r w:rsidR="00D1062F" w:rsidRPr="00B038A4">
        <w:rPr>
          <w:b/>
          <w:i/>
          <w:u w:val="single"/>
        </w:rPr>
        <w:t>Группирование для целей статистики</w:t>
      </w:r>
    </w:p>
    <w:p w:rsidR="00D1062F" w:rsidRPr="00B038A4" w:rsidRDefault="00CD0B0C" w:rsidP="004E5016">
      <w:pPr>
        <w:pStyle w:val="SingleTxtGR"/>
        <w:ind w:left="1701" w:hanging="567"/>
        <w:rPr>
          <w:i/>
        </w:rPr>
      </w:pPr>
      <w:r>
        <w:rPr>
          <w:i/>
        </w:rPr>
        <w:tab/>
      </w:r>
      <w:r w:rsidR="008563C6">
        <w:rPr>
          <w:i/>
        </w:rPr>
        <w:tab/>
      </w:r>
      <w:r w:rsidR="00D1062F" w:rsidRPr="00B038A4">
        <w:rPr>
          <w:i/>
        </w:rPr>
        <w:t>Предложение</w:t>
      </w:r>
      <w:r w:rsidR="00B038A4" w:rsidRPr="00B038A4">
        <w:rPr>
          <w:i/>
        </w:rPr>
        <w:t xml:space="preserve"> </w:t>
      </w:r>
      <w:r w:rsidR="00D1062F" w:rsidRPr="00B038A4">
        <w:rPr>
          <w:i/>
        </w:rPr>
        <w:t xml:space="preserve">3 было специально следующим образом сформулировано и переработано с целью учета комментариев: </w:t>
      </w:r>
      <w:r w:rsidR="00B038A4" w:rsidRPr="00B038A4">
        <w:rPr>
          <w:i/>
        </w:rPr>
        <w:t>«</w:t>
      </w:r>
      <w:r w:rsidR="00D1062F" w:rsidRPr="00B038A4">
        <w:rPr>
          <w:i/>
        </w:rPr>
        <w:t>В случае любого изменения конструкции, материала, технологического процесса или любых других модификаций, влияющих на механические свойства продукта, даже если они допускаются в рамках того же утверждения типа, должна быть определена новая группа</w:t>
      </w:r>
      <w:r w:rsidR="00B038A4" w:rsidRPr="00B038A4">
        <w:rPr>
          <w:i/>
        </w:rPr>
        <w:t>»</w:t>
      </w:r>
      <w:r w:rsidR="00D1062F" w:rsidRPr="00B038A4">
        <w:rPr>
          <w:i/>
        </w:rPr>
        <w:t>.</w:t>
      </w:r>
    </w:p>
    <w:p w:rsidR="00D1062F" w:rsidRPr="00B038A4" w:rsidRDefault="00CD0B0C" w:rsidP="004E5016">
      <w:pPr>
        <w:pStyle w:val="SingleTxtGR"/>
        <w:ind w:left="1701" w:hanging="567"/>
        <w:rPr>
          <w:b/>
          <w:i/>
          <w:u w:val="single"/>
        </w:rPr>
      </w:pPr>
      <w:r w:rsidRPr="00CD0B0C">
        <w:rPr>
          <w:b/>
          <w:i/>
        </w:rPr>
        <w:tab/>
      </w:r>
      <w:r w:rsidR="00D1062F" w:rsidRPr="00B038A4">
        <w:rPr>
          <w:b/>
          <w:i/>
          <w:u w:val="single"/>
        </w:rPr>
        <w:t>Репрезентация образцов</w:t>
      </w:r>
    </w:p>
    <w:p w:rsidR="00D1062F" w:rsidRPr="00B038A4" w:rsidRDefault="00CD0B0C" w:rsidP="004E5016">
      <w:pPr>
        <w:pStyle w:val="SingleTxtGR"/>
        <w:ind w:left="1701" w:hanging="567"/>
        <w:rPr>
          <w:i/>
        </w:rPr>
      </w:pPr>
      <w:r>
        <w:rPr>
          <w:i/>
        </w:rPr>
        <w:tab/>
      </w:r>
      <w:r w:rsidR="008563C6">
        <w:rPr>
          <w:i/>
        </w:rPr>
        <w:tab/>
      </w:r>
      <w:r w:rsidR="00D1062F" w:rsidRPr="00B038A4">
        <w:rPr>
          <w:i/>
        </w:rPr>
        <w:t>Репрезентативность популяции должна учитываться в методе и его оценке. Это обеспечивается путем использования надлежащих существующих статистических стандартов. Образцы должны отображать также наихудшие сценарии (экстремальные условия и т.д.).</w:t>
      </w:r>
    </w:p>
    <w:p w:rsidR="00D1062F" w:rsidRPr="00B038A4" w:rsidRDefault="00CD0B0C" w:rsidP="004E5016">
      <w:pPr>
        <w:pStyle w:val="SingleTxtGR"/>
        <w:ind w:left="1701" w:hanging="567"/>
        <w:rPr>
          <w:i/>
        </w:rPr>
      </w:pPr>
      <w:r>
        <w:rPr>
          <w:i/>
        </w:rPr>
        <w:tab/>
      </w:r>
      <w:r w:rsidR="008563C6">
        <w:rPr>
          <w:i/>
        </w:rPr>
        <w:tab/>
      </w:r>
      <w:r w:rsidR="00D1062F" w:rsidRPr="00B038A4">
        <w:rPr>
          <w:i/>
        </w:rPr>
        <w:t xml:space="preserve">Параллелизм с примером автомобильной промышленности не совсем точен, потому что он не отражает реальности испытаний, описанных, например, для баллонов с формованным кожухом. Действительно, в этом пункте не учтены выполненные индивидуальные проверки. Альтернативный метод для сосудов под давлением (например, для баллонов с формованным кожухом) представляют собой сочетание индивидуальных испытаний и статистического разрушающего </w:t>
      </w:r>
      <w:r w:rsidR="00D1062F" w:rsidRPr="00B038A4">
        <w:rPr>
          <w:i/>
        </w:rPr>
        <w:lastRenderedPageBreak/>
        <w:t>контроля. Насколько нам известно, не существует разрушающего контроля на основе отбора образцов на протяжении срока эксплуатации транспортных средств.</w:t>
      </w:r>
    </w:p>
    <w:p w:rsidR="00D1062F" w:rsidRPr="00B038A4" w:rsidRDefault="00CD0B0C" w:rsidP="004E5016">
      <w:pPr>
        <w:pStyle w:val="SingleTxtGR"/>
        <w:ind w:left="1701" w:hanging="567"/>
        <w:rPr>
          <w:b/>
          <w:i/>
          <w:u w:val="single"/>
        </w:rPr>
      </w:pPr>
      <w:r w:rsidRPr="00CD0B0C">
        <w:rPr>
          <w:b/>
          <w:i/>
        </w:rPr>
        <w:tab/>
      </w:r>
      <w:r w:rsidR="00D1062F" w:rsidRPr="00B038A4">
        <w:rPr>
          <w:b/>
          <w:i/>
          <w:u w:val="single"/>
        </w:rPr>
        <w:t>Отказ при испытании</w:t>
      </w:r>
    </w:p>
    <w:p w:rsidR="00D1062F" w:rsidRPr="00B038A4" w:rsidRDefault="00CD0B0C" w:rsidP="004E5016">
      <w:pPr>
        <w:pStyle w:val="SingleTxtGR"/>
        <w:ind w:left="1701" w:hanging="567"/>
        <w:rPr>
          <w:i/>
        </w:rPr>
      </w:pPr>
      <w:r>
        <w:rPr>
          <w:i/>
        </w:rPr>
        <w:tab/>
      </w:r>
      <w:r w:rsidR="008563C6">
        <w:rPr>
          <w:i/>
        </w:rPr>
        <w:tab/>
      </w:r>
      <w:r w:rsidR="00D1062F" w:rsidRPr="00B038A4">
        <w:rPr>
          <w:i/>
        </w:rPr>
        <w:t>Пример отказа тормозов тоже не так однозначен, как он описан в тексте. Перед любым снятием с продажи выполняется большое число расследований и статистических испытаний для оценки того, является ли это единичным случаем или может затронуть другие транспортные средства. Если это может затронуть другие транспортные средства, принимается решение о проведении очень точных измерений и испытаний с целью определить потенциально затронутую популяцию. Мы все слышали о снятии с продажи в той или иной европейской стране некоторых автомобилей, но эти меры ограничивались определенным типом транспортного средства, одним периодом производства или одним серийным номером.</w:t>
      </w:r>
    </w:p>
    <w:p w:rsidR="00D1062F" w:rsidRPr="00B038A4" w:rsidRDefault="00CD0B0C" w:rsidP="004E5016">
      <w:pPr>
        <w:pStyle w:val="SingleTxtGR"/>
        <w:ind w:left="1701" w:hanging="567"/>
        <w:rPr>
          <w:b/>
          <w:i/>
          <w:u w:val="single"/>
        </w:rPr>
      </w:pPr>
      <w:r w:rsidRPr="00CD0B0C">
        <w:rPr>
          <w:b/>
          <w:i/>
        </w:rPr>
        <w:tab/>
      </w:r>
      <w:r w:rsidR="00D1062F" w:rsidRPr="00B038A4">
        <w:rPr>
          <w:b/>
          <w:i/>
          <w:u w:val="single"/>
        </w:rPr>
        <w:t>Гидравлическое испытание</w:t>
      </w:r>
    </w:p>
    <w:p w:rsidR="00D1062F" w:rsidRPr="00B038A4" w:rsidRDefault="00CD0B0C" w:rsidP="004E5016">
      <w:pPr>
        <w:pStyle w:val="SingleTxtGR"/>
        <w:ind w:left="1701" w:hanging="567"/>
        <w:rPr>
          <w:i/>
        </w:rPr>
      </w:pPr>
      <w:r>
        <w:rPr>
          <w:i/>
        </w:rPr>
        <w:tab/>
      </w:r>
      <w:r w:rsidR="008563C6">
        <w:rPr>
          <w:i/>
        </w:rPr>
        <w:tab/>
      </w:r>
      <w:r w:rsidR="00D1062F" w:rsidRPr="00B038A4">
        <w:rPr>
          <w:i/>
        </w:rPr>
        <w:t>Цель состоит в том, чтобы не пропускать проведение гидравлического испытания, предусмотренного ДОПОГ, когда оно целесообразно, и, как представляется, это касается некоторых новых типов баллонов (например, баллонов из композитных материалов); необходимо разработать, оценить и на определенном этапе признать соответствующими органами другие методы, обеспечивающие равноценный уровень безопасности.</w:t>
      </w:r>
    </w:p>
    <w:p w:rsidR="00D1062F" w:rsidRPr="00B038A4" w:rsidRDefault="00CD0B0C" w:rsidP="004E5016">
      <w:pPr>
        <w:pStyle w:val="SingleTxtGR"/>
        <w:ind w:left="1701" w:hanging="567"/>
        <w:rPr>
          <w:i/>
        </w:rPr>
      </w:pPr>
      <w:r>
        <w:rPr>
          <w:i/>
        </w:rPr>
        <w:tab/>
      </w:r>
      <w:r w:rsidR="008563C6">
        <w:rPr>
          <w:i/>
        </w:rPr>
        <w:tab/>
      </w:r>
      <w:r w:rsidR="00D1062F" w:rsidRPr="00B038A4">
        <w:rPr>
          <w:i/>
        </w:rPr>
        <w:t>Если не предусмотрено индивидуального испытания, даже НРК, для замены гидравлического испытания, репрезентативная выборка, разрушающий контроль и статистический анализ являются перспективным решением, способным обеспечить дополнительную более достоверную информацию о существенных факторах (точные сохраняющиеся механические и защитные свойства через регулярные промежутки времени) по сравнению с индивидуальным гидравлическим испытанием.</w:t>
      </w:r>
    </w:p>
    <w:p w:rsidR="00D1062F" w:rsidRPr="00B038A4" w:rsidRDefault="00CD0B0C" w:rsidP="004E5016">
      <w:pPr>
        <w:pStyle w:val="SingleTxtGR"/>
        <w:ind w:left="1701" w:hanging="567"/>
        <w:rPr>
          <w:i/>
        </w:rPr>
      </w:pPr>
      <w:r>
        <w:rPr>
          <w:i/>
        </w:rPr>
        <w:tab/>
      </w:r>
      <w:r w:rsidR="008563C6">
        <w:rPr>
          <w:i/>
        </w:rPr>
        <w:tab/>
      </w:r>
      <w:r w:rsidR="00D1062F" w:rsidRPr="00B038A4">
        <w:rPr>
          <w:i/>
        </w:rPr>
        <w:t>Как было отмечено на сессии, проходившей в сентябре 2015</w:t>
      </w:r>
      <w:r w:rsidR="00B038A4" w:rsidRPr="00B038A4">
        <w:rPr>
          <w:i/>
        </w:rPr>
        <w:t xml:space="preserve"> </w:t>
      </w:r>
      <w:r w:rsidR="00D1062F" w:rsidRPr="00B038A4">
        <w:rPr>
          <w:i/>
        </w:rPr>
        <w:t>года, экономический фактор Совместным совещанием не рассматривается.</w:t>
      </w:r>
    </w:p>
    <w:p w:rsidR="00D1062F" w:rsidRPr="00B038A4" w:rsidRDefault="00CD0B0C" w:rsidP="004E5016">
      <w:pPr>
        <w:pStyle w:val="SingleTxtGR"/>
        <w:ind w:left="1701" w:hanging="567"/>
        <w:rPr>
          <w:i/>
        </w:rPr>
      </w:pPr>
      <w:r>
        <w:rPr>
          <w:i/>
        </w:rPr>
        <w:tab/>
      </w:r>
      <w:r w:rsidR="008563C6">
        <w:rPr>
          <w:i/>
        </w:rPr>
        <w:tab/>
      </w:r>
      <w:r w:rsidR="00D1062F" w:rsidRPr="00B038A4">
        <w:rPr>
          <w:i/>
        </w:rPr>
        <w:t>Новые типы баллонов могут потребовать проведения более эффективных испытаний, чем испытания, которые в настоящее время требуются в соответствии с ДОПОГ, с целью обеспечения по крайней мере равноценного уровня безопасности.</w:t>
      </w:r>
    </w:p>
    <w:p w:rsidR="00D1062F" w:rsidRPr="00B038A4" w:rsidRDefault="004F71A7" w:rsidP="004E5016">
      <w:pPr>
        <w:pStyle w:val="SingleTxtGR"/>
        <w:ind w:left="1701" w:hanging="567"/>
        <w:rPr>
          <w:i/>
        </w:rPr>
      </w:pPr>
      <w:r>
        <w:rPr>
          <w:i/>
        </w:rPr>
        <w:tab/>
      </w:r>
      <w:r w:rsidR="008563C6">
        <w:rPr>
          <w:i/>
        </w:rPr>
        <w:tab/>
      </w:r>
      <w:r w:rsidR="00D1062F" w:rsidRPr="00B038A4">
        <w:rPr>
          <w:i/>
        </w:rPr>
        <w:t>В целом равноценный уровень безопасности сосуда под давлением выходит за рамки требований, касающихся периодических проверок; он представляет собой сочетание:</w:t>
      </w:r>
    </w:p>
    <w:p w:rsidR="00D1062F" w:rsidRPr="00B038A4" w:rsidRDefault="00D1062F" w:rsidP="004F71A7">
      <w:pPr>
        <w:pStyle w:val="Bullet2GR"/>
      </w:pPr>
      <w:r w:rsidRPr="00B038A4">
        <w:t>эффективных проектных параметров, производственных показателей;</w:t>
      </w:r>
    </w:p>
    <w:p w:rsidR="00D1062F" w:rsidRPr="00B038A4" w:rsidRDefault="00D1062F" w:rsidP="004F71A7">
      <w:pPr>
        <w:pStyle w:val="Bullet2GR"/>
      </w:pPr>
      <w:r w:rsidRPr="00B038A4">
        <w:t>эффективных проверок при заполнении (осуществлении операций); и</w:t>
      </w:r>
    </w:p>
    <w:p w:rsidR="00D1062F" w:rsidRPr="00B038A4" w:rsidRDefault="00D1062F" w:rsidP="004F71A7">
      <w:pPr>
        <w:pStyle w:val="Bullet2GR"/>
      </w:pPr>
      <w:r w:rsidRPr="00B038A4">
        <w:t>периодических проверок.</w:t>
      </w:r>
    </w:p>
    <w:p w:rsidR="00D1062F" w:rsidRPr="00B038A4" w:rsidRDefault="00D1062F" w:rsidP="00D1062F">
      <w:pPr>
        <w:pStyle w:val="SingleTxtGR"/>
      </w:pPr>
      <w:r w:rsidRPr="00B038A4">
        <w:t>4.</w:t>
      </w:r>
      <w:r w:rsidRPr="00B038A4">
        <w:tab/>
        <w:t xml:space="preserve">Рассмотрев все вышеприведенные замечания и не упуская из виду обязательное соблюдение равноценного уровня безопасности для любого </w:t>
      </w:r>
      <w:r w:rsidRPr="00B038A4">
        <w:lastRenderedPageBreak/>
        <w:t>альтернативного метода периодической проверки, рабочая группа подготовила затем следующее общее положение, разделенное на три предложения.</w:t>
      </w:r>
    </w:p>
    <w:p w:rsidR="00D1062F" w:rsidRPr="00B038A4" w:rsidRDefault="00D1062F" w:rsidP="002C5E95">
      <w:pPr>
        <w:pStyle w:val="H1GR"/>
      </w:pPr>
      <w:r w:rsidRPr="00B038A4">
        <w:tab/>
      </w:r>
      <w:r w:rsidRPr="00B038A4">
        <w:tab/>
        <w:t>Предложение</w:t>
      </w:r>
      <w:r w:rsidR="00B038A4" w:rsidRPr="00B038A4">
        <w:t xml:space="preserve"> </w:t>
      </w:r>
      <w:r w:rsidRPr="00B038A4">
        <w:t>1</w:t>
      </w:r>
      <w:r w:rsidR="00B038A4" w:rsidRPr="00B038A4">
        <w:t xml:space="preserve"> </w:t>
      </w:r>
      <w:r w:rsidR="002C5E95">
        <w:t>–</w:t>
      </w:r>
      <w:r w:rsidRPr="00B038A4">
        <w:t xml:space="preserve"> общее положение</w:t>
      </w:r>
      <w:r w:rsidR="00B038A4" w:rsidRPr="00B038A4">
        <w:t xml:space="preserve"> </w:t>
      </w:r>
      <w:r w:rsidR="002C5E95">
        <w:t>–</w:t>
      </w:r>
      <w:r w:rsidRPr="00B038A4">
        <w:t xml:space="preserve"> общие правила</w:t>
      </w:r>
    </w:p>
    <w:p w:rsidR="00D1062F" w:rsidRPr="00B038A4" w:rsidRDefault="00D1062F" w:rsidP="00D1062F">
      <w:pPr>
        <w:pStyle w:val="SingleTxtGR"/>
      </w:pPr>
      <w:r w:rsidRPr="00B038A4">
        <w:t>5.</w:t>
      </w:r>
      <w:r w:rsidRPr="00B038A4">
        <w:tab/>
        <w:t>Включить новый подраздел</w:t>
      </w:r>
      <w:r w:rsidR="00B038A4" w:rsidRPr="00B038A4">
        <w:t xml:space="preserve"> </w:t>
      </w:r>
      <w:r w:rsidRPr="00B038A4">
        <w:t>6.2.3.5.3 следующего содержания:</w:t>
      </w:r>
    </w:p>
    <w:p w:rsidR="00D1062F" w:rsidRPr="00B038A4" w:rsidRDefault="00B038A4" w:rsidP="002C5E95">
      <w:pPr>
        <w:pStyle w:val="SingleTxtGR"/>
        <w:tabs>
          <w:tab w:val="clear" w:pos="1701"/>
        </w:tabs>
        <w:ind w:left="2268" w:hanging="1134"/>
      </w:pPr>
      <w:r w:rsidRPr="00B038A4">
        <w:t>«</w:t>
      </w:r>
      <w:r w:rsidR="00D1062F" w:rsidRPr="00B038A4">
        <w:t>6.2.3.5.3</w:t>
      </w:r>
      <w:r w:rsidR="00D1062F" w:rsidRPr="00B038A4">
        <w:tab/>
      </w:r>
      <w:r w:rsidR="00D1062F" w:rsidRPr="00B038A4">
        <w:rPr>
          <w:i/>
        </w:rPr>
        <w:t>Общие правила, касающиеся замены метода проведения периодической проверки, предусмотренного пунктом</w:t>
      </w:r>
      <w:r w:rsidRPr="00B038A4">
        <w:rPr>
          <w:i/>
        </w:rPr>
        <w:t xml:space="preserve"> </w:t>
      </w:r>
      <w:r w:rsidR="00D1062F" w:rsidRPr="00B038A4">
        <w:rPr>
          <w:i/>
        </w:rPr>
        <w:t>6.2.3.5.1</w:t>
      </w:r>
    </w:p>
    <w:p w:rsidR="00D1062F" w:rsidRPr="00B038A4" w:rsidRDefault="002C5E95" w:rsidP="00D1062F">
      <w:pPr>
        <w:pStyle w:val="SingleTxtGR"/>
      </w:pPr>
      <w:r>
        <w:tab/>
      </w:r>
      <w:r w:rsidR="00D1062F" w:rsidRPr="00B038A4">
        <w:t>Настоящий подраздел применяется к сосудам под давлением, которые сконструированы и изготовлены в соответствии со стандартами, упомянутыми в подразделе</w:t>
      </w:r>
      <w:r w:rsidR="00B038A4" w:rsidRPr="00B038A4">
        <w:t xml:space="preserve"> </w:t>
      </w:r>
      <w:r w:rsidR="00D1062F" w:rsidRPr="00B038A4">
        <w:t>6.2.4.1, или техническими правилами согласно разделу</w:t>
      </w:r>
      <w:r w:rsidR="00B038A4" w:rsidRPr="00B038A4">
        <w:t xml:space="preserve"> </w:t>
      </w:r>
      <w:r w:rsidR="00D1062F" w:rsidRPr="00B038A4">
        <w:t>6.2.5 и особенности типа конструкции которых не позволяют успешно провести одну или несколько проверок и одно или несколько испытаний, предусмотренных в подпунктах</w:t>
      </w:r>
      <w:r w:rsidR="00B038A4" w:rsidRPr="00B038A4">
        <w:t xml:space="preserve"> </w:t>
      </w:r>
      <w:r w:rsidR="00D1062F" w:rsidRPr="00B038A4">
        <w:t>a)–e) пункта</w:t>
      </w:r>
      <w:r w:rsidR="00B038A4" w:rsidRPr="00B038A4">
        <w:t xml:space="preserve"> </w:t>
      </w:r>
      <w:r w:rsidR="00D1062F" w:rsidRPr="00B038A4">
        <w:t>6.2.1.6.1, или значимым образом толковать их результаты.</w:t>
      </w:r>
    </w:p>
    <w:p w:rsidR="00D1062F" w:rsidRPr="00B038A4" w:rsidRDefault="002C5E95" w:rsidP="00D1062F">
      <w:pPr>
        <w:pStyle w:val="SingleTxtGR"/>
      </w:pPr>
      <w:r>
        <w:tab/>
      </w:r>
      <w:r w:rsidR="00D1062F" w:rsidRPr="00B038A4">
        <w:t>Для таких сосудов под давлением эти проверки и испытания должны быть заменены альтернативным методом. Этот метод должен быть указан в соответствующем пункте раздела</w:t>
      </w:r>
      <w:r w:rsidR="00B038A4" w:rsidRPr="00B038A4">
        <w:t xml:space="preserve"> </w:t>
      </w:r>
      <w:r w:rsidR="00D1062F" w:rsidRPr="00B038A4">
        <w:t>6.2.3 и подробно изложен в специальном положении или стандарте, на который сделана ссылка. Данный альтернативный метод должен содержать указание на то, какие проверки или испытания согласно подпунктам</w:t>
      </w:r>
      <w:r w:rsidR="00B038A4" w:rsidRPr="00B038A4">
        <w:t xml:space="preserve"> </w:t>
      </w:r>
      <w:r w:rsidR="00D1062F" w:rsidRPr="00B038A4">
        <w:rPr>
          <w:i/>
        </w:rPr>
        <w:t>a–e</w:t>
      </w:r>
      <w:r w:rsidR="00B038A4" w:rsidRPr="00B038A4">
        <w:t xml:space="preserve"> </w:t>
      </w:r>
      <w:r w:rsidR="00D1062F" w:rsidRPr="00B038A4">
        <w:t>пункта</w:t>
      </w:r>
      <w:r w:rsidR="00B038A4" w:rsidRPr="00B038A4">
        <w:t xml:space="preserve"> </w:t>
      </w:r>
      <w:r w:rsidR="00D1062F" w:rsidRPr="00B038A4">
        <w:t>6.2.1.6.1 подлежат замене.</w:t>
      </w:r>
    </w:p>
    <w:p w:rsidR="00D1062F" w:rsidRPr="00B038A4" w:rsidRDefault="002C5E95" w:rsidP="00D1062F">
      <w:pPr>
        <w:pStyle w:val="SingleTxtGR"/>
      </w:pPr>
      <w:r>
        <w:tab/>
      </w:r>
      <w:r w:rsidR="00D1062F" w:rsidRPr="00B038A4">
        <w:t>Альтернативный метод должен обеспечивать поддержание равноценного уровня безопасности</w:t>
      </w:r>
      <w:r w:rsidR="00B038A4" w:rsidRPr="00B038A4">
        <w:t>»</w:t>
      </w:r>
      <w:r w:rsidR="00D1062F" w:rsidRPr="00B038A4">
        <w:t>.</w:t>
      </w:r>
    </w:p>
    <w:p w:rsidR="00D1062F" w:rsidRPr="00B038A4" w:rsidRDefault="00D1062F" w:rsidP="002C5E95">
      <w:pPr>
        <w:pStyle w:val="H1GR"/>
      </w:pPr>
      <w:r w:rsidRPr="00B038A4">
        <w:tab/>
      </w:r>
      <w:r w:rsidRPr="00B038A4">
        <w:tab/>
        <w:t>Предложение</w:t>
      </w:r>
      <w:r w:rsidR="00B038A4" w:rsidRPr="00B038A4">
        <w:t xml:space="preserve"> </w:t>
      </w:r>
      <w:r w:rsidRPr="00B038A4">
        <w:t>2</w:t>
      </w:r>
      <w:r w:rsidR="00B038A4" w:rsidRPr="00B038A4">
        <w:t xml:space="preserve"> </w:t>
      </w:r>
      <w:r w:rsidR="0027349E">
        <w:t>–</w:t>
      </w:r>
      <w:r w:rsidRPr="00B038A4">
        <w:t xml:space="preserve"> общее положение</w:t>
      </w:r>
      <w:r w:rsidR="00B038A4" w:rsidRPr="00B038A4">
        <w:t xml:space="preserve"> </w:t>
      </w:r>
      <w:r w:rsidR="0027349E">
        <w:t>–</w:t>
      </w:r>
      <w:r w:rsidRPr="00B038A4">
        <w:t xml:space="preserve"> неразрушающий контроль</w:t>
      </w:r>
    </w:p>
    <w:p w:rsidR="00D1062F" w:rsidRPr="00B038A4" w:rsidRDefault="00D1062F" w:rsidP="00D1062F">
      <w:pPr>
        <w:pStyle w:val="SingleTxtGR"/>
      </w:pPr>
      <w:r w:rsidRPr="00B038A4">
        <w:t>6.</w:t>
      </w:r>
      <w:r w:rsidRPr="00B038A4">
        <w:tab/>
        <w:t>Включить новый подраздел</w:t>
      </w:r>
      <w:r w:rsidR="00B038A4" w:rsidRPr="00B038A4">
        <w:t xml:space="preserve"> </w:t>
      </w:r>
      <w:r w:rsidRPr="00B038A4">
        <w:t>6.2.3.5.3.1 следующего содержания:</w:t>
      </w:r>
    </w:p>
    <w:p w:rsidR="00D1062F" w:rsidRPr="00B038A4" w:rsidRDefault="00B038A4" w:rsidP="0027349E">
      <w:pPr>
        <w:pStyle w:val="SingleTxtGR"/>
        <w:tabs>
          <w:tab w:val="clear" w:pos="1701"/>
        </w:tabs>
        <w:ind w:left="2268" w:hanging="1134"/>
      </w:pPr>
      <w:r w:rsidRPr="00B038A4">
        <w:t>«</w:t>
      </w:r>
      <w:r w:rsidR="00D1062F" w:rsidRPr="00B038A4">
        <w:t>6.2.3.5.3.1</w:t>
      </w:r>
      <w:r w:rsidR="00D1062F" w:rsidRPr="00B038A4">
        <w:tab/>
        <w:t>Неразрушающий контроль в качестве альтернативного метода</w:t>
      </w:r>
    </w:p>
    <w:p w:rsidR="00D1062F" w:rsidRPr="00B038A4" w:rsidRDefault="00E170F8" w:rsidP="00D1062F">
      <w:pPr>
        <w:pStyle w:val="SingleTxtGR"/>
      </w:pPr>
      <w:r>
        <w:tab/>
      </w:r>
      <w:r w:rsidR="00D1062F" w:rsidRPr="00B038A4">
        <w:t>Соответствующие проверки или испытания каждого отдельного сосуда под давлением заменяются методом неразрушающего контроля</w:t>
      </w:r>
      <w:r w:rsidR="00B038A4" w:rsidRPr="00B038A4">
        <w:t>»</w:t>
      </w:r>
      <w:r w:rsidR="00D1062F" w:rsidRPr="00B038A4">
        <w:t>.</w:t>
      </w:r>
    </w:p>
    <w:p w:rsidR="00D1062F" w:rsidRPr="00B038A4" w:rsidRDefault="00D1062F" w:rsidP="00E170F8">
      <w:pPr>
        <w:pStyle w:val="H1GR"/>
      </w:pPr>
      <w:r w:rsidRPr="00B038A4">
        <w:tab/>
      </w:r>
      <w:r w:rsidRPr="00B038A4">
        <w:tab/>
      </w:r>
      <w:r w:rsidRPr="00E170F8">
        <w:t>Предложение</w:t>
      </w:r>
      <w:r w:rsidR="00B038A4" w:rsidRPr="00B038A4">
        <w:t xml:space="preserve"> </w:t>
      </w:r>
      <w:r w:rsidRPr="00B038A4">
        <w:t>3</w:t>
      </w:r>
      <w:r w:rsidR="00B038A4" w:rsidRPr="00B038A4">
        <w:t xml:space="preserve"> </w:t>
      </w:r>
      <w:r w:rsidR="00E170F8">
        <w:t>–</w:t>
      </w:r>
      <w:r w:rsidRPr="00B038A4">
        <w:t xml:space="preserve"> общее положение</w:t>
      </w:r>
      <w:r w:rsidR="00B038A4" w:rsidRPr="00B038A4">
        <w:t xml:space="preserve"> </w:t>
      </w:r>
      <w:r w:rsidR="00E170F8">
        <w:t>–</w:t>
      </w:r>
      <w:r w:rsidRPr="00B038A4">
        <w:t xml:space="preserve"> разрушающий контроль</w:t>
      </w:r>
    </w:p>
    <w:p w:rsidR="00D1062F" w:rsidRPr="00B038A4" w:rsidRDefault="00E170F8" w:rsidP="00D1062F">
      <w:pPr>
        <w:pStyle w:val="SingleTxtGR"/>
      </w:pPr>
      <w:r>
        <w:tab/>
      </w:r>
      <w:r w:rsidR="00D1062F" w:rsidRPr="00B038A4">
        <w:t>Включить новый подраздел</w:t>
      </w:r>
      <w:r w:rsidR="00B038A4" w:rsidRPr="00B038A4">
        <w:t xml:space="preserve"> </w:t>
      </w:r>
      <w:r w:rsidR="00D1062F" w:rsidRPr="00B038A4">
        <w:t>6.2.3.5.3.2 следующего содержания:</w:t>
      </w:r>
    </w:p>
    <w:p w:rsidR="00D1062F" w:rsidRPr="00B038A4" w:rsidRDefault="00B038A4" w:rsidP="0027349E">
      <w:pPr>
        <w:pStyle w:val="SingleTxtGR"/>
        <w:tabs>
          <w:tab w:val="clear" w:pos="1701"/>
        </w:tabs>
        <w:ind w:left="2268" w:hanging="1134"/>
      </w:pPr>
      <w:r w:rsidRPr="00B038A4">
        <w:t>«</w:t>
      </w:r>
      <w:r w:rsidR="00D1062F" w:rsidRPr="00B038A4">
        <w:t>6.2.3.5.3.2</w:t>
      </w:r>
      <w:r w:rsidR="00D1062F" w:rsidRPr="00B038A4">
        <w:tab/>
        <w:t>Разрушающий контроль в сочетании со статистической оценкой в качестве альтернативного метода</w:t>
      </w:r>
    </w:p>
    <w:p w:rsidR="00D1062F" w:rsidRPr="00B038A4" w:rsidRDefault="00E170F8" w:rsidP="00D1062F">
      <w:pPr>
        <w:pStyle w:val="SingleTxtGR"/>
      </w:pPr>
      <w:r>
        <w:tab/>
      </w:r>
      <w:r w:rsidR="00D1062F" w:rsidRPr="00B038A4">
        <w:t>Если ни один неразрушающий метод не подходит для оценки безопасности отдельных сосудов под давлением, должен быть разработан альтернативный метод, состоящий в использовании разрушающего контроля в сочетании со статистической оценкой.</w:t>
      </w:r>
    </w:p>
    <w:p w:rsidR="00D1062F" w:rsidRPr="00B038A4" w:rsidRDefault="00E170F8" w:rsidP="00D1062F">
      <w:pPr>
        <w:pStyle w:val="SingleTxtGR"/>
      </w:pPr>
      <w:r>
        <w:tab/>
      </w:r>
      <w:r w:rsidR="00D1062F" w:rsidRPr="00B038A4">
        <w:t>В его основу должны быть положены следующие элементы:</w:t>
      </w:r>
    </w:p>
    <w:p w:rsidR="00D1062F" w:rsidRPr="00B038A4" w:rsidRDefault="00D1062F" w:rsidP="00DD6A2E">
      <w:pPr>
        <w:pStyle w:val="Bullet2GR"/>
      </w:pPr>
      <w:r w:rsidRPr="00B038A4">
        <w:t>случайная выборка из выраженной количественно популяции сосудов под давлением;</w:t>
      </w:r>
    </w:p>
    <w:p w:rsidR="00D1062F" w:rsidRPr="00B038A4" w:rsidRDefault="00D1062F" w:rsidP="00DD6A2E">
      <w:pPr>
        <w:pStyle w:val="Bullet2GR"/>
      </w:pPr>
      <w:r w:rsidRPr="00B038A4">
        <w:t>порядок проведения разрушающего контроля;</w:t>
      </w:r>
    </w:p>
    <w:p w:rsidR="00D1062F" w:rsidRPr="00B038A4" w:rsidRDefault="00D1062F" w:rsidP="00DD6A2E">
      <w:pPr>
        <w:pStyle w:val="Bullet2GR"/>
      </w:pPr>
      <w:r w:rsidRPr="00B038A4">
        <w:lastRenderedPageBreak/>
        <w:t>порядок проведения статистической оценки результатов испытаний; и</w:t>
      </w:r>
    </w:p>
    <w:p w:rsidR="00D1062F" w:rsidRPr="00B038A4" w:rsidRDefault="00D1062F" w:rsidP="00DD6A2E">
      <w:pPr>
        <w:pStyle w:val="Bullet2GR"/>
      </w:pPr>
      <w:r w:rsidRPr="00B038A4">
        <w:t>порядок применения незаменен</w:t>
      </w:r>
      <w:r w:rsidR="00C579E9">
        <w:t>ных проверок и испытаний к 100% </w:t>
      </w:r>
      <w:r w:rsidRPr="00B038A4">
        <w:t>сосудов данной популяции.</w:t>
      </w:r>
    </w:p>
    <w:p w:rsidR="00D1062F" w:rsidRPr="00B038A4" w:rsidRDefault="00E170F8" w:rsidP="00D1062F">
      <w:pPr>
        <w:pStyle w:val="SingleTxtGR"/>
      </w:pPr>
      <w:r>
        <w:tab/>
      </w:r>
      <w:r w:rsidR="00D1062F" w:rsidRPr="00B038A4">
        <w:t>Должны соблюдаться требования в отношении указания норм отбраковки, определения периодичности повторных испытаний, альтернативного метода испытаний, замещающего(их) метода(ов) проверки, а также в отношении перечисленных ниже элементов.</w:t>
      </w:r>
    </w:p>
    <w:p w:rsidR="00D1062F" w:rsidRPr="00B038A4" w:rsidRDefault="00D1062F" w:rsidP="00E170F8">
      <w:pPr>
        <w:pStyle w:val="SingleTxtGR"/>
        <w:keepNext/>
      </w:pPr>
      <w:r w:rsidRPr="00B038A4">
        <w:t>a)</w:t>
      </w:r>
      <w:r w:rsidRPr="00B038A4">
        <w:tab/>
        <w:t>Оценка метода</w:t>
      </w:r>
    </w:p>
    <w:p w:rsidR="00D1062F" w:rsidRPr="00B038A4" w:rsidRDefault="00E170F8" w:rsidP="00D2129F">
      <w:pPr>
        <w:pStyle w:val="SingleTxtGR"/>
        <w:keepNext/>
        <w:ind w:left="1701" w:hanging="567"/>
      </w:pPr>
      <w:r>
        <w:tab/>
      </w:r>
      <w:r w:rsidR="00C91BFA">
        <w:tab/>
      </w:r>
      <w:r w:rsidR="00D1062F" w:rsidRPr="00B038A4">
        <w:t>Уровень безопасности этого альтернативного метода разрушающего контроля в сочетании со статистической оценкой должен быть подтвержден независимым экспертом, обладающим опытом в области статистики и сосудов под давлением. В ходе этого анализа должна быть оценена функция распределения и должны быть приняты во внимание потенциальные изменения функции распределения, вызванные ухудшением характеристик в процессе эксплуатации.</w:t>
      </w:r>
    </w:p>
    <w:p w:rsidR="00D1062F" w:rsidRPr="00B038A4" w:rsidRDefault="00D1062F" w:rsidP="00D2129F">
      <w:pPr>
        <w:pStyle w:val="SingleTxtGR"/>
        <w:keepNext/>
        <w:ind w:left="1701" w:hanging="567"/>
        <w:rPr>
          <w:i/>
        </w:rPr>
      </w:pPr>
      <w:r w:rsidRPr="00B038A4">
        <w:rPr>
          <w:i/>
        </w:rPr>
        <w:tab/>
        <w:t>Примечание:</w:t>
      </w:r>
      <w:r w:rsidR="0049745C">
        <w:rPr>
          <w:i/>
        </w:rPr>
        <w:t>  </w:t>
      </w:r>
      <w:r w:rsidRPr="00B038A4">
        <w:rPr>
          <w:i/>
          <w:u w:val="single"/>
        </w:rPr>
        <w:t>Значение функции распр</w:t>
      </w:r>
      <w:bookmarkStart w:id="2" w:name="_GoBack"/>
      <w:bookmarkEnd w:id="2"/>
      <w:r w:rsidRPr="00B038A4">
        <w:rPr>
          <w:i/>
          <w:u w:val="single"/>
        </w:rPr>
        <w:t>еделения</w:t>
      </w:r>
      <w:r w:rsidRPr="00133BC9">
        <w:rPr>
          <w:i/>
        </w:rPr>
        <w:t>.</w:t>
      </w:r>
      <w:r w:rsidRPr="00B038A4">
        <w:rPr>
          <w:i/>
        </w:rPr>
        <w:t xml:space="preserve"> Прочность и все другие свойства, связанные с безопасностью, распределяются случайным образом. Для оценки безопасности, отвечающей установленным требованиям, соответствующие распределения прочности должны быть известны и описаны функцией (функция распределения) и соответствующими параметрами этой функции (например, среднее значение и разброс значений).</w:t>
      </w:r>
    </w:p>
    <w:p w:rsidR="00D1062F" w:rsidRPr="00B038A4" w:rsidRDefault="00D1062F" w:rsidP="00D2129F">
      <w:pPr>
        <w:pStyle w:val="SingleTxtGR"/>
        <w:keepNext/>
        <w:ind w:left="1701" w:hanging="567"/>
      </w:pPr>
      <w:r w:rsidRPr="00B038A4">
        <w:t>b)</w:t>
      </w:r>
      <w:r w:rsidRPr="00B038A4">
        <w:tab/>
        <w:t>Разделение популяции сосудов данного типа конструкции на группы для статистических целей</w:t>
      </w:r>
    </w:p>
    <w:p w:rsidR="00D1062F" w:rsidRPr="00B038A4" w:rsidRDefault="00C91BFA" w:rsidP="00D2129F">
      <w:pPr>
        <w:pStyle w:val="SingleTxtGR"/>
        <w:keepNext/>
        <w:ind w:left="1701" w:hanging="567"/>
      </w:pPr>
      <w:r>
        <w:tab/>
      </w:r>
      <w:r>
        <w:tab/>
      </w:r>
      <w:r w:rsidR="00D1062F" w:rsidRPr="00B038A4">
        <w:t>Популяция сосудов под давлением данного типа конструкции, рассматриваемая на предмет статистической оценки, делится на четко определенные группы. Каждая группа ограничена популяцией какого-либо отдельного года производства на каждого изготовителя типа конструкции, принадлежащим одной компании/экс</w:t>
      </w:r>
      <w:r>
        <w:t>плуатируемым одной компанией. В </w:t>
      </w:r>
      <w:r w:rsidR="00D1062F" w:rsidRPr="00B038A4">
        <w:t>случае любого изменения конструкции, материала, технологического процесса или любых других модификаций, влияющих на механические свойства продукта, даже если они допускаются в рамках того же утверждения типа, должна быть определена новая группа. В отступление от этого требования разделение годового объема продукции на группы может быть организовано более чем одним владельцем/оператором при следующих условиях:</w:t>
      </w:r>
    </w:p>
    <w:p w:rsidR="00D1062F" w:rsidRPr="00B038A4" w:rsidRDefault="00C91BFA" w:rsidP="00C91BFA">
      <w:pPr>
        <w:pStyle w:val="Bullet2GR"/>
      </w:pPr>
      <w:r w:rsidRPr="00B038A4">
        <w:t xml:space="preserve">функции </w:t>
      </w:r>
      <w:r w:rsidR="00D1062F" w:rsidRPr="00B038A4">
        <w:t>и обязанности регламентируются договором, в котором указывается также каждый задействованный заправочный центр;</w:t>
      </w:r>
    </w:p>
    <w:p w:rsidR="00D1062F" w:rsidRPr="00B038A4" w:rsidRDefault="00D1062F" w:rsidP="00C91BFA">
      <w:pPr>
        <w:pStyle w:val="Bullet2GR"/>
      </w:pPr>
      <w:r w:rsidRPr="00B038A4">
        <w:t>заправочные центры функционируют под контролем по крайней мере одного из владельцев или операторов; и</w:t>
      </w:r>
    </w:p>
    <w:p w:rsidR="00D1062F" w:rsidRPr="00B038A4" w:rsidRDefault="00D1062F" w:rsidP="00C91BFA">
      <w:pPr>
        <w:pStyle w:val="Bullet2GR"/>
      </w:pPr>
      <w:r w:rsidRPr="00B038A4">
        <w:tab/>
        <w:t>в случае перехода прав собственности соответствующая популяция передается новому владельцу вместе с ее документацией, касающейся проектирования, изготовления, проверок и эксплуатации, и ее полной базой данных.</w:t>
      </w:r>
    </w:p>
    <w:p w:rsidR="00D1062F" w:rsidRPr="00B038A4" w:rsidRDefault="00D1062F" w:rsidP="00D2129F">
      <w:pPr>
        <w:pStyle w:val="SingleTxtGR"/>
        <w:keepNext/>
        <w:ind w:left="1701" w:hanging="567"/>
      </w:pPr>
      <w:r w:rsidRPr="00B038A4">
        <w:lastRenderedPageBreak/>
        <w:t>c)</w:t>
      </w:r>
      <w:r w:rsidRPr="00B038A4">
        <w:tab/>
        <w:t>Прослеживаемость</w:t>
      </w:r>
    </w:p>
    <w:p w:rsidR="00D1062F" w:rsidRPr="00B038A4" w:rsidRDefault="00C91BFA" w:rsidP="00D2129F">
      <w:pPr>
        <w:pStyle w:val="SingleTxtGR"/>
        <w:keepNext/>
        <w:ind w:left="1701" w:hanging="567"/>
      </w:pPr>
      <w:r>
        <w:tab/>
      </w:r>
      <w:r>
        <w:tab/>
      </w:r>
      <w:r w:rsidR="00D1062F" w:rsidRPr="00B038A4">
        <w:t>Должны быть приняты меры для обеспечения прослеживаемости каждого сосуда под давлением до его группы популяции и серийной партии. Владелец должен собрать все соответствующие данные, касающиеся наполнения, повторного испытания, технического обслуживания, отнесения к группе популяции, отбора для целей выборки и других вопросов, в одну базу данных. Владелец должен обновлять данные на регулярной основе.</w:t>
      </w:r>
    </w:p>
    <w:p w:rsidR="00D1062F" w:rsidRPr="00B038A4" w:rsidRDefault="00C91BFA" w:rsidP="00D2129F">
      <w:pPr>
        <w:pStyle w:val="SingleTxtGR"/>
        <w:keepNext/>
        <w:ind w:left="1701" w:hanging="567"/>
      </w:pPr>
      <w:r>
        <w:tab/>
      </w:r>
      <w:r>
        <w:tab/>
      </w:r>
      <w:r w:rsidR="00D1062F" w:rsidRPr="00B038A4">
        <w:t>Владелец должен предоставить доступ к этой базе данных. Все заправочные центры и проверяющие органы должны иметь соответствующий доступ для проверки отдельных сосудов под давлением на предмет их связи с отбракованными группами популяции. Полный набор данных об испытаниях должен предоставляться компетентному органу по запросу. Перед наполнением или периодической проверкой сосудов под давлением система управления базами данных должна автоматически производить перекр</w:t>
      </w:r>
      <w:r w:rsidR="0090589B">
        <w:t>е</w:t>
      </w:r>
      <w:r w:rsidR="00D1062F" w:rsidRPr="00B038A4">
        <w:t>стную проверку данных, касающихся соответствующей группы популяции, в отношении предстоящих действий. Если база данных недоступна, соответствующие сосуды под давлением не должны предлагаться к реализации.</w:t>
      </w:r>
    </w:p>
    <w:p w:rsidR="00D1062F" w:rsidRPr="00B038A4" w:rsidRDefault="00D1062F" w:rsidP="00D2129F">
      <w:pPr>
        <w:pStyle w:val="SingleTxtGR"/>
        <w:keepNext/>
        <w:ind w:left="1701" w:hanging="567"/>
      </w:pPr>
      <w:r w:rsidRPr="00B038A4">
        <w:t>d)</w:t>
      </w:r>
      <w:r w:rsidRPr="00B038A4">
        <w:tab/>
        <w:t>Отбор образцов для статистической оценки</w:t>
      </w:r>
    </w:p>
    <w:p w:rsidR="00D1062F" w:rsidRPr="00B038A4" w:rsidRDefault="00C91BFA" w:rsidP="00D2129F">
      <w:pPr>
        <w:pStyle w:val="SingleTxtGR"/>
        <w:keepNext/>
        <w:ind w:left="1701" w:hanging="567"/>
      </w:pPr>
      <w:r>
        <w:tab/>
      </w:r>
      <w:r>
        <w:tab/>
      </w:r>
      <w:r w:rsidR="00D1062F" w:rsidRPr="00B038A4">
        <w:t>Порядок проведения случайной выборки должен быть четко и подробно определен, чтобы обеспечить высокую воспроизводимость выборки и в конечном итоге интерпретации результатов статистической оценки. Основные элементы этой процедуры излагаются ниже:</w:t>
      </w:r>
    </w:p>
    <w:p w:rsidR="00D1062F" w:rsidRPr="00B038A4" w:rsidRDefault="00D1062F" w:rsidP="00BA4569">
      <w:pPr>
        <w:pStyle w:val="Bullet2GR"/>
      </w:pPr>
      <w:r w:rsidRPr="00B038A4">
        <w:tab/>
      </w:r>
      <w:r w:rsidR="00C91BFA" w:rsidRPr="00B038A4">
        <w:t xml:space="preserve">из </w:t>
      </w:r>
      <w:r w:rsidRPr="00B038A4">
        <w:t>каждой группы популяции произвольно отбирается установленное количество отдельных сосудов для создания партии, предназначенной для разрушающего контроля;</w:t>
      </w:r>
    </w:p>
    <w:p w:rsidR="00D1062F" w:rsidRPr="00B038A4" w:rsidRDefault="00D1062F" w:rsidP="00BA4569">
      <w:pPr>
        <w:pStyle w:val="Bullet2GR"/>
      </w:pPr>
      <w:r w:rsidRPr="00B038A4">
        <w:tab/>
        <w:t>процедура отбора должна обеспечивать типичность партии для ее группы популяции, и она должна быть типичной для каждого владельца;</w:t>
      </w:r>
    </w:p>
    <w:p w:rsidR="00D1062F" w:rsidRPr="00B038A4" w:rsidRDefault="00D1062F" w:rsidP="00BA4569">
      <w:pPr>
        <w:pStyle w:val="Bullet2GR"/>
      </w:pPr>
      <w:r w:rsidRPr="00B038A4">
        <w:tab/>
        <w:t>должен быть определен минимальный размер партии.</w:t>
      </w:r>
    </w:p>
    <w:p w:rsidR="00D1062F" w:rsidRPr="00B038A4" w:rsidRDefault="00D1062F" w:rsidP="00C91BFA">
      <w:pPr>
        <w:pStyle w:val="SingleTxtGR"/>
        <w:ind w:left="1701" w:hanging="567"/>
      </w:pPr>
      <w:r w:rsidRPr="00B038A4">
        <w:t>e)</w:t>
      </w:r>
      <w:r w:rsidRPr="00B038A4">
        <w:tab/>
        <w:t>Метод разрушающего контроля</w:t>
      </w:r>
    </w:p>
    <w:p w:rsidR="00D1062F" w:rsidRPr="00B038A4" w:rsidRDefault="00BA4569" w:rsidP="00C91BFA">
      <w:pPr>
        <w:pStyle w:val="SingleTxtGR"/>
        <w:ind w:left="1701" w:hanging="567"/>
      </w:pPr>
      <w:r>
        <w:tab/>
      </w:r>
      <w:r>
        <w:tab/>
      </w:r>
      <w:r w:rsidR="00D1062F" w:rsidRPr="00B038A4">
        <w:t>Должна быть четко определена процедура (Должны быть четко определены процедуры) разрушающего контроля, с тем чтобы обеспечить высокую воспроизводимость условий испытания. Все результаты испытания должны быть зарегистрированы, собраны независимо от их значений и сделаны доступными в течение всего срока существования группы популяции.</w:t>
      </w:r>
    </w:p>
    <w:p w:rsidR="00D1062F" w:rsidRPr="00B038A4" w:rsidRDefault="00D1062F" w:rsidP="00C91BFA">
      <w:pPr>
        <w:pStyle w:val="SingleTxtGR"/>
        <w:ind w:left="1701" w:hanging="567"/>
      </w:pPr>
      <w:r w:rsidRPr="00B038A4">
        <w:t>f)</w:t>
      </w:r>
      <w:r w:rsidRPr="00B038A4">
        <w:tab/>
        <w:t>Статистическая оценка результатов испытаний</w:t>
      </w:r>
    </w:p>
    <w:p w:rsidR="00D1062F" w:rsidRPr="00B038A4" w:rsidRDefault="00BA4569" w:rsidP="00C91BFA">
      <w:pPr>
        <w:pStyle w:val="SingleTxtGR"/>
        <w:ind w:left="1701" w:hanging="567"/>
      </w:pPr>
      <w:r>
        <w:tab/>
      </w:r>
      <w:r>
        <w:tab/>
      </w:r>
      <w:r w:rsidR="00D1062F" w:rsidRPr="00B038A4">
        <w:t xml:space="preserve">Порядок проведения статистической оценки результатов испытаний должен быть изложен ясно и понятно. Он должен предусматривать предоставление данных о требуемом уровне надежности, о минимальном одностороннем доверительном уровне выборки и о нормах отбраковки для соответствующего испытания. Для определения требуемого уровня надежности должны быть рассмотрены потенциальные последствия отказа сосудов под давлением данного типа конструкции в процессе эксплуатации. Для соответствующей группы популяции проводится оценка всех результатов разрушающего контроля, </w:t>
      </w:r>
      <w:r w:rsidR="00D1062F" w:rsidRPr="00B038A4">
        <w:lastRenderedPageBreak/>
        <w:t>предусмотренного подпунктом</w:t>
      </w:r>
      <w:r w:rsidR="00B038A4" w:rsidRPr="00B038A4">
        <w:t xml:space="preserve"> </w:t>
      </w:r>
      <w:r w:rsidR="00D1062F" w:rsidRPr="00B038A4">
        <w:rPr>
          <w:i/>
        </w:rPr>
        <w:t>е</w:t>
      </w:r>
      <w:r w:rsidR="00D1062F" w:rsidRPr="00B038A4">
        <w:t>, количество которых в любом случае не должно быть меньше минимального количества сосудов под давлением, определенного в подпункте</w:t>
      </w:r>
      <w:r w:rsidR="00B038A4" w:rsidRPr="00B038A4">
        <w:t xml:space="preserve"> </w:t>
      </w:r>
      <w:r w:rsidR="00D1062F" w:rsidRPr="00B038A4">
        <w:rPr>
          <w:i/>
        </w:rPr>
        <w:t>d</w:t>
      </w:r>
      <w:r w:rsidR="00D1062F" w:rsidRPr="00B038A4">
        <w:t xml:space="preserve"> для отбора образцов.</w:t>
      </w:r>
    </w:p>
    <w:p w:rsidR="00D1062F" w:rsidRPr="00B038A4" w:rsidRDefault="00D1062F" w:rsidP="00C91BFA">
      <w:pPr>
        <w:pStyle w:val="SingleTxtGR"/>
        <w:ind w:left="1701" w:hanging="567"/>
      </w:pPr>
      <w:r w:rsidRPr="00B038A4">
        <w:t>g)</w:t>
      </w:r>
      <w:r w:rsidRPr="00B038A4">
        <w:tab/>
        <w:t>Меры, принимаемые в случае несоответствия требованиям</w:t>
      </w:r>
    </w:p>
    <w:p w:rsidR="00D1062F" w:rsidRPr="00B038A4" w:rsidRDefault="00BA4569" w:rsidP="00C91BFA">
      <w:pPr>
        <w:pStyle w:val="SingleTxtGR"/>
        <w:ind w:left="1701" w:hanging="567"/>
      </w:pPr>
      <w:r>
        <w:tab/>
      </w:r>
      <w:r>
        <w:tab/>
      </w:r>
      <w:r w:rsidR="00D1062F" w:rsidRPr="00B038A4">
        <w:t>Если в результате статистической оценки результатов испытаний образцов, типичных для данной группы популяции, выявлены неудовлетворительные технические характеристики, то соответствующая группа популяции не должна предъявляться для наполнения или использования и должна быть изъята из обращения.</w:t>
      </w:r>
    </w:p>
    <w:p w:rsidR="00D1062F" w:rsidRPr="00B038A4" w:rsidRDefault="00BA4569" w:rsidP="00C91BFA">
      <w:pPr>
        <w:pStyle w:val="SingleTxtGR"/>
        <w:ind w:left="1701" w:hanging="567"/>
      </w:pPr>
      <w:r>
        <w:tab/>
      </w:r>
      <w:r>
        <w:tab/>
      </w:r>
      <w:r w:rsidR="00D1062F" w:rsidRPr="00B038A4">
        <w:t>Анализируются причины несоответствия статистическим критериям приемки. Проводится оценка того, затронуты ли другие группы популяции и должны ли они быть изъяты из обращения.</w:t>
      </w:r>
    </w:p>
    <w:p w:rsidR="00D1062F" w:rsidRPr="00B038A4" w:rsidRDefault="00BA4569" w:rsidP="00C91BFA">
      <w:pPr>
        <w:pStyle w:val="SingleTxtGR"/>
        <w:ind w:left="1701" w:hanging="567"/>
      </w:pPr>
      <w:r>
        <w:tab/>
      </w:r>
      <w:r>
        <w:tab/>
      </w:r>
      <w:r w:rsidR="00D1062F" w:rsidRPr="00B038A4">
        <w:t xml:space="preserve">Если орган типа </w:t>
      </w:r>
      <w:r w:rsidR="00D1062F" w:rsidRPr="0049745C">
        <w:t>Xa</w:t>
      </w:r>
      <w:r w:rsidR="00D1062F" w:rsidRPr="00B038A4">
        <w:t>, соответствующий пункту</w:t>
      </w:r>
      <w:r w:rsidR="00B038A4" w:rsidRPr="00B038A4">
        <w:t xml:space="preserve"> </w:t>
      </w:r>
      <w:r w:rsidR="00D1062F" w:rsidRPr="00B038A4">
        <w:t>6.2.3.6.1, может доказать, что определенные части данной группы популяции не затронуты, то компетентный орган или его представитель может разрешить дальнейшее использование незатронутых частей этой группы популяции.</w:t>
      </w:r>
    </w:p>
    <w:p w:rsidR="00D1062F" w:rsidRPr="00B038A4" w:rsidRDefault="00D1062F" w:rsidP="00C91BFA">
      <w:pPr>
        <w:pStyle w:val="SingleTxtGR"/>
        <w:ind w:left="1701" w:hanging="567"/>
      </w:pPr>
      <w:r w:rsidRPr="00B038A4">
        <w:t>h)</w:t>
      </w:r>
      <w:r w:rsidRPr="00B038A4">
        <w:tab/>
        <w:t>Заправочный центр</w:t>
      </w:r>
    </w:p>
    <w:p w:rsidR="00D1062F" w:rsidRPr="00B038A4" w:rsidRDefault="00BA4569" w:rsidP="00C91BFA">
      <w:pPr>
        <w:pStyle w:val="SingleTxtGR"/>
        <w:ind w:left="1701" w:hanging="567"/>
      </w:pPr>
      <w:r>
        <w:tab/>
      </w:r>
      <w:r>
        <w:tab/>
      </w:r>
      <w:r w:rsidR="00D1062F" w:rsidRPr="00B038A4">
        <w:t>На заправочных центрах, производящих наполнение сосудов под давлением в соответствии с пунктом</w:t>
      </w:r>
      <w:r w:rsidR="00B038A4" w:rsidRPr="00B038A4">
        <w:t xml:space="preserve"> </w:t>
      </w:r>
      <w:r w:rsidR="00D1062F" w:rsidRPr="00B038A4">
        <w:t>6.2.3.5.3, должна применяться документированная система качества с целью гарантировать выполнение и надлежащее применение:</w:t>
      </w:r>
    </w:p>
    <w:p w:rsidR="00D1062F" w:rsidRPr="00B038A4" w:rsidRDefault="00D1062F" w:rsidP="00C91BFA">
      <w:pPr>
        <w:pStyle w:val="Bullet2GR"/>
      </w:pPr>
      <w:r w:rsidRPr="00B038A4">
        <w:tab/>
        <w:t>всех положений пункта</w:t>
      </w:r>
      <w:r w:rsidR="00B038A4" w:rsidRPr="00B038A4">
        <w:t xml:space="preserve"> </w:t>
      </w:r>
      <w:r w:rsidRPr="00B038A4">
        <w:t>7 инструкции по упаковке</w:t>
      </w:r>
      <w:r w:rsidR="00B038A4" w:rsidRPr="00B038A4">
        <w:t xml:space="preserve"> </w:t>
      </w:r>
      <w:r w:rsidRPr="00B038A4">
        <w:t>Р200; и</w:t>
      </w:r>
    </w:p>
    <w:p w:rsidR="00D1062F" w:rsidRPr="00B038A4" w:rsidRDefault="00D1062F" w:rsidP="00C91BFA">
      <w:pPr>
        <w:pStyle w:val="Bullet2GR"/>
      </w:pPr>
      <w:r w:rsidRPr="00B038A4">
        <w:tab/>
        <w:t>всех требований и обязанностей, связанных с альтернативным методом повторной проверки;</w:t>
      </w:r>
    </w:p>
    <w:p w:rsidR="00D1062F" w:rsidRPr="00B038A4" w:rsidRDefault="00BA4569" w:rsidP="00C91BFA">
      <w:pPr>
        <w:pStyle w:val="SingleTxtGR"/>
        <w:ind w:left="1701" w:hanging="567"/>
      </w:pPr>
      <w:r>
        <w:tab/>
      </w:r>
      <w:r>
        <w:tab/>
      </w:r>
      <w:r w:rsidR="00D1062F" w:rsidRPr="00B038A4">
        <w:t>Система качества, соответствующая стандартам серии ISO</w:t>
      </w:r>
      <w:r w:rsidR="00B038A4" w:rsidRPr="00B038A4">
        <w:t xml:space="preserve"> </w:t>
      </w:r>
      <w:r w:rsidR="00D1062F" w:rsidRPr="00B038A4">
        <w:t>9000 или эквивалентным стандартам, должна быть сертифицирована аккредитованным независимым органом, признанным компетентным органом</w:t>
      </w:r>
      <w:r w:rsidR="00B038A4" w:rsidRPr="00B038A4">
        <w:t>»</w:t>
      </w:r>
      <w:r w:rsidR="00D1062F" w:rsidRPr="00B038A4">
        <w:t>.</w:t>
      </w:r>
    </w:p>
    <w:p w:rsidR="00B038A4" w:rsidRPr="00BA4569" w:rsidRDefault="00BA4569" w:rsidP="00C91BF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58DB" w:rsidRPr="00BA4569" w:rsidRDefault="00A658DB" w:rsidP="00BA4569">
      <w:pPr>
        <w:spacing w:before="240"/>
        <w:jc w:val="center"/>
        <w:rPr>
          <w:u w:val="single"/>
        </w:rPr>
      </w:pPr>
    </w:p>
    <w:sectPr w:rsidR="00A658DB" w:rsidRPr="00BA4569" w:rsidSect="004D6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5F8" w:rsidRDefault="001A15F8" w:rsidP="00B471C5">
      <w:r>
        <w:separator/>
      </w:r>
    </w:p>
  </w:endnote>
  <w:endnote w:type="continuationSeparator" w:id="0">
    <w:p w:rsidR="001A15F8" w:rsidRDefault="001A15F8" w:rsidP="00B47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C6" w:rsidRPr="009A6F4A" w:rsidRDefault="00E33EF0" w:rsidP="007005EE">
    <w:pPr>
      <w:pStyle w:val="Pieddepage"/>
      <w:rPr>
        <w:lang w:val="en-US"/>
      </w:rPr>
    </w:pPr>
    <w:r w:rsidRPr="00BA2D2B">
      <w:rPr>
        <w:b/>
        <w:sz w:val="18"/>
        <w:szCs w:val="18"/>
      </w:rPr>
      <w:fldChar w:fldCharType="begin"/>
    </w:r>
    <w:r w:rsidR="008563C6"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AE6129">
      <w:rPr>
        <w:b/>
        <w:noProof/>
        <w:sz w:val="18"/>
        <w:szCs w:val="18"/>
      </w:rPr>
      <w:t>8</w:t>
    </w:r>
    <w:r w:rsidRPr="00BA2D2B">
      <w:rPr>
        <w:b/>
        <w:sz w:val="18"/>
        <w:szCs w:val="18"/>
      </w:rPr>
      <w:fldChar w:fldCharType="end"/>
    </w:r>
    <w:r w:rsidR="008563C6">
      <w:rPr>
        <w:b/>
        <w:sz w:val="18"/>
        <w:szCs w:val="18"/>
      </w:rPr>
      <w:tab/>
    </w:r>
    <w:r w:rsidR="008563C6">
      <w:rPr>
        <w:lang w:val="en-US"/>
      </w:rPr>
      <w:t>GE.16-</w:t>
    </w:r>
    <w:r w:rsidR="008563C6" w:rsidRPr="007D3BC1">
      <w:rPr>
        <w:lang w:val="en-US"/>
      </w:rPr>
      <w:t>11067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C6" w:rsidRPr="009A6F4A" w:rsidRDefault="008563C6" w:rsidP="007005EE">
    <w:pPr>
      <w:pStyle w:val="Pieddepage"/>
      <w:rPr>
        <w:lang w:val="en-US"/>
      </w:rPr>
    </w:pPr>
    <w:r>
      <w:rPr>
        <w:lang w:val="en-US"/>
      </w:rPr>
      <w:t>GE.16-</w:t>
    </w:r>
    <w:r w:rsidRPr="007D3BC1">
      <w:rPr>
        <w:lang w:val="en-US"/>
      </w:rPr>
      <w:t>11067</w:t>
    </w:r>
    <w:r>
      <w:rPr>
        <w:lang w:val="en-US"/>
      </w:rPr>
      <w:tab/>
    </w:r>
    <w:r w:rsidR="00E33EF0"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="00E33EF0" w:rsidRPr="00BA2D2B">
      <w:rPr>
        <w:b/>
        <w:sz w:val="18"/>
        <w:szCs w:val="18"/>
      </w:rPr>
      <w:fldChar w:fldCharType="separate"/>
    </w:r>
    <w:r w:rsidR="00AE6129">
      <w:rPr>
        <w:b/>
        <w:noProof/>
        <w:sz w:val="18"/>
        <w:szCs w:val="18"/>
      </w:rPr>
      <w:t>9</w:t>
    </w:r>
    <w:r w:rsidR="00E33EF0"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/>
    </w:tblPr>
    <w:tblGrid>
      <w:gridCol w:w="3648"/>
      <w:gridCol w:w="5056"/>
      <w:gridCol w:w="972"/>
    </w:tblGrid>
    <w:tr w:rsidR="008563C6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563C6" w:rsidRPr="001C3ABC" w:rsidRDefault="008563C6" w:rsidP="008563C6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Pr="007D3BC1">
            <w:rPr>
              <w:lang w:val="en-US"/>
            </w:rPr>
            <w:t>11067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250716  250716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8563C6" w:rsidRDefault="008563C6" w:rsidP="008563C6">
          <w:pPr>
            <w:jc w:val="right"/>
          </w:pPr>
          <w:r>
            <w:rPr>
              <w:b/>
              <w:noProof/>
              <w:lang w:val="fr-FR" w:eastAsia="fr-FR"/>
            </w:rPr>
            <w:drawing>
              <wp:inline distT="0" distB="0" distL="0" distR="0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8563C6" w:rsidRDefault="008563C6" w:rsidP="008563C6">
          <w:pPr>
            <w:jc w:val="right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583565" cy="583565"/>
                <wp:effectExtent l="0" t="0" r="6985" b="6985"/>
                <wp:docPr id="3" name="Рисунок 3" descr="http://undocs.org/m2/QRCode.ashx?DS=ECE/TRANS/WP.15/AC.1/2016/2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1/2016/2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56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63C6" w:rsidRPr="00797A78" w:rsidTr="008563C6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563C6" w:rsidRPr="007D3BC1" w:rsidRDefault="008563C6" w:rsidP="008563C6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7D3BC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7D3BC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D3BC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7D3BC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D3BC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D3BC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7D3BC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7D3BC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7D3BC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8563C6" w:rsidRDefault="008563C6" w:rsidP="008563C6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8563C6" w:rsidRDefault="008563C6" w:rsidP="008563C6"/>
      </w:tc>
    </w:tr>
  </w:tbl>
  <w:p w:rsidR="008563C6" w:rsidRPr="007005EE" w:rsidRDefault="008563C6" w:rsidP="004D639B">
    <w:pPr>
      <w:pStyle w:val="Pieddepage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5F8" w:rsidRPr="009141DC" w:rsidRDefault="001A15F8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1A15F8" w:rsidRPr="00D1261C" w:rsidRDefault="001A15F8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8563C6" w:rsidRPr="00EA71D8" w:rsidRDefault="008563C6" w:rsidP="00986D99">
      <w:pPr>
        <w:pStyle w:val="Notedebasdepage"/>
        <w:rPr>
          <w:lang w:val="ru-RU"/>
        </w:rPr>
      </w:pPr>
      <w:r>
        <w:rPr>
          <w:lang w:val="ru-RU"/>
        </w:rPr>
        <w:tab/>
      </w:r>
      <w:r>
        <w:rPr>
          <w:rStyle w:val="Appelnotedebasdep"/>
        </w:rPr>
        <w:footnoteRef/>
      </w:r>
      <w:r w:rsidRPr="00EA71D8">
        <w:rPr>
          <w:lang w:val="ru-RU"/>
        </w:rPr>
        <w:tab/>
      </w:r>
      <w:r w:rsidRPr="004E640B">
        <w:rPr>
          <w:lang w:val="ru-RU"/>
        </w:rPr>
        <w:t xml:space="preserve">В соответствии с программой работы Комитета по внутреннему транспорту </w:t>
      </w:r>
      <w:r>
        <w:rPr>
          <w:lang w:val="ru-RU"/>
        </w:rPr>
        <w:br/>
      </w:r>
      <w:r w:rsidRPr="004E640B">
        <w:rPr>
          <w:lang w:val="ru-RU"/>
        </w:rPr>
        <w:t>на 2016–2017</w:t>
      </w:r>
      <w:r>
        <w:rPr>
          <w:lang w:val="ru-RU"/>
        </w:rPr>
        <w:t> </w:t>
      </w:r>
      <w:r w:rsidRPr="004E640B">
        <w:rPr>
          <w:lang w:val="ru-RU"/>
        </w:rPr>
        <w:t>годы (</w:t>
      </w:r>
      <w:r w:rsidRPr="00986D99">
        <w:rPr>
          <w:lang w:val="ru-RU"/>
        </w:rPr>
        <w:t>ECE</w:t>
      </w:r>
      <w:r w:rsidRPr="004E640B">
        <w:rPr>
          <w:lang w:val="ru-RU"/>
        </w:rPr>
        <w:t>/</w:t>
      </w:r>
      <w:r w:rsidRPr="00986D99">
        <w:rPr>
          <w:lang w:val="ru-RU"/>
        </w:rPr>
        <w:t>TRANS</w:t>
      </w:r>
      <w:r w:rsidRPr="004E640B">
        <w:rPr>
          <w:lang w:val="ru-RU"/>
        </w:rPr>
        <w:t>/2016/28/</w:t>
      </w:r>
      <w:r w:rsidRPr="00986D99">
        <w:rPr>
          <w:lang w:val="ru-RU"/>
        </w:rPr>
        <w:t>Add</w:t>
      </w:r>
      <w:r w:rsidRPr="004E640B">
        <w:rPr>
          <w:lang w:val="ru-RU"/>
        </w:rPr>
        <w:t>.1</w:t>
      </w:r>
      <w:r>
        <w:rPr>
          <w:lang w:val="ru-RU"/>
        </w:rPr>
        <w:t> </w:t>
      </w:r>
      <w:r w:rsidRPr="004E640B">
        <w:rPr>
          <w:lang w:val="ru-RU"/>
        </w:rPr>
        <w:t>(9.2)).</w:t>
      </w:r>
    </w:p>
  </w:footnote>
  <w:footnote w:id="2">
    <w:p w:rsidR="008563C6" w:rsidRPr="00EA71D8" w:rsidRDefault="008563C6" w:rsidP="00986D99">
      <w:pPr>
        <w:pStyle w:val="Notedebasdepage"/>
        <w:rPr>
          <w:lang w:val="ru-RU"/>
        </w:rPr>
      </w:pPr>
      <w:r>
        <w:rPr>
          <w:lang w:val="ru-RU"/>
        </w:rPr>
        <w:tab/>
      </w:r>
      <w:r>
        <w:rPr>
          <w:rStyle w:val="Appelnotedebasdep"/>
        </w:rPr>
        <w:footnoteRef/>
      </w:r>
      <w:r w:rsidRPr="00EA71D8">
        <w:rPr>
          <w:lang w:val="ru-RU"/>
        </w:rPr>
        <w:tab/>
      </w:r>
      <w:r w:rsidRPr="004E640B">
        <w:rPr>
          <w:lang w:val="ru-RU"/>
        </w:rPr>
        <w:t xml:space="preserve">Распространен Межправительственной организацией по международным железнодорожным перевозкам (ОТИФ) в качестве документа </w:t>
      </w:r>
      <w:r w:rsidRPr="00986D99">
        <w:rPr>
          <w:lang w:val="ru-RU"/>
        </w:rPr>
        <w:t>OTIF</w:t>
      </w:r>
      <w:r w:rsidRPr="004E640B">
        <w:rPr>
          <w:lang w:val="ru-RU"/>
        </w:rPr>
        <w:t>/</w:t>
      </w:r>
      <w:r w:rsidRPr="00986D99">
        <w:rPr>
          <w:lang w:val="ru-RU"/>
        </w:rPr>
        <w:t>RID</w:t>
      </w:r>
      <w:r w:rsidRPr="004E640B">
        <w:rPr>
          <w:lang w:val="ru-RU"/>
        </w:rPr>
        <w:t>/</w:t>
      </w:r>
      <w:r w:rsidRPr="00986D99">
        <w:rPr>
          <w:lang w:val="ru-RU"/>
        </w:rPr>
        <w:t>RC</w:t>
      </w:r>
      <w:r w:rsidRPr="004E640B">
        <w:rPr>
          <w:lang w:val="ru-RU"/>
        </w:rPr>
        <w:t>/2016/22.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C6" w:rsidRPr="007D3BC1" w:rsidRDefault="008563C6" w:rsidP="007D3BC1">
    <w:pPr>
      <w:pStyle w:val="En-tte"/>
    </w:pPr>
    <w:r w:rsidRPr="007D3BC1">
      <w:rPr>
        <w:lang w:val="en-US"/>
      </w:rPr>
      <w:t>ECE/TRANS/WP.15/AC.1/2016/22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C6" w:rsidRPr="004D639B" w:rsidRDefault="008563C6" w:rsidP="007005EE">
    <w:pPr>
      <w:pStyle w:val="En-tte"/>
      <w:jc w:val="right"/>
      <w:rPr>
        <w:lang w:val="en-US"/>
      </w:rPr>
    </w:pPr>
    <w:r w:rsidRPr="007D3BC1">
      <w:rPr>
        <w:lang w:val="en-US"/>
      </w:rPr>
      <w:t>ECE/TRANS/WP.15/AC.1/2016/22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C6" w:rsidRDefault="008563C6" w:rsidP="007D3BC1">
    <w:pPr>
      <w:pStyle w:val="En-tte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1062F"/>
    <w:rsid w:val="000450D1"/>
    <w:rsid w:val="000B1FD5"/>
    <w:rsid w:val="000F2A4F"/>
    <w:rsid w:val="00133BC9"/>
    <w:rsid w:val="001A15F8"/>
    <w:rsid w:val="00203F84"/>
    <w:rsid w:val="0027349E"/>
    <w:rsid w:val="00275188"/>
    <w:rsid w:val="0028687D"/>
    <w:rsid w:val="002B091C"/>
    <w:rsid w:val="002B3D40"/>
    <w:rsid w:val="002C5E95"/>
    <w:rsid w:val="002D0CCB"/>
    <w:rsid w:val="00345C79"/>
    <w:rsid w:val="00366A39"/>
    <w:rsid w:val="00393101"/>
    <w:rsid w:val="0048005C"/>
    <w:rsid w:val="0049745C"/>
    <w:rsid w:val="004B7955"/>
    <w:rsid w:val="004D639B"/>
    <w:rsid w:val="004E242B"/>
    <w:rsid w:val="004E5016"/>
    <w:rsid w:val="004F71A7"/>
    <w:rsid w:val="005020E8"/>
    <w:rsid w:val="00513BA9"/>
    <w:rsid w:val="00544379"/>
    <w:rsid w:val="00566944"/>
    <w:rsid w:val="00581A29"/>
    <w:rsid w:val="005B0C03"/>
    <w:rsid w:val="005D56BF"/>
    <w:rsid w:val="005E1046"/>
    <w:rsid w:val="0062027E"/>
    <w:rsid w:val="00643644"/>
    <w:rsid w:val="00665D8D"/>
    <w:rsid w:val="006A7A3B"/>
    <w:rsid w:val="006B6B57"/>
    <w:rsid w:val="006F49F1"/>
    <w:rsid w:val="007005EE"/>
    <w:rsid w:val="00705394"/>
    <w:rsid w:val="0073641D"/>
    <w:rsid w:val="00743F62"/>
    <w:rsid w:val="00760D3A"/>
    <w:rsid w:val="00773BA8"/>
    <w:rsid w:val="007A1F42"/>
    <w:rsid w:val="007D3BC1"/>
    <w:rsid w:val="007D76DD"/>
    <w:rsid w:val="008563C6"/>
    <w:rsid w:val="0086224A"/>
    <w:rsid w:val="008717E8"/>
    <w:rsid w:val="008823DF"/>
    <w:rsid w:val="008D01AE"/>
    <w:rsid w:val="008E0423"/>
    <w:rsid w:val="0090589B"/>
    <w:rsid w:val="009141DC"/>
    <w:rsid w:val="009174A1"/>
    <w:rsid w:val="0098674D"/>
    <w:rsid w:val="00986D99"/>
    <w:rsid w:val="00997ACA"/>
    <w:rsid w:val="00A03FB7"/>
    <w:rsid w:val="00A55C56"/>
    <w:rsid w:val="00A658DB"/>
    <w:rsid w:val="00A75A11"/>
    <w:rsid w:val="00A9606E"/>
    <w:rsid w:val="00AA6753"/>
    <w:rsid w:val="00AB39F2"/>
    <w:rsid w:val="00AD3B34"/>
    <w:rsid w:val="00AD7EAD"/>
    <w:rsid w:val="00AE6129"/>
    <w:rsid w:val="00B038A4"/>
    <w:rsid w:val="00B03FA6"/>
    <w:rsid w:val="00B35A32"/>
    <w:rsid w:val="00B432C6"/>
    <w:rsid w:val="00B471C5"/>
    <w:rsid w:val="00B6474A"/>
    <w:rsid w:val="00BA4569"/>
    <w:rsid w:val="00BE1742"/>
    <w:rsid w:val="00C579E9"/>
    <w:rsid w:val="00C829C4"/>
    <w:rsid w:val="00C91BFA"/>
    <w:rsid w:val="00CD0B0C"/>
    <w:rsid w:val="00CE6537"/>
    <w:rsid w:val="00D1062F"/>
    <w:rsid w:val="00D1261C"/>
    <w:rsid w:val="00D2129F"/>
    <w:rsid w:val="00D26030"/>
    <w:rsid w:val="00D75DCE"/>
    <w:rsid w:val="00D96DD9"/>
    <w:rsid w:val="00DD35AC"/>
    <w:rsid w:val="00DD479F"/>
    <w:rsid w:val="00DD6A2E"/>
    <w:rsid w:val="00E12FFB"/>
    <w:rsid w:val="00E15E48"/>
    <w:rsid w:val="00E170F8"/>
    <w:rsid w:val="00E33EF0"/>
    <w:rsid w:val="00EA15EE"/>
    <w:rsid w:val="00EB0723"/>
    <w:rsid w:val="00EB2957"/>
    <w:rsid w:val="00EE6F37"/>
    <w:rsid w:val="00F00315"/>
    <w:rsid w:val="00F1599F"/>
    <w:rsid w:val="00F31EF2"/>
    <w:rsid w:val="00F4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Autospacing="0" w:afterLines="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E61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129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253A4-7EF7-4C2A-A59C-A74BDCB0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9</Pages>
  <Words>2927</Words>
  <Characters>16099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Stepanova</dc:creator>
  <cp:lastModifiedBy>Maison</cp:lastModifiedBy>
  <cp:revision>2</cp:revision>
  <cp:lastPrinted>2016-07-25T16:04:00Z</cp:lastPrinted>
  <dcterms:created xsi:type="dcterms:W3CDTF">2016-07-26T07:59:00Z</dcterms:created>
  <dcterms:modified xsi:type="dcterms:W3CDTF">2016-07-26T07:59:00Z</dcterms:modified>
</cp:coreProperties>
</file>