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363106">
                <w:t>TRANS/WP.15/AC.1/2016/25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182710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82710">
              <w:fldChar w:fldCharType="separate"/>
            </w:r>
            <w:r w:rsidR="00182710" w:rsidRPr="00245892">
              <w:fldChar w:fldCharType="end"/>
            </w:r>
            <w:bookmarkEnd w:id="0"/>
          </w:p>
          <w:p w:rsidR="00A658DB" w:rsidRPr="00245892" w:rsidRDefault="00182710" w:rsidP="007B199D">
            <w:fldSimple w:instr=" FILLIN  &quot;Введите дату документа&quot; \* MERGEFORMAT ">
              <w:r w:rsidR="00363106">
                <w:t>29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182710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82710">
              <w:fldChar w:fldCharType="separate"/>
            </w:r>
            <w:r w:rsidR="00182710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Pr="00922890" w:rsidRDefault="00A658DB" w:rsidP="00A658DB">
      <w:pPr>
        <w:spacing w:before="120"/>
        <w:rPr>
          <w:b/>
          <w:sz w:val="28"/>
          <w:szCs w:val="28"/>
        </w:rPr>
      </w:pPr>
      <w:r w:rsidRPr="00922890">
        <w:rPr>
          <w:b/>
          <w:sz w:val="28"/>
          <w:szCs w:val="28"/>
        </w:rPr>
        <w:t>Европейская экономическая комиссия</w:t>
      </w:r>
    </w:p>
    <w:p w:rsidR="00363106" w:rsidRPr="00922890" w:rsidRDefault="00363106" w:rsidP="00363106">
      <w:pPr>
        <w:spacing w:before="120" w:after="120"/>
        <w:rPr>
          <w:sz w:val="28"/>
          <w:szCs w:val="28"/>
        </w:rPr>
      </w:pPr>
      <w:r w:rsidRPr="00922890">
        <w:rPr>
          <w:sz w:val="28"/>
          <w:szCs w:val="28"/>
        </w:rPr>
        <w:t>Комитет по внутреннему транспорту</w:t>
      </w:r>
    </w:p>
    <w:p w:rsidR="00363106" w:rsidRPr="00922890" w:rsidRDefault="00363106" w:rsidP="00363106">
      <w:pPr>
        <w:spacing w:after="120"/>
        <w:rPr>
          <w:b/>
          <w:sz w:val="24"/>
          <w:szCs w:val="24"/>
        </w:rPr>
      </w:pPr>
      <w:r w:rsidRPr="00922890">
        <w:rPr>
          <w:b/>
          <w:sz w:val="24"/>
          <w:szCs w:val="24"/>
        </w:rPr>
        <w:t>Рабочая группа по перевозкам опасных грузов</w:t>
      </w:r>
    </w:p>
    <w:p w:rsidR="00363106" w:rsidRPr="00922890" w:rsidRDefault="00363106" w:rsidP="00363106">
      <w:pPr>
        <w:rPr>
          <w:b/>
        </w:rPr>
      </w:pPr>
      <w:r w:rsidRPr="00922890">
        <w:rPr>
          <w:b/>
        </w:rPr>
        <w:t xml:space="preserve">Совместное совещание Комиссии экспертов МПОГ </w:t>
      </w:r>
      <w:r w:rsidRPr="00922890">
        <w:rPr>
          <w:b/>
        </w:rPr>
        <w:br/>
        <w:t>и Рабочей группы по перевозкам опасных грузов</w:t>
      </w:r>
    </w:p>
    <w:p w:rsidR="00363106" w:rsidRPr="00922890" w:rsidRDefault="00363106" w:rsidP="00363106">
      <w:r w:rsidRPr="00922890">
        <w:t>Женева, 19–23 сентября 2016 года</w:t>
      </w:r>
    </w:p>
    <w:p w:rsidR="00363106" w:rsidRPr="00922890" w:rsidRDefault="00363106" w:rsidP="00363106">
      <w:r w:rsidRPr="00922890">
        <w:t>Пункт 2 предварительной повестки дня</w:t>
      </w:r>
    </w:p>
    <w:p w:rsidR="00363106" w:rsidRPr="00922890" w:rsidRDefault="00363106" w:rsidP="00363106">
      <w:pPr>
        <w:rPr>
          <w:b/>
        </w:rPr>
      </w:pPr>
      <w:r w:rsidRPr="00922890">
        <w:rPr>
          <w:b/>
        </w:rPr>
        <w:t>Цистерны</w:t>
      </w:r>
    </w:p>
    <w:p w:rsidR="00363106" w:rsidRPr="00922890" w:rsidRDefault="00363106" w:rsidP="00363106">
      <w:pPr>
        <w:pStyle w:val="HChGR"/>
      </w:pPr>
      <w:r w:rsidRPr="00922890">
        <w:tab/>
      </w:r>
      <w:r w:rsidRPr="00922890">
        <w:tab/>
        <w:t>Общее требование, касающееся предохранительных клапанов на цистернах и номинального давления разрывных мембран</w:t>
      </w:r>
    </w:p>
    <w:p w:rsidR="00363106" w:rsidRPr="00922890" w:rsidRDefault="00363106" w:rsidP="00F32673">
      <w:pPr>
        <w:pStyle w:val="H1GR"/>
      </w:pPr>
      <w:r w:rsidRPr="00922890">
        <w:rPr>
          <w:lang w:bidi="ru-RU"/>
        </w:rPr>
        <w:tab/>
      </w:r>
      <w:r w:rsidRPr="00922890">
        <w:rPr>
          <w:lang w:bidi="ru-RU"/>
        </w:rPr>
        <w:tab/>
      </w:r>
      <w:r w:rsidRPr="00922890">
        <w:t>Передано правительством Нидерландов</w:t>
      </w:r>
      <w:r w:rsidRPr="00922890">
        <w:rPr>
          <w:b w:val="0"/>
          <w:sz w:val="18"/>
          <w:szCs w:val="18"/>
          <w:vertAlign w:val="superscript"/>
        </w:rPr>
        <w:footnoteReference w:id="1"/>
      </w:r>
      <w:r w:rsidRPr="00922890">
        <w:rPr>
          <w:b w:val="0"/>
          <w:sz w:val="18"/>
          <w:szCs w:val="18"/>
          <w:vertAlign w:val="superscript"/>
        </w:rPr>
        <w:t xml:space="preserve">, </w:t>
      </w:r>
      <w:r w:rsidRPr="00922890">
        <w:rPr>
          <w:b w:val="0"/>
          <w:sz w:val="18"/>
          <w:szCs w:val="18"/>
          <w:vertAlign w:val="superscript"/>
        </w:rPr>
        <w:footnoteReference w:id="2"/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5E0"/>
      </w:tblPr>
      <w:tblGrid>
        <w:gridCol w:w="9854"/>
      </w:tblGrid>
      <w:tr w:rsidR="00F32673" w:rsidRPr="00922890" w:rsidTr="00F32673">
        <w:tc>
          <w:tcPr>
            <w:tcW w:w="9854" w:type="dxa"/>
            <w:shd w:val="clear" w:color="auto" w:fill="auto"/>
          </w:tcPr>
          <w:p w:rsidR="00F32673" w:rsidRPr="00922890" w:rsidRDefault="00F32673" w:rsidP="00F32673">
            <w:pPr>
              <w:suppressAutoHyphens/>
              <w:spacing w:before="240" w:after="120"/>
              <w:ind w:left="255"/>
              <w:rPr>
                <w:i/>
                <w:sz w:val="24"/>
                <w:lang w:eastAsia="ru-RU"/>
              </w:rPr>
            </w:pPr>
            <w:r w:rsidRPr="00922890">
              <w:rPr>
                <w:i/>
                <w:sz w:val="24"/>
                <w:lang w:eastAsia="ru-RU"/>
              </w:rPr>
              <w:t>Резюме</w:t>
            </w:r>
          </w:p>
        </w:tc>
      </w:tr>
      <w:tr w:rsidR="00F32673" w:rsidRPr="00922890" w:rsidTr="00F32673">
        <w:tc>
          <w:tcPr>
            <w:tcW w:w="9854" w:type="dxa"/>
            <w:shd w:val="clear" w:color="auto" w:fill="auto"/>
          </w:tcPr>
          <w:p w:rsidR="00F32673" w:rsidRPr="00922890" w:rsidRDefault="00F32673" w:rsidP="00F32673">
            <w:pPr>
              <w:pStyle w:val="SingleTxtGR"/>
              <w:ind w:left="3969" w:hanging="2835"/>
              <w:rPr>
                <w:lang w:eastAsia="ru-RU"/>
              </w:rPr>
            </w:pPr>
            <w:r w:rsidRPr="00922890">
              <w:rPr>
                <w:b/>
              </w:rPr>
              <w:t>Существо предложения:</w:t>
            </w:r>
            <w:r w:rsidRPr="00922890">
              <w:t xml:space="preserve"> </w:t>
            </w:r>
            <w:r w:rsidRPr="00922890">
              <w:tab/>
              <w:t>Настоящее предложение позволяет избежать излишнего вмешательства компетентных органов и содержит базовые требования к предохранительным клапанам в соответствии с главой 6.7.</w:t>
            </w:r>
          </w:p>
        </w:tc>
      </w:tr>
      <w:tr w:rsidR="00F32673" w:rsidRPr="00922890" w:rsidTr="00F32673">
        <w:tc>
          <w:tcPr>
            <w:tcW w:w="9854" w:type="dxa"/>
            <w:shd w:val="clear" w:color="auto" w:fill="auto"/>
          </w:tcPr>
          <w:p w:rsidR="00F32673" w:rsidRPr="00922890" w:rsidRDefault="00F32673" w:rsidP="00F32673">
            <w:pPr>
              <w:pStyle w:val="SingleTxtGR"/>
              <w:ind w:left="3969" w:hanging="2835"/>
              <w:rPr>
                <w:lang w:eastAsia="ru-RU"/>
              </w:rPr>
            </w:pPr>
            <w:r w:rsidRPr="00922890">
              <w:rPr>
                <w:b/>
              </w:rPr>
              <w:t>Предлагаемое решение:</w:t>
            </w:r>
            <w:r w:rsidRPr="00922890">
              <w:rPr>
                <w:b/>
              </w:rPr>
              <w:tab/>
            </w:r>
            <w:r w:rsidRPr="00922890">
              <w:t>Изменить формулировку пункта 6.8.2.2.10.</w:t>
            </w:r>
          </w:p>
        </w:tc>
      </w:tr>
      <w:tr w:rsidR="00F32673" w:rsidRPr="00922890" w:rsidTr="00F32673">
        <w:tc>
          <w:tcPr>
            <w:tcW w:w="9854" w:type="dxa"/>
            <w:shd w:val="clear" w:color="auto" w:fill="auto"/>
          </w:tcPr>
          <w:p w:rsidR="00F32673" w:rsidRPr="00922890" w:rsidRDefault="00F32673" w:rsidP="00F32673">
            <w:pPr>
              <w:pStyle w:val="SingleTxtGR"/>
              <w:ind w:left="3969" w:hanging="2835"/>
              <w:rPr>
                <w:b/>
              </w:rPr>
            </w:pPr>
            <w:r w:rsidRPr="00922890">
              <w:rPr>
                <w:b/>
              </w:rPr>
              <w:t>Справочные документы:</w:t>
            </w:r>
            <w:r w:rsidRPr="00922890">
              <w:rPr>
                <w:b/>
              </w:rPr>
              <w:tab/>
            </w:r>
            <w:r w:rsidRPr="00922890">
              <w:t>Неофициальный документ INF.13 весенней сессии 2016 года.</w:t>
            </w:r>
          </w:p>
        </w:tc>
      </w:tr>
      <w:tr w:rsidR="00F32673" w:rsidRPr="00922890" w:rsidTr="00F32673">
        <w:tc>
          <w:tcPr>
            <w:tcW w:w="9854" w:type="dxa"/>
            <w:shd w:val="clear" w:color="auto" w:fill="auto"/>
          </w:tcPr>
          <w:p w:rsidR="00F32673" w:rsidRPr="00922890" w:rsidRDefault="00F32673" w:rsidP="00F32673">
            <w:pPr>
              <w:rPr>
                <w:lang w:eastAsia="ru-RU"/>
              </w:rPr>
            </w:pPr>
          </w:p>
        </w:tc>
      </w:tr>
    </w:tbl>
    <w:p w:rsidR="00F32673" w:rsidRPr="00922890" w:rsidRDefault="00F32673">
      <w:pPr>
        <w:spacing w:line="240" w:lineRule="auto"/>
        <w:rPr>
          <w:lang w:eastAsia="ru-RU"/>
        </w:rPr>
      </w:pPr>
      <w:r w:rsidRPr="00922890">
        <w:rPr>
          <w:lang w:eastAsia="ru-RU"/>
        </w:rPr>
        <w:br w:type="page"/>
      </w:r>
    </w:p>
    <w:p w:rsidR="00363106" w:rsidRPr="00922890" w:rsidRDefault="00363106" w:rsidP="00F32673">
      <w:pPr>
        <w:pStyle w:val="HChGR"/>
      </w:pPr>
      <w:r w:rsidRPr="00922890">
        <w:lastRenderedPageBreak/>
        <w:tab/>
      </w:r>
      <w:r w:rsidRPr="00922890">
        <w:tab/>
        <w:t>Введение</w:t>
      </w:r>
    </w:p>
    <w:p w:rsidR="00363106" w:rsidRPr="00922890" w:rsidRDefault="00363106" w:rsidP="00363106">
      <w:pPr>
        <w:pStyle w:val="SingleTxtGR"/>
      </w:pPr>
      <w:r w:rsidRPr="00922890">
        <w:t>1.</w:t>
      </w:r>
      <w:r w:rsidRPr="00922890">
        <w:tab/>
        <w:t>В том случае, если предохранительный клапан используется на герметически закрытой цистерне, компетентный орган принимает решение относительно требований к предохранительному клапану и разрывной мембране. На практике компетентный орган предписывает соотношение величин давления между разрывной мембраной и предохранительным клапаном, которое используется в главе 6.7. Это представляется рациональным, поскольку данная схема испытана и информация об этом оборудовании широко доступна. Чтобы избежать излишнего вмешательства компетентных органов и способствовать гармонизации, предлагается включить в пункт 6.8.2.2.10 соотношение величин давления, предусмотренное в главе 6.7.</w:t>
      </w:r>
    </w:p>
    <w:p w:rsidR="00363106" w:rsidRPr="00922890" w:rsidRDefault="00363106" w:rsidP="00363106">
      <w:pPr>
        <w:pStyle w:val="SingleTxtGR"/>
      </w:pPr>
      <w:r w:rsidRPr="00922890">
        <w:t>2.</w:t>
      </w:r>
      <w:r w:rsidRPr="00922890">
        <w:tab/>
        <w:t>По сравнению с главой 6.7 общие требования к предохранительным клапанам, изложенные в разделе 6.8.2, являются ограниченными. Для того чтобы дополнить эти требования к предохранительным клапанам, предлагается включить в них дополнительные положения, основанные на формулировках, используемых в главе 6.7.</w:t>
      </w:r>
    </w:p>
    <w:p w:rsidR="00363106" w:rsidRPr="00922890" w:rsidRDefault="00363106" w:rsidP="00A93863">
      <w:pPr>
        <w:pStyle w:val="HChGR"/>
      </w:pPr>
      <w:r w:rsidRPr="00922890">
        <w:tab/>
      </w:r>
      <w:r w:rsidRPr="00922890">
        <w:tab/>
        <w:t>Предложения</w:t>
      </w:r>
    </w:p>
    <w:p w:rsidR="00363106" w:rsidRPr="00922890" w:rsidRDefault="00363106" w:rsidP="00363106">
      <w:pPr>
        <w:pStyle w:val="SingleTxtGR"/>
        <w:rPr>
          <w:b/>
        </w:rPr>
      </w:pPr>
      <w:r w:rsidRPr="00922890">
        <w:t>3.</w:t>
      </w:r>
      <w:r w:rsidRPr="00922890">
        <w:tab/>
      </w:r>
      <w:r w:rsidRPr="00922890">
        <w:rPr>
          <w:b/>
        </w:rPr>
        <w:t xml:space="preserve">Предложение 1 </w:t>
      </w:r>
    </w:p>
    <w:p w:rsidR="00363106" w:rsidRPr="00922890" w:rsidRDefault="00A93863" w:rsidP="00363106">
      <w:pPr>
        <w:pStyle w:val="SingleTxtGR"/>
      </w:pPr>
      <w:r w:rsidRPr="00922890">
        <w:tab/>
      </w:r>
      <w:r w:rsidR="00363106" w:rsidRPr="00922890">
        <w:t xml:space="preserve">Включить новый первый абзац в пункт 6.8.2.2.10 следующего содержания (новый текст напечатан </w:t>
      </w:r>
      <w:r w:rsidR="00363106" w:rsidRPr="00922890">
        <w:rPr>
          <w:i/>
        </w:rPr>
        <w:t>курсивом)</w:t>
      </w:r>
      <w:r w:rsidR="00363106" w:rsidRPr="00922890">
        <w:t>:</w:t>
      </w:r>
    </w:p>
    <w:p w:rsidR="00363106" w:rsidRPr="00922890" w:rsidRDefault="00363106" w:rsidP="00A93863">
      <w:pPr>
        <w:pStyle w:val="SingleTxtGR"/>
        <w:ind w:left="2268" w:hanging="1134"/>
        <w:rPr>
          <w:i/>
        </w:rPr>
      </w:pPr>
      <w:r w:rsidRPr="00922890">
        <w:t>«6.8.2.2.10</w:t>
      </w:r>
      <w:r w:rsidRPr="00922890">
        <w:rPr>
          <w:i/>
        </w:rPr>
        <w:tab/>
        <w:t>Предохранительные клапаны должны быть</w:t>
      </w:r>
      <w:r w:rsidRPr="00922890">
        <w:t xml:space="preserve"> </w:t>
      </w:r>
      <w:r w:rsidRPr="00922890">
        <w:rPr>
          <w:i/>
        </w:rPr>
        <w:t>подпружиненного типа и сконструированы таким образом, чтобы предотвращать проникновение посторонних материалов, любое опасное повышение давления и утечку жидкости и газа.</w:t>
      </w:r>
    </w:p>
    <w:p w:rsidR="00363106" w:rsidRPr="00922890" w:rsidRDefault="00363106" w:rsidP="00A93863">
      <w:pPr>
        <w:pStyle w:val="SingleTxtGR"/>
        <w:ind w:left="2268" w:hanging="1134"/>
        <w:rPr>
          <w:i/>
        </w:rPr>
      </w:pPr>
      <w:r w:rsidRPr="00922890">
        <w:tab/>
      </w:r>
      <w:r w:rsidR="00A93863" w:rsidRPr="00922890">
        <w:tab/>
      </w:r>
      <w:r w:rsidRPr="00922890">
        <w:rPr>
          <w:i/>
        </w:rPr>
        <w:t>Предохранительные клапаны должны автоматически открываться при давлении не менее максимального рабочего давления и должны быть полностью открыты при давлении, составляющем 110% максимального рабочего давления. После сброса давления эти клапаны должны закрываться при давлении, которое не более чем на 10% ниже давления, при котором начался его сброс, и должны оставаться закрытыми при любом более низком давлении. Предохранительные клапаны должны быть такого типа, чтобы они могли выдерживать динамические нагрузки, включая волновой удар жидкости.</w:t>
      </w:r>
      <w:r w:rsidRPr="00922890">
        <w:t>»</w:t>
      </w:r>
      <w:r w:rsidRPr="00922890">
        <w:rPr>
          <w:i/>
        </w:rPr>
        <w:t>.</w:t>
      </w:r>
    </w:p>
    <w:p w:rsidR="00363106" w:rsidRPr="00922890" w:rsidRDefault="00363106" w:rsidP="00363106">
      <w:pPr>
        <w:pStyle w:val="SingleTxtGR"/>
      </w:pPr>
      <w:r w:rsidRPr="00922890">
        <w:t>4.</w:t>
      </w:r>
      <w:r w:rsidRPr="00922890">
        <w:tab/>
      </w:r>
      <w:r w:rsidRPr="00922890">
        <w:rPr>
          <w:b/>
        </w:rPr>
        <w:t>Предложение 2</w:t>
      </w:r>
    </w:p>
    <w:p w:rsidR="00363106" w:rsidRPr="00922890" w:rsidRDefault="00A93863" w:rsidP="00363106">
      <w:pPr>
        <w:pStyle w:val="SingleTxtGR"/>
      </w:pPr>
      <w:r w:rsidRPr="00922890">
        <w:tab/>
      </w:r>
      <w:r w:rsidR="00363106" w:rsidRPr="00922890">
        <w:t xml:space="preserve">Изменить формулировку второго абзаца пункта 6.8.2.2.10 следующим образом (новый текст напечатан </w:t>
      </w:r>
      <w:r w:rsidR="00363106" w:rsidRPr="00922890">
        <w:rPr>
          <w:i/>
        </w:rPr>
        <w:t>курсивом</w:t>
      </w:r>
      <w:r w:rsidR="00363106" w:rsidRPr="00922890">
        <w:t xml:space="preserve">, исключенный текст </w:t>
      </w:r>
      <w:r w:rsidR="00363106" w:rsidRPr="00922890">
        <w:rPr>
          <w:strike/>
        </w:rPr>
        <w:t>зачеркнут</w:t>
      </w:r>
      <w:r w:rsidR="00363106" w:rsidRPr="00922890">
        <w:t>):</w:t>
      </w:r>
    </w:p>
    <w:p w:rsidR="00363106" w:rsidRPr="00922890" w:rsidRDefault="00363106" w:rsidP="00A93863">
      <w:pPr>
        <w:pStyle w:val="SingleTxtGR"/>
        <w:ind w:left="2268"/>
      </w:pPr>
      <w:r w:rsidRPr="00922890">
        <w:t>«Если цистерны, которые должны закрываться герметически, оборудованы предохранительными клапанами, то перед ними должна устанавливаться разрывная мембрана и должны соблюдаться следующие условия:</w:t>
      </w:r>
    </w:p>
    <w:p w:rsidR="00363106" w:rsidRPr="00922890" w:rsidRDefault="00363106" w:rsidP="00A93863">
      <w:pPr>
        <w:pStyle w:val="SingleTxtGR"/>
        <w:ind w:left="2268"/>
      </w:pPr>
      <w:r w:rsidRPr="00922890">
        <w:rPr>
          <w:i/>
        </w:rPr>
        <w:t xml:space="preserve">Разрывная мембрана должна разрываться при номинальном давлении, превышающем на 10% давление срабатывания предохранительного клапана. </w:t>
      </w:r>
      <w:r w:rsidRPr="00922890">
        <w:rPr>
          <w:strike/>
        </w:rPr>
        <w:t xml:space="preserve">Компоновка разрывной мембраны и предохранительного клапана должна удовлетворять требованиям </w:t>
      </w:r>
      <w:r w:rsidRPr="00922890">
        <w:rPr>
          <w:strike/>
        </w:rPr>
        <w:lastRenderedPageBreak/>
        <w:t>компетентного органа.</w:t>
      </w:r>
      <w:r w:rsidRPr="00922890">
        <w:t xml:space="preserve"> Между разрывной мембраной и предохранительным клапаном должен быть установлен манометр или другой подходящий измерительный прибор, с тем чтобы можно было обнаружить разрыв или перфорацию мембраны или утечку через нее</w:t>
      </w:r>
      <w:r w:rsidRPr="00922890">
        <w:rPr>
          <w:strike/>
        </w:rPr>
        <w:t>, в результате которых предохранительный клапан может не сработать</w:t>
      </w:r>
      <w:r w:rsidRPr="00922890">
        <w:t>.».</w:t>
      </w:r>
    </w:p>
    <w:p w:rsidR="00363106" w:rsidRPr="00922890" w:rsidRDefault="00363106" w:rsidP="00363106">
      <w:pPr>
        <w:pStyle w:val="SingleTxtGR"/>
        <w:rPr>
          <w:b/>
        </w:rPr>
      </w:pPr>
      <w:r w:rsidRPr="00922890">
        <w:t>5.</w:t>
      </w:r>
      <w:r w:rsidRPr="00922890">
        <w:tab/>
      </w:r>
      <w:r w:rsidRPr="00922890">
        <w:rPr>
          <w:b/>
        </w:rPr>
        <w:t>Предложение 3</w:t>
      </w:r>
    </w:p>
    <w:p w:rsidR="00363106" w:rsidRPr="00922890" w:rsidRDefault="00A93863" w:rsidP="00363106">
      <w:pPr>
        <w:pStyle w:val="SingleTxtGR"/>
      </w:pPr>
      <w:r w:rsidRPr="00922890">
        <w:tab/>
      </w:r>
      <w:r w:rsidR="00363106" w:rsidRPr="00922890">
        <w:t xml:space="preserve">Включить новую переходную меру на случай использования разрывных мембран с альтернативными значениями (новый текст напечатан </w:t>
      </w:r>
      <w:r w:rsidR="00363106" w:rsidRPr="00922890">
        <w:rPr>
          <w:i/>
        </w:rPr>
        <w:t>курсивом</w:t>
      </w:r>
      <w:r w:rsidR="00363106" w:rsidRPr="00922890">
        <w:t>):</w:t>
      </w:r>
    </w:p>
    <w:p w:rsidR="00363106" w:rsidRPr="00922890" w:rsidRDefault="00363106" w:rsidP="00A93863">
      <w:pPr>
        <w:pStyle w:val="SingleTxtGR"/>
        <w:ind w:left="2268" w:hanging="1134"/>
      </w:pPr>
      <w:r w:rsidRPr="00922890">
        <w:t xml:space="preserve">«1.6.3.yy/1.6.4.xx </w:t>
      </w:r>
      <w:r w:rsidR="00A93863" w:rsidRPr="00922890">
        <w:tab/>
      </w:r>
      <w:r w:rsidRPr="00922890">
        <w:rPr>
          <w:i/>
        </w:rPr>
        <w:t>Встроенные цистерны (автоцистерны) и съемные цистерны/вагоны-цистерны (проверить)/контейнеры-цистерны, изготовленные до 1 января 2019 года в соответствии с правилами, до 31</w:t>
      </w:r>
      <w:r w:rsidR="00A93863" w:rsidRPr="00922890">
        <w:rPr>
          <w:i/>
        </w:rPr>
        <w:t> </w:t>
      </w:r>
      <w:r w:rsidRPr="00922890">
        <w:rPr>
          <w:i/>
        </w:rPr>
        <w:t>декабря 2018 года, но не отвечающ</w:t>
      </w:r>
      <w:bookmarkStart w:id="2" w:name="_GoBack"/>
      <w:bookmarkEnd w:id="2"/>
      <w:r w:rsidRPr="00922890">
        <w:rPr>
          <w:i/>
        </w:rPr>
        <w:t>ие требованиям пункта</w:t>
      </w:r>
      <w:r w:rsidR="00422C8D" w:rsidRPr="00922890">
        <w:rPr>
          <w:i/>
        </w:rPr>
        <w:t> </w:t>
      </w:r>
      <w:r w:rsidRPr="00922890">
        <w:rPr>
          <w:i/>
        </w:rPr>
        <w:t>6.8.2.2.10, касающимся давления разрыва разрывных мембран, могут по-прежнему эксплуатироваться до проведения следующего испытания на герметичность в рамках периодической или промежуточной проверки.</w:t>
      </w:r>
      <w:r w:rsidRPr="00922890">
        <w:t>»</w:t>
      </w:r>
      <w:r w:rsidRPr="00922890">
        <w:rPr>
          <w:i/>
        </w:rPr>
        <w:t>.</w:t>
      </w:r>
    </w:p>
    <w:p w:rsidR="00363106" w:rsidRPr="00922890" w:rsidRDefault="00A93863" w:rsidP="00A93863">
      <w:pPr>
        <w:pStyle w:val="HChGR"/>
      </w:pPr>
      <w:r w:rsidRPr="00922890">
        <w:tab/>
      </w:r>
      <w:r w:rsidRPr="00922890">
        <w:tab/>
      </w:r>
      <w:r w:rsidR="00363106" w:rsidRPr="00922890">
        <w:t>Обоснование</w:t>
      </w:r>
    </w:p>
    <w:p w:rsidR="00363106" w:rsidRPr="00922890" w:rsidRDefault="00363106" w:rsidP="00363106">
      <w:pPr>
        <w:pStyle w:val="SingleTxtGR"/>
      </w:pPr>
      <w:r w:rsidRPr="00922890">
        <w:t>6.</w:t>
      </w:r>
      <w:r w:rsidRPr="00922890">
        <w:tab/>
        <w:t>Общие требования, сформулированные в предложении 1, основаны на существующих требованиях подраздела 6.7.2.8, касающихся у</w:t>
      </w:r>
      <w:r w:rsidRPr="00922890">
        <w:rPr>
          <w:bCs/>
          <w:iCs/>
        </w:rPr>
        <w:t>стройств для сброса давления</w:t>
      </w:r>
      <w:r w:rsidRPr="00922890">
        <w:t>. Предполагается, что все предохранительные клапаны соответствуют данным требованиям и что переходная мера не потребуется.</w:t>
      </w:r>
    </w:p>
    <w:p w:rsidR="00363106" w:rsidRPr="00922890" w:rsidRDefault="00363106" w:rsidP="00363106">
      <w:pPr>
        <w:pStyle w:val="SingleTxtGR"/>
      </w:pPr>
      <w:r w:rsidRPr="00922890">
        <w:t xml:space="preserve">7. </w:t>
      </w:r>
      <w:r w:rsidRPr="00922890">
        <w:tab/>
        <w:t>В предложении 2 предусмотрено, что давление, при котором разрывная мембрана должна разрываться, является номинальным давлением, т.е., иными словами, номинальным давлением, указанным в маркировке, нанесенной на мембрану; проводить испытания не требуется. Давление, превышающее на 10% давление срабатывания (заданное значение) предохранительного клапана, уже применяется на практике в отношении цистерн, предусмотренных в разделе</w:t>
      </w:r>
      <w:r w:rsidR="002740F9" w:rsidRPr="00922890">
        <w:t> </w:t>
      </w:r>
      <w:r w:rsidRPr="00922890">
        <w:t>6.7.2, и позволяет избежать разрыва во время наполнения или разгрузки при максимальном рабочем давлении.</w:t>
      </w:r>
    </w:p>
    <w:p w:rsidR="00A658DB" w:rsidRPr="00922890" w:rsidRDefault="00363106" w:rsidP="00363106">
      <w:pPr>
        <w:pStyle w:val="SingleTxtGR"/>
      </w:pPr>
      <w:r w:rsidRPr="00922890">
        <w:t>8.</w:t>
      </w:r>
      <w:r w:rsidRPr="00922890">
        <w:tab/>
        <w:t>Последняя фраза исключена, чтобы избежать обсуждения того, способна или не способна та или иная конкретная утечка привести к тому, что предохранительный клапан может «не сработать».</w:t>
      </w:r>
    </w:p>
    <w:p w:rsidR="00363106" w:rsidRPr="00922890" w:rsidRDefault="00363106" w:rsidP="00363106">
      <w:pPr>
        <w:spacing w:before="240"/>
        <w:jc w:val="center"/>
        <w:rPr>
          <w:u w:val="single"/>
        </w:rPr>
      </w:pPr>
      <w:r w:rsidRPr="00922890">
        <w:rPr>
          <w:u w:val="single"/>
        </w:rPr>
        <w:tab/>
      </w:r>
      <w:r w:rsidRPr="00922890">
        <w:rPr>
          <w:u w:val="single"/>
        </w:rPr>
        <w:tab/>
      </w:r>
      <w:r w:rsidRPr="00922890">
        <w:rPr>
          <w:u w:val="single"/>
        </w:rPr>
        <w:tab/>
      </w:r>
    </w:p>
    <w:sectPr w:rsidR="00363106" w:rsidRPr="00922890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51" w:rsidRDefault="00461F51" w:rsidP="00B471C5">
      <w:r>
        <w:separator/>
      </w:r>
    </w:p>
  </w:endnote>
  <w:endnote w:type="continuationSeparator" w:id="0">
    <w:p w:rsidR="00461F51" w:rsidRDefault="00461F51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182710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D581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2740F9" w:rsidRPr="002740F9">
      <w:rPr>
        <w:lang w:val="en-US"/>
      </w:rPr>
      <w:t>11076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2740F9" w:rsidRPr="002740F9">
      <w:rPr>
        <w:lang w:val="en-US"/>
      </w:rPr>
      <w:t>11076</w:t>
    </w:r>
    <w:r>
      <w:rPr>
        <w:lang w:val="en-US"/>
      </w:rPr>
      <w:tab/>
    </w:r>
    <w:r w:rsidR="00182710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182710" w:rsidRPr="00BA2D2B">
      <w:rPr>
        <w:b/>
        <w:sz w:val="18"/>
        <w:szCs w:val="18"/>
      </w:rPr>
      <w:fldChar w:fldCharType="separate"/>
    </w:r>
    <w:r w:rsidR="004D5811">
      <w:rPr>
        <w:b/>
        <w:noProof/>
        <w:sz w:val="18"/>
        <w:szCs w:val="18"/>
      </w:rPr>
      <w:t>3</w:t>
    </w:r>
    <w:r w:rsidR="00182710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2740F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740F9" w:rsidRPr="002740F9">
            <w:rPr>
              <w:lang w:val="en-US"/>
            </w:rPr>
            <w:t>11076</w:t>
          </w:r>
          <w:r w:rsidRPr="001C3ABC">
            <w:rPr>
              <w:lang w:val="en-US"/>
            </w:rPr>
            <w:t xml:space="preserve"> (R)</w:t>
          </w:r>
          <w:r w:rsidR="002740F9">
            <w:rPr>
              <w:lang w:val="en-US"/>
            </w:rPr>
            <w:t xml:space="preserve">   220716   220716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740F9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6/2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2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740F9" w:rsidRDefault="002740F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740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740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740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740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740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740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740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740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740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51" w:rsidRPr="009141DC" w:rsidRDefault="00461F5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61F51" w:rsidRPr="00D1261C" w:rsidRDefault="00461F5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63106" w:rsidRPr="00296972" w:rsidRDefault="00363106" w:rsidP="00363106">
      <w:pPr>
        <w:pStyle w:val="Notedebasdepage"/>
        <w:rPr>
          <w:lang w:val="ru-RU"/>
        </w:rPr>
      </w:pPr>
      <w:r>
        <w:tab/>
      </w:r>
      <w:r>
        <w:rPr>
          <w:rStyle w:val="Appelnotedebasdep"/>
        </w:rPr>
        <w:footnoteRef/>
      </w:r>
      <w:r w:rsidRPr="00296972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296972">
        <w:rPr>
          <w:lang w:val="ru-RU"/>
        </w:rPr>
        <w:br/>
        <w:t>на 2016–2017 годы (ECE/TRANS/2016/28/Add.1 (9.2)).</w:t>
      </w:r>
    </w:p>
  </w:footnote>
  <w:footnote w:id="2">
    <w:p w:rsidR="00363106" w:rsidRPr="00296972" w:rsidRDefault="00363106" w:rsidP="00363106">
      <w:pPr>
        <w:pStyle w:val="Notedebasdepage"/>
        <w:rPr>
          <w:lang w:val="ru-RU"/>
        </w:rPr>
      </w:pPr>
      <w:r w:rsidRPr="004634E5">
        <w:rPr>
          <w:lang w:val="ru-RU"/>
        </w:rPr>
        <w:tab/>
      </w:r>
      <w:r>
        <w:rPr>
          <w:rStyle w:val="Appelnotedebasdep"/>
        </w:rPr>
        <w:footnoteRef/>
      </w:r>
      <w:r w:rsidRPr="00296972">
        <w:rPr>
          <w:lang w:val="ru-RU"/>
        </w:rPr>
        <w:tab/>
      </w:r>
      <w:r w:rsidRPr="00521B67">
        <w:rPr>
          <w:lang w:val="ru-RU"/>
        </w:rPr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57637F">
        <w:t>OTIF</w:t>
      </w:r>
      <w:r w:rsidRPr="00521B67">
        <w:rPr>
          <w:lang w:val="ru-RU"/>
        </w:rPr>
        <w:t>/</w:t>
      </w:r>
      <w:r w:rsidRPr="0057637F">
        <w:t>RID</w:t>
      </w:r>
      <w:r w:rsidRPr="00521B67">
        <w:rPr>
          <w:lang w:val="ru-RU"/>
        </w:rPr>
        <w:t>/</w:t>
      </w:r>
      <w:r w:rsidRPr="0057637F">
        <w:t>RC</w:t>
      </w:r>
      <w:r w:rsidRPr="00521B67">
        <w:rPr>
          <w:lang w:val="ru-RU"/>
        </w:rPr>
        <w:t>/2016/</w:t>
      </w:r>
      <w:r>
        <w:rPr>
          <w:lang w:val="ru-RU"/>
        </w:rPr>
        <w:t>25</w:t>
      </w:r>
      <w:r w:rsidRPr="00521B67"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422C8D">
    <w:pPr>
      <w:pStyle w:val="En-tte"/>
      <w:rPr>
        <w:lang w:val="en-US"/>
      </w:rPr>
    </w:pPr>
    <w:r w:rsidRPr="00422C8D">
      <w:rPr>
        <w:lang w:val="en-US"/>
      </w:rPr>
      <w:t>ECE/TRANS/WP.15/AC.1/2016/25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2740F9" w:rsidP="007005EE">
    <w:pPr>
      <w:pStyle w:val="En-tte"/>
      <w:jc w:val="right"/>
      <w:rPr>
        <w:lang w:val="en-US"/>
      </w:rPr>
    </w:pPr>
    <w:r w:rsidRPr="002740F9">
      <w:rPr>
        <w:lang w:val="en-US"/>
      </w:rPr>
      <w:t>ECE/TRANS/WP.15/AC.1/2016/25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3106"/>
    <w:rsid w:val="000450D1"/>
    <w:rsid w:val="000B1FD5"/>
    <w:rsid w:val="000F2A4F"/>
    <w:rsid w:val="00182710"/>
    <w:rsid w:val="00203F84"/>
    <w:rsid w:val="002740F9"/>
    <w:rsid w:val="00275188"/>
    <w:rsid w:val="0028687D"/>
    <w:rsid w:val="002B091C"/>
    <w:rsid w:val="002B3D40"/>
    <w:rsid w:val="002D0CCB"/>
    <w:rsid w:val="00345C79"/>
    <w:rsid w:val="00363106"/>
    <w:rsid w:val="00366A39"/>
    <w:rsid w:val="003E343B"/>
    <w:rsid w:val="00422C8D"/>
    <w:rsid w:val="00461F51"/>
    <w:rsid w:val="0048005C"/>
    <w:rsid w:val="004D5811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22890"/>
    <w:rsid w:val="0098674D"/>
    <w:rsid w:val="00997ACA"/>
    <w:rsid w:val="00A03FB7"/>
    <w:rsid w:val="00A55C56"/>
    <w:rsid w:val="00A658DB"/>
    <w:rsid w:val="00A75A11"/>
    <w:rsid w:val="00A93863"/>
    <w:rsid w:val="00A9606E"/>
    <w:rsid w:val="00AD7EAD"/>
    <w:rsid w:val="00B35A32"/>
    <w:rsid w:val="00B432C6"/>
    <w:rsid w:val="00B471C5"/>
    <w:rsid w:val="00B6474A"/>
    <w:rsid w:val="00BE1742"/>
    <w:rsid w:val="00CC521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3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,4_G,Footnote Reference/"/>
    <w:basedOn w:val="Policepardfau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5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81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Footnote Reference/"/>
    <w:basedOn w:val="a0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0606-B5D6-4F8F-8E8C-90C24872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Maison</cp:lastModifiedBy>
  <cp:revision>2</cp:revision>
  <dcterms:created xsi:type="dcterms:W3CDTF">2016-07-28T13:44:00Z</dcterms:created>
  <dcterms:modified xsi:type="dcterms:W3CDTF">2016-07-28T13:44:00Z</dcterms:modified>
</cp:coreProperties>
</file>