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A35AB">
              <w:fldChar w:fldCharType="begin"/>
            </w:r>
            <w:r w:rsidR="00FA35AB">
              <w:instrText xml:space="preserve"> FILLIN  "Введите символ после ЕCE/"  \* MERGEFORMAT </w:instrText>
            </w:r>
            <w:r w:rsidR="00FA35AB">
              <w:fldChar w:fldCharType="separate"/>
            </w:r>
            <w:r w:rsidR="00C37DCF">
              <w:t>TRANS/WP.15/AC.1/2016/34</w:t>
            </w:r>
            <w:r w:rsidR="00FA35A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37DCF">
                <w:t>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44947" w:rsidRPr="007766CE" w:rsidRDefault="00E44947" w:rsidP="007766CE">
      <w:pPr>
        <w:spacing w:before="120" w:line="240" w:lineRule="auto"/>
        <w:rPr>
          <w:sz w:val="28"/>
          <w:szCs w:val="28"/>
          <w:lang w:bidi="ru-RU"/>
        </w:rPr>
      </w:pPr>
      <w:r w:rsidRPr="007766CE">
        <w:rPr>
          <w:sz w:val="28"/>
          <w:szCs w:val="28"/>
          <w:lang w:bidi="ru-RU"/>
        </w:rPr>
        <w:t>Комитет по внутреннему транспорту</w:t>
      </w:r>
    </w:p>
    <w:p w:rsidR="00E44947" w:rsidRPr="007766CE" w:rsidRDefault="00E44947" w:rsidP="007766CE">
      <w:pPr>
        <w:spacing w:before="120" w:line="240" w:lineRule="auto"/>
        <w:rPr>
          <w:b/>
          <w:sz w:val="24"/>
          <w:szCs w:val="24"/>
          <w:lang w:bidi="ru-RU"/>
        </w:rPr>
      </w:pPr>
      <w:r w:rsidRPr="007766CE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E44947" w:rsidRPr="00E44947" w:rsidRDefault="00E44947" w:rsidP="007766CE">
      <w:pPr>
        <w:spacing w:before="120" w:line="240" w:lineRule="auto"/>
        <w:rPr>
          <w:b/>
          <w:lang w:bidi="ru-RU"/>
        </w:rPr>
      </w:pPr>
      <w:r w:rsidRPr="00E44947">
        <w:rPr>
          <w:b/>
          <w:lang w:bidi="ru-RU"/>
        </w:rPr>
        <w:t xml:space="preserve">Совместное совещание Комиссии экспертов МПОГ </w:t>
      </w:r>
      <w:r w:rsidR="007766CE">
        <w:rPr>
          <w:b/>
          <w:lang w:bidi="ru-RU"/>
        </w:rPr>
        <w:br/>
      </w:r>
      <w:r w:rsidRPr="00E44947">
        <w:rPr>
          <w:b/>
          <w:lang w:bidi="ru-RU"/>
        </w:rPr>
        <w:t>и Рабочей группы по перевозкам опасных грузов</w:t>
      </w:r>
    </w:p>
    <w:p w:rsidR="00E44947" w:rsidRPr="00E44947" w:rsidRDefault="00E44947" w:rsidP="00E44947">
      <w:pPr>
        <w:spacing w:line="240" w:lineRule="auto"/>
        <w:rPr>
          <w:lang w:bidi="ru-RU"/>
        </w:rPr>
      </w:pPr>
      <w:r w:rsidRPr="00E44947">
        <w:rPr>
          <w:lang w:bidi="ru-RU"/>
        </w:rPr>
        <w:t>Женева, 19</w:t>
      </w:r>
      <w:r w:rsidR="007766CE">
        <w:rPr>
          <w:lang w:bidi="ru-RU"/>
        </w:rPr>
        <w:t>–</w:t>
      </w:r>
      <w:r w:rsidRPr="00E44947">
        <w:rPr>
          <w:lang w:bidi="ru-RU"/>
        </w:rPr>
        <w:t>23 сентября 2016 года</w:t>
      </w:r>
    </w:p>
    <w:p w:rsidR="00E44947" w:rsidRPr="00E44947" w:rsidRDefault="00E44947" w:rsidP="00E44947">
      <w:pPr>
        <w:spacing w:line="240" w:lineRule="auto"/>
        <w:rPr>
          <w:lang w:bidi="ru-RU"/>
        </w:rPr>
      </w:pPr>
      <w:r w:rsidRPr="00E44947">
        <w:rPr>
          <w:lang w:bidi="ru-RU"/>
        </w:rPr>
        <w:t>Пункт 5 b) предварительной повестки дня</w:t>
      </w:r>
    </w:p>
    <w:p w:rsidR="00E44947" w:rsidRPr="00E44947" w:rsidRDefault="00E44947" w:rsidP="00E44947">
      <w:pPr>
        <w:spacing w:line="240" w:lineRule="auto"/>
        <w:rPr>
          <w:b/>
          <w:lang w:bidi="ru-RU"/>
        </w:rPr>
      </w:pPr>
      <w:r w:rsidRPr="00E44947">
        <w:rPr>
          <w:b/>
          <w:lang w:bidi="ru-RU"/>
        </w:rPr>
        <w:t xml:space="preserve">Предложения о внесении поправок </w:t>
      </w:r>
      <w:r w:rsidR="00EA148D">
        <w:rPr>
          <w:b/>
          <w:lang w:bidi="ru-RU"/>
        </w:rPr>
        <w:br/>
      </w:r>
      <w:r w:rsidRPr="00E44947">
        <w:rPr>
          <w:b/>
          <w:lang w:bidi="ru-RU"/>
        </w:rPr>
        <w:t xml:space="preserve">в МПОГ/ДОПОГ/ВОПОГ: </w:t>
      </w:r>
    </w:p>
    <w:p w:rsidR="00E44947" w:rsidRPr="00E44947" w:rsidRDefault="007D1108" w:rsidP="00E44947">
      <w:pPr>
        <w:spacing w:line="240" w:lineRule="auto"/>
        <w:rPr>
          <w:lang w:bidi="ru-RU"/>
        </w:rPr>
      </w:pPr>
      <w:r w:rsidRPr="00E44947">
        <w:rPr>
          <w:b/>
          <w:lang w:bidi="ru-RU"/>
        </w:rPr>
        <w:t xml:space="preserve">новые </w:t>
      </w:r>
      <w:r w:rsidR="00E44947" w:rsidRPr="00E44947">
        <w:rPr>
          <w:b/>
          <w:lang w:bidi="ru-RU"/>
        </w:rPr>
        <w:t>предложения</w:t>
      </w:r>
    </w:p>
    <w:p w:rsidR="00E44947" w:rsidRPr="00E44947" w:rsidRDefault="00E44947" w:rsidP="00E44947">
      <w:pPr>
        <w:pStyle w:val="HChGR"/>
        <w:rPr>
          <w:lang w:bidi="ru-RU"/>
        </w:rPr>
      </w:pPr>
      <w:r w:rsidRPr="00E44947">
        <w:rPr>
          <w:lang w:bidi="ru-RU"/>
        </w:rPr>
        <w:tab/>
      </w:r>
      <w:r w:rsidRPr="00E44947">
        <w:rPr>
          <w:lang w:bidi="ru-RU"/>
        </w:rPr>
        <w:tab/>
        <w:t>Обязанно</w:t>
      </w:r>
      <w:r>
        <w:rPr>
          <w:lang w:bidi="ru-RU"/>
        </w:rPr>
        <w:t>сти перевозчика: осмотр груза в</w:t>
      </w:r>
      <w:r>
        <w:rPr>
          <w:lang w:val="en-US" w:bidi="ru-RU"/>
        </w:rPr>
        <w:t> </w:t>
      </w:r>
      <w:r w:rsidRPr="00E44947">
        <w:rPr>
          <w:lang w:bidi="ru-RU"/>
        </w:rPr>
        <w:t>опломбированных грузовых транспортных единицах</w:t>
      </w:r>
    </w:p>
    <w:p w:rsidR="00A658DB" w:rsidRPr="00E44947" w:rsidRDefault="00E44947" w:rsidP="00E44947">
      <w:pPr>
        <w:pStyle w:val="H1GR"/>
        <w:rPr>
          <w:b w:val="0"/>
          <w:vertAlign w:val="superscript"/>
          <w:lang w:bidi="ru-RU"/>
        </w:rPr>
      </w:pPr>
      <w:r w:rsidRPr="00E44947">
        <w:rPr>
          <w:lang w:bidi="ru-RU"/>
        </w:rPr>
        <w:tab/>
      </w:r>
      <w:r w:rsidRPr="00E44947">
        <w:rPr>
          <w:lang w:bidi="ru-RU"/>
        </w:rPr>
        <w:tab/>
        <w:t>Предложение, представленное Австрией</w:t>
      </w:r>
      <w:r w:rsidRPr="00E44947">
        <w:rPr>
          <w:rStyle w:val="FootnoteReference"/>
          <w:b w:val="0"/>
          <w:lang w:bidi="ru-RU"/>
        </w:rPr>
        <w:footnoteReference w:id="1"/>
      </w:r>
      <w:r w:rsidRPr="00E44947">
        <w:rPr>
          <w:b w:val="0"/>
          <w:vertAlign w:val="superscript"/>
          <w:lang w:bidi="ru-RU"/>
        </w:rPr>
        <w:t>, </w:t>
      </w:r>
      <w:r w:rsidRPr="00E44947">
        <w:rPr>
          <w:rStyle w:val="FootnoteReference"/>
          <w:b w:val="0"/>
          <w:lang w:bidi="ru-RU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E44947" w:rsidTr="00625F33">
        <w:tc>
          <w:tcPr>
            <w:tcW w:w="9854" w:type="dxa"/>
            <w:shd w:val="clear" w:color="auto" w:fill="auto"/>
          </w:tcPr>
          <w:p w:rsidR="00E44947" w:rsidRPr="00AB59C3" w:rsidRDefault="00E44947" w:rsidP="00625F33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AB59C3">
              <w:rPr>
                <w:i/>
                <w:sz w:val="24"/>
              </w:rPr>
              <w:t>Резюме</w:t>
            </w:r>
          </w:p>
        </w:tc>
      </w:tr>
      <w:tr w:rsidR="00E44947" w:rsidTr="00625F33">
        <w:tc>
          <w:tcPr>
            <w:tcW w:w="9854" w:type="dxa"/>
            <w:shd w:val="clear" w:color="auto" w:fill="auto"/>
          </w:tcPr>
          <w:p w:rsidR="00E44947" w:rsidRDefault="00EA148D" w:rsidP="00EA148D">
            <w:pPr>
              <w:pStyle w:val="SingleTxtGR"/>
              <w:tabs>
                <w:tab w:val="left" w:pos="3661"/>
              </w:tabs>
              <w:ind w:left="3661" w:hanging="2527"/>
            </w:pPr>
            <w:r>
              <w:rPr>
                <w:b/>
              </w:rPr>
              <w:t>Существо предложения:</w:t>
            </w:r>
            <w:r>
              <w:tab/>
              <w:t>Уточнить, в отношении каких опломбированных грузовых транспортных единиц перевозчик не об</w:t>
            </w:r>
            <w:r>
              <w:t>я</w:t>
            </w:r>
            <w:r>
              <w:t>зан проводить осмотр груза.</w:t>
            </w:r>
          </w:p>
        </w:tc>
      </w:tr>
      <w:tr w:rsidR="00EA148D" w:rsidTr="00625F33">
        <w:tc>
          <w:tcPr>
            <w:tcW w:w="9854" w:type="dxa"/>
            <w:shd w:val="clear" w:color="auto" w:fill="auto"/>
          </w:tcPr>
          <w:p w:rsidR="00EA148D" w:rsidRDefault="00EA148D" w:rsidP="00EA148D">
            <w:pPr>
              <w:pStyle w:val="SingleTxtGR"/>
              <w:tabs>
                <w:tab w:val="left" w:pos="3661"/>
              </w:tabs>
              <w:ind w:left="3661" w:hanging="2527"/>
              <w:rPr>
                <w:b/>
              </w:rPr>
            </w:pPr>
            <w:r>
              <w:rPr>
                <w:b/>
              </w:rPr>
              <w:t>Предлагаемое решение:</w:t>
            </w:r>
            <w:r>
              <w:tab/>
              <w:t>Включить дополнительный текст в подра</w:t>
            </w:r>
            <w:r>
              <w:t>з</w:t>
            </w:r>
            <w:r>
              <w:t>дел 1.4.2.2.</w:t>
            </w:r>
          </w:p>
        </w:tc>
      </w:tr>
      <w:tr w:rsidR="00EA148D" w:rsidTr="00625F33">
        <w:tc>
          <w:tcPr>
            <w:tcW w:w="9854" w:type="dxa"/>
            <w:shd w:val="clear" w:color="auto" w:fill="auto"/>
          </w:tcPr>
          <w:p w:rsidR="00EA148D" w:rsidRDefault="00EA148D" w:rsidP="00EA148D">
            <w:pPr>
              <w:pStyle w:val="SingleTxtGR"/>
              <w:tabs>
                <w:tab w:val="left" w:pos="3661"/>
              </w:tabs>
              <w:ind w:left="3661" w:hanging="2527"/>
            </w:pPr>
            <w:r>
              <w:rPr>
                <w:b/>
              </w:rPr>
              <w:t>Справочные документы:</w:t>
            </w:r>
            <w:r>
              <w:tab/>
              <w:t>Неофициальный документ INF.42 Совместного с</w:t>
            </w:r>
            <w:r>
              <w:t>о</w:t>
            </w:r>
            <w:r>
              <w:t>вещания, состоявшегося в марте 2016 года;</w:t>
            </w:r>
          </w:p>
          <w:p w:rsidR="00EA148D" w:rsidRDefault="00EA148D" w:rsidP="00EA148D">
            <w:pPr>
              <w:pStyle w:val="SingleTxtGR"/>
              <w:tabs>
                <w:tab w:val="left" w:pos="3661"/>
              </w:tabs>
              <w:ind w:left="3661" w:hanging="2527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пункт 12 доклада ECE/TRANS/WP.15/AC.1/142.</w:t>
            </w:r>
          </w:p>
        </w:tc>
      </w:tr>
      <w:tr w:rsidR="00E44947" w:rsidTr="00625F33">
        <w:tc>
          <w:tcPr>
            <w:tcW w:w="9854" w:type="dxa"/>
            <w:shd w:val="clear" w:color="auto" w:fill="auto"/>
          </w:tcPr>
          <w:p w:rsidR="00E44947" w:rsidRDefault="00E44947" w:rsidP="00625F33"/>
        </w:tc>
      </w:tr>
    </w:tbl>
    <w:p w:rsidR="00E44947" w:rsidRPr="00EA148D" w:rsidRDefault="00E44947" w:rsidP="00E44947">
      <w:pPr>
        <w:rPr>
          <w:lang w:bidi="ru-RU"/>
        </w:rPr>
      </w:pPr>
    </w:p>
    <w:p w:rsidR="00E44947" w:rsidRPr="00EA148D" w:rsidRDefault="00E44947">
      <w:pPr>
        <w:spacing w:line="240" w:lineRule="auto"/>
      </w:pPr>
      <w:r w:rsidRPr="00EA148D">
        <w:br w:type="page"/>
      </w:r>
    </w:p>
    <w:p w:rsidR="00E44947" w:rsidRPr="00E44947" w:rsidRDefault="00E44947" w:rsidP="00015EE1">
      <w:pPr>
        <w:pStyle w:val="HChGR"/>
        <w:rPr>
          <w:bCs/>
          <w:lang w:bidi="ru-RU"/>
        </w:rPr>
      </w:pPr>
      <w:r w:rsidRPr="00E44947">
        <w:rPr>
          <w:lang w:bidi="ru-RU"/>
        </w:rPr>
        <w:lastRenderedPageBreak/>
        <w:tab/>
      </w:r>
      <w:r w:rsidRPr="00E44947">
        <w:rPr>
          <w:lang w:bidi="ru-RU"/>
        </w:rPr>
        <w:tab/>
        <w:t>Введение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1.</w:t>
      </w:r>
      <w:r w:rsidRPr="00E44947">
        <w:rPr>
          <w:lang w:bidi="ru-RU"/>
        </w:rPr>
        <w:tab/>
        <w:t>Согласно подпункту с) пункта 1.4.2.2.1, перевозчик (в МПОГ – только первый перевозчик в цепочке) обязан провести осмотр груза. На Совместном совещании МПОГ/ДОПОГ/ВОПОГ в марте 2016 года Австрия подняла вопрос о том, как это требование понимается в разных странах применительно к опло</w:t>
      </w:r>
      <w:r w:rsidRPr="00E44947">
        <w:rPr>
          <w:lang w:bidi="ru-RU"/>
        </w:rPr>
        <w:t>м</w:t>
      </w:r>
      <w:r w:rsidRPr="00E44947">
        <w:rPr>
          <w:lang w:bidi="ru-RU"/>
        </w:rPr>
        <w:t>бированным грузовым транспортным единицам.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2.</w:t>
      </w:r>
      <w:r w:rsidRPr="00E44947">
        <w:rPr>
          <w:lang w:bidi="ru-RU"/>
        </w:rPr>
        <w:tab/>
        <w:t>Австрия полагает, что официальные печати и пломбы не могут быть нарушены, в то время как к частным печатям и пломбам следует относиться по-иному. Безусловно, существуют такие интересы погрузчиков, которые заслуж</w:t>
      </w:r>
      <w:r w:rsidRPr="00E44947">
        <w:rPr>
          <w:lang w:bidi="ru-RU"/>
        </w:rPr>
        <w:t>и</w:t>
      </w:r>
      <w:r w:rsidRPr="00E44947">
        <w:rPr>
          <w:lang w:bidi="ru-RU"/>
        </w:rPr>
        <w:t>вают защиты с точки зрения недопущения несанкционированного доступа или регистрации такого доступа для властей или торговых партнеров (таможенные вопросы, платежи, вопросы общественной без</w:t>
      </w:r>
      <w:r w:rsidR="00015EE1">
        <w:rPr>
          <w:lang w:bidi="ru-RU"/>
        </w:rPr>
        <w:t>опасности и т.д.). Вместе с тем</w:t>
      </w:r>
      <w:r w:rsidRPr="00E44947">
        <w:rPr>
          <w:lang w:bidi="ru-RU"/>
        </w:rPr>
        <w:t xml:space="preserve"> на усмотрение участника не может быть оставлено решение об отмене, с помощью частных мер, юридического обязательства другой стороны по его проверке, что может привести к злоупотреблениям.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3.</w:t>
      </w:r>
      <w:r w:rsidRPr="00E44947">
        <w:rPr>
          <w:lang w:bidi="ru-RU"/>
        </w:rPr>
        <w:tab/>
        <w:t>Для контейнеров, которые впоследствии перевозятся морем, данный в</w:t>
      </w:r>
      <w:r w:rsidRPr="00E44947">
        <w:rPr>
          <w:lang w:bidi="ru-RU"/>
        </w:rPr>
        <w:t>о</w:t>
      </w:r>
      <w:r w:rsidRPr="00E44947">
        <w:rPr>
          <w:lang w:bidi="ru-RU"/>
        </w:rPr>
        <w:t>прос будет возникать чаще. В соответствии с поправкой к правилам VI/2 СОЛАС, которые вступили в силу 1 июля 2016 года, грузоотправитель должен определить массу брутто конте</w:t>
      </w:r>
      <w:r w:rsidR="007D1108">
        <w:rPr>
          <w:lang w:bidi="ru-RU"/>
        </w:rPr>
        <w:t>йнера при определенных требованиях</w:t>
      </w:r>
      <w:r w:rsidRPr="00E44947">
        <w:rPr>
          <w:lang w:bidi="ru-RU"/>
        </w:rPr>
        <w:t xml:space="preserve"> к качеству и заранее сообщить о ней судоходной компании. Таким образом, важно будет также указать на то, что контейнер был опломбирован в ходе всей поездки и что соответствующая информация в порту по-прежнему является верной.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4.</w:t>
      </w:r>
      <w:r w:rsidRPr="00E44947">
        <w:rPr>
          <w:lang w:bidi="ru-RU"/>
        </w:rPr>
        <w:tab/>
      </w:r>
      <w:r w:rsidRPr="007D1108">
        <w:rPr>
          <w:u w:val="single"/>
          <w:lang w:bidi="ru-RU"/>
        </w:rPr>
        <w:t>Перевозчик</w:t>
      </w:r>
      <w:r w:rsidRPr="00E44947">
        <w:rPr>
          <w:lang w:bidi="ru-RU"/>
        </w:rPr>
        <w:t>, таким образом, сталкивается с различными законодательн</w:t>
      </w:r>
      <w:r w:rsidRPr="00E44947">
        <w:rPr>
          <w:lang w:bidi="ru-RU"/>
        </w:rPr>
        <w:t>ы</w:t>
      </w:r>
      <w:r w:rsidRPr="00E44947">
        <w:rPr>
          <w:lang w:bidi="ru-RU"/>
        </w:rPr>
        <w:t>ми и экономическими требованиями и требованиями частного права. Если ст</w:t>
      </w:r>
      <w:r w:rsidRPr="00E44947">
        <w:rPr>
          <w:lang w:bidi="ru-RU"/>
        </w:rPr>
        <w:t>е</w:t>
      </w:r>
      <w:r w:rsidRPr="00E44947">
        <w:rPr>
          <w:lang w:bidi="ru-RU"/>
        </w:rPr>
        <w:t>пень его юридических обязанностей не является ясной, то он будет, как прав</w:t>
      </w:r>
      <w:r w:rsidRPr="00E44947">
        <w:rPr>
          <w:lang w:bidi="ru-RU"/>
        </w:rPr>
        <w:t>и</w:t>
      </w:r>
      <w:r w:rsidRPr="00E44947">
        <w:rPr>
          <w:lang w:bidi="ru-RU"/>
        </w:rPr>
        <w:t>ло, проявлять осторожность при их соблюдении в отношении к другим учас</w:t>
      </w:r>
      <w:r w:rsidRPr="00E44947">
        <w:rPr>
          <w:lang w:bidi="ru-RU"/>
        </w:rPr>
        <w:t>т</w:t>
      </w:r>
      <w:r w:rsidRPr="00E44947">
        <w:rPr>
          <w:lang w:bidi="ru-RU"/>
        </w:rPr>
        <w:t>никам, от которых он может быть экономически зависимым.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5.</w:t>
      </w:r>
      <w:r w:rsidRPr="00E44947">
        <w:rPr>
          <w:lang w:bidi="ru-RU"/>
        </w:rPr>
        <w:tab/>
        <w:t>Во многих случаях внутренние нормативные положения предусматрив</w:t>
      </w:r>
      <w:r w:rsidRPr="00E44947">
        <w:rPr>
          <w:lang w:bidi="ru-RU"/>
        </w:rPr>
        <w:t>а</w:t>
      </w:r>
      <w:r w:rsidRPr="00E44947">
        <w:rPr>
          <w:lang w:bidi="ru-RU"/>
        </w:rPr>
        <w:t>ют аналогичные обязанности по контролю для водителей транспортных средств, в результате чего они в такой же степени страдают от неопределенн</w:t>
      </w:r>
      <w:r w:rsidRPr="00E44947">
        <w:rPr>
          <w:lang w:bidi="ru-RU"/>
        </w:rPr>
        <w:t>о</w:t>
      </w:r>
      <w:r w:rsidRPr="00E44947">
        <w:rPr>
          <w:lang w:bidi="ru-RU"/>
        </w:rPr>
        <w:t>сти.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6.</w:t>
      </w:r>
      <w:r w:rsidRPr="00E44947">
        <w:rPr>
          <w:lang w:bidi="ru-RU"/>
        </w:rPr>
        <w:tab/>
        <w:t xml:space="preserve">Во избежание недоразумений следует отметить, что проверки, о которых идет речь в настоящем документе, </w:t>
      </w:r>
      <w:r w:rsidRPr="00E44947">
        <w:rPr>
          <w:u w:val="single"/>
          <w:lang w:bidi="ru-RU"/>
        </w:rPr>
        <w:t>не</w:t>
      </w:r>
      <w:r w:rsidRPr="00E44947">
        <w:rPr>
          <w:lang w:bidi="ru-RU"/>
        </w:rPr>
        <w:t xml:space="preserve"> являются теми, которые проводятся нац</w:t>
      </w:r>
      <w:r w:rsidRPr="00E44947">
        <w:rPr>
          <w:lang w:bidi="ru-RU"/>
        </w:rPr>
        <w:t>и</w:t>
      </w:r>
      <w:r w:rsidRPr="00E44947">
        <w:rPr>
          <w:lang w:bidi="ru-RU"/>
        </w:rPr>
        <w:t>ональными контрольными органами. Эти органы располагают более четкими и более широкими полномочиями, и в своих действиях они могут не обращать внимание на печати и пломбы компаний.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7.</w:t>
      </w:r>
      <w:r w:rsidRPr="00E44947">
        <w:rPr>
          <w:lang w:bidi="ru-RU"/>
        </w:rPr>
        <w:tab/>
        <w:t>Прошедшее в марте обсуждение показало, что существует целый ряд то</w:t>
      </w:r>
      <w:r w:rsidRPr="00E44947">
        <w:rPr>
          <w:lang w:bidi="ru-RU"/>
        </w:rPr>
        <w:t>л</w:t>
      </w:r>
      <w:r w:rsidRPr="00E44947">
        <w:rPr>
          <w:lang w:bidi="ru-RU"/>
        </w:rPr>
        <w:t>кований. В некоторых случаях ожидается, что перевозчик открывает грузовую транспортную единицу только тогда, когда имеются подозрения, что груз не о</w:t>
      </w:r>
      <w:r w:rsidRPr="00E44947">
        <w:rPr>
          <w:lang w:bidi="ru-RU"/>
        </w:rPr>
        <w:t>т</w:t>
      </w:r>
      <w:r w:rsidRPr="00E44947">
        <w:rPr>
          <w:lang w:bidi="ru-RU"/>
        </w:rPr>
        <w:t>вечает соответствующим положениям. В отличие от этого, в других случаях требуется, чтобы он согласовал с погрузчиком, каким образом он может выпо</w:t>
      </w:r>
      <w:r w:rsidRPr="00E44947">
        <w:rPr>
          <w:lang w:bidi="ru-RU"/>
        </w:rPr>
        <w:t>л</w:t>
      </w:r>
      <w:r w:rsidRPr="00E44947">
        <w:rPr>
          <w:lang w:bidi="ru-RU"/>
        </w:rPr>
        <w:t>нить свои обязанности по проведению проверки,</w:t>
      </w:r>
      <w:r w:rsidR="009C7C0A">
        <w:rPr>
          <w:lang w:bidi="ru-RU"/>
        </w:rPr>
        <w:t xml:space="preserve"> например</w:t>
      </w:r>
      <w:r w:rsidRPr="00E44947">
        <w:rPr>
          <w:lang w:bidi="ru-RU"/>
        </w:rPr>
        <w:t xml:space="preserve"> путем обеспечения того, чтобы грузовая транспортная единица была загружена и опечатана только в присутствии водителя, который является его представителем.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8.</w:t>
      </w:r>
      <w:r w:rsidRPr="00E44947">
        <w:rPr>
          <w:lang w:bidi="ru-RU"/>
        </w:rPr>
        <w:tab/>
        <w:t>Кроме того, в ходе обсуждения выяснилось, что формулировки, испол</w:t>
      </w:r>
      <w:r w:rsidRPr="00E44947">
        <w:rPr>
          <w:lang w:bidi="ru-RU"/>
        </w:rPr>
        <w:t>ь</w:t>
      </w:r>
      <w:r w:rsidRPr="00E44947">
        <w:rPr>
          <w:lang w:bidi="ru-RU"/>
        </w:rPr>
        <w:t xml:space="preserve">зуемые во введении к ДОПОГ и в пункте 1.4.2.2.1 ВОПОГ, согласно которым перечисленные ниже </w:t>
      </w:r>
      <w:r w:rsidR="00015EE1">
        <w:rPr>
          <w:lang w:bidi="ru-RU"/>
        </w:rPr>
        <w:t>обязанности должны соблюдаться «</w:t>
      </w:r>
      <w:r w:rsidRPr="00E44947">
        <w:rPr>
          <w:lang w:bidi="ru-RU"/>
        </w:rPr>
        <w:t>в надлежащих случ</w:t>
      </w:r>
      <w:r w:rsidRPr="00E44947">
        <w:rPr>
          <w:lang w:bidi="ru-RU"/>
        </w:rPr>
        <w:t>а</w:t>
      </w:r>
      <w:r w:rsidR="00015EE1">
        <w:rPr>
          <w:lang w:bidi="ru-RU"/>
        </w:rPr>
        <w:t>ях»</w:t>
      </w:r>
      <w:r w:rsidRPr="00E44947">
        <w:rPr>
          <w:lang w:bidi="ru-RU"/>
        </w:rPr>
        <w:t>, иногда ошибочно понимаются таким образом, что перевозчик имеет опр</w:t>
      </w:r>
      <w:r w:rsidRPr="00E44947">
        <w:rPr>
          <w:lang w:bidi="ru-RU"/>
        </w:rPr>
        <w:t>е</w:t>
      </w:r>
      <w:r w:rsidRPr="00E44947">
        <w:rPr>
          <w:lang w:bidi="ru-RU"/>
        </w:rPr>
        <w:lastRenderedPageBreak/>
        <w:t>деленное право распоряжения в отношении этих обязанностей. По этой же пр</w:t>
      </w:r>
      <w:r w:rsidRPr="00E44947">
        <w:rPr>
          <w:lang w:bidi="ru-RU"/>
        </w:rPr>
        <w:t>и</w:t>
      </w:r>
      <w:r w:rsidRPr="00E44947">
        <w:rPr>
          <w:lang w:bidi="ru-RU"/>
        </w:rPr>
        <w:t>чине железнодорожные операторы уже неоднократно жаловались на то, что МПОГ не содержит такого ограничения. Вместе с тем делегаты, которые учас</w:t>
      </w:r>
      <w:r w:rsidRPr="00E44947">
        <w:rPr>
          <w:lang w:bidi="ru-RU"/>
        </w:rPr>
        <w:t>т</w:t>
      </w:r>
      <w:r w:rsidRPr="00E44947">
        <w:rPr>
          <w:lang w:bidi="ru-RU"/>
        </w:rPr>
        <w:t>вовали в подготовке настоящего текста, четко заявили о его единственном назначении: обязанность – хотя и неизбежно – должна быть выполнена при наличии соответствующих обстоятельств. Таким образом, крайний срок след</w:t>
      </w:r>
      <w:r w:rsidRPr="00E44947">
        <w:rPr>
          <w:lang w:bidi="ru-RU"/>
        </w:rPr>
        <w:t>у</w:t>
      </w:r>
      <w:r w:rsidRPr="00E44947">
        <w:rPr>
          <w:lang w:bidi="ru-RU"/>
        </w:rPr>
        <w:t>ющей проверки цистерн проверяется только при перевозке в цистернах, однако впоследствии такая проверка становится обязательной.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9.</w:t>
      </w:r>
      <w:r w:rsidRPr="00E44947">
        <w:rPr>
          <w:lang w:bidi="ru-RU"/>
        </w:rPr>
        <w:tab/>
        <w:t>В конечном итоге Австрии было предложено представить предложения для прояснения этих вопросов в официальном документе. В настоящее время данный документ представляется на основе следующих соображений:</w:t>
      </w:r>
    </w:p>
    <w:p w:rsidR="00E44947" w:rsidRPr="00E44947" w:rsidRDefault="00E44947" w:rsidP="00015EE1">
      <w:pPr>
        <w:pStyle w:val="Bullet1GR"/>
        <w:rPr>
          <w:lang w:bidi="ru-RU"/>
        </w:rPr>
      </w:pPr>
      <w:r w:rsidRPr="00E44947">
        <w:rPr>
          <w:lang w:bidi="ru-RU"/>
        </w:rPr>
        <w:t xml:space="preserve">слова </w:t>
      </w:r>
      <w:r w:rsidR="00015EE1">
        <w:rPr>
          <w:lang w:bidi="ru-RU"/>
        </w:rPr>
        <w:t>«в надлежащих случаях»</w:t>
      </w:r>
      <w:r w:rsidRPr="00E44947">
        <w:rPr>
          <w:lang w:bidi="ru-RU"/>
        </w:rPr>
        <w:t xml:space="preserve"> во введении и в конце пункта 1.4.2.2.1 следует исключить, поскольку они носят двусмысленный характер и я</w:t>
      </w:r>
      <w:r w:rsidRPr="00E44947">
        <w:rPr>
          <w:lang w:bidi="ru-RU"/>
        </w:rPr>
        <w:t>в</w:t>
      </w:r>
      <w:r w:rsidRPr="00E44947">
        <w:rPr>
          <w:lang w:bidi="ru-RU"/>
        </w:rPr>
        <w:t>ляются излишними. Таким образом, указанный текст в МПОГ, ДОПОГ и ВОПОГ должен быть аналогичным в этом отношении;</w:t>
      </w:r>
    </w:p>
    <w:p w:rsidR="00E44947" w:rsidRPr="00E44947" w:rsidRDefault="00E44947" w:rsidP="00015EE1">
      <w:pPr>
        <w:pStyle w:val="Bullet1GR"/>
        <w:rPr>
          <w:lang w:bidi="ru-RU"/>
        </w:rPr>
      </w:pPr>
      <w:r w:rsidRPr="00E44947">
        <w:rPr>
          <w:lang w:bidi="ru-RU"/>
        </w:rPr>
        <w:t>следует четко указать, что официальные печати и пломбы не должны быть нарушены;</w:t>
      </w:r>
    </w:p>
    <w:p w:rsidR="00E44947" w:rsidRPr="00E44947" w:rsidRDefault="00E44947" w:rsidP="00015EE1">
      <w:pPr>
        <w:pStyle w:val="Bullet1GR"/>
        <w:rPr>
          <w:lang w:bidi="ru-RU"/>
        </w:rPr>
      </w:pPr>
      <w:r w:rsidRPr="00E44947">
        <w:rPr>
          <w:lang w:bidi="ru-RU"/>
        </w:rPr>
        <w:t>печати и пломбы компании исключают обязанность проводить проверку только в определенных случаях;</w:t>
      </w:r>
    </w:p>
    <w:p w:rsidR="00E44947" w:rsidRPr="00E44947" w:rsidRDefault="00E44947" w:rsidP="00015EE1">
      <w:pPr>
        <w:pStyle w:val="Bullet1GR"/>
        <w:rPr>
          <w:lang w:bidi="ru-RU"/>
        </w:rPr>
      </w:pPr>
      <w:r w:rsidRPr="00E44947">
        <w:rPr>
          <w:lang w:bidi="ru-RU"/>
        </w:rPr>
        <w:t>в отношении грузовых транспортных единиц, впоследствии перевозимых морем, МКМПОГ предусматривает положения в отношении погрузки, к</w:t>
      </w:r>
      <w:r w:rsidRPr="00E44947">
        <w:rPr>
          <w:lang w:bidi="ru-RU"/>
        </w:rPr>
        <w:t>о</w:t>
      </w:r>
      <w:r w:rsidRPr="00E44947">
        <w:rPr>
          <w:lang w:bidi="ru-RU"/>
        </w:rPr>
        <w:t>торые сопоставимы с МПОГ/ДОПОГ/ВОПОГ и требуют от погрузчика гарантировать их соблюдение в свидетельстве о загрузке контейн</w:t>
      </w:r>
      <w:r w:rsidRPr="00E44947">
        <w:rPr>
          <w:lang w:bidi="ru-RU"/>
        </w:rPr>
        <w:t>е</w:t>
      </w:r>
      <w:r w:rsidRPr="00E44947">
        <w:rPr>
          <w:lang w:bidi="ru-RU"/>
        </w:rPr>
        <w:t>ра/транспортного средства;</w:t>
      </w:r>
    </w:p>
    <w:p w:rsidR="00E44947" w:rsidRPr="00E44947" w:rsidRDefault="00E44947" w:rsidP="00015EE1">
      <w:pPr>
        <w:pStyle w:val="Bullet1GR"/>
        <w:rPr>
          <w:lang w:bidi="ru-RU"/>
        </w:rPr>
      </w:pPr>
      <w:r w:rsidRPr="00E44947">
        <w:rPr>
          <w:lang w:bidi="ru-RU"/>
        </w:rPr>
        <w:t>свидетельство о загрузке контейнера/транспортного средства также тр</w:t>
      </w:r>
      <w:r w:rsidRPr="00E44947">
        <w:rPr>
          <w:lang w:bidi="ru-RU"/>
        </w:rPr>
        <w:t>е</w:t>
      </w:r>
      <w:r w:rsidRPr="00E44947">
        <w:rPr>
          <w:lang w:bidi="ru-RU"/>
        </w:rPr>
        <w:t>буется в соответствии с разделом 5.4.2 МПОГ/ДОПОГ/ВОПОГ для таких контейнерных перевозок, а с 2017 года оно будет разрешено непосре</w:t>
      </w:r>
      <w:r w:rsidRPr="00E44947">
        <w:rPr>
          <w:lang w:bidi="ru-RU"/>
        </w:rPr>
        <w:t>д</w:t>
      </w:r>
      <w:r w:rsidRPr="00E44947">
        <w:rPr>
          <w:lang w:bidi="ru-RU"/>
        </w:rPr>
        <w:t>ственно для вагонов и транспортных средств. Что касается контейнеров, то их перевозка представляет собой операцию по перевозке опасных гр</w:t>
      </w:r>
      <w:r w:rsidRPr="00E44947">
        <w:rPr>
          <w:lang w:bidi="ru-RU"/>
        </w:rPr>
        <w:t>у</w:t>
      </w:r>
      <w:r w:rsidRPr="00E44947">
        <w:rPr>
          <w:lang w:bidi="ru-RU"/>
        </w:rPr>
        <w:t>зов, подпадающую под действие новых положений ИМО в отношении в</w:t>
      </w:r>
      <w:r w:rsidRPr="00E44947">
        <w:rPr>
          <w:lang w:bidi="ru-RU"/>
        </w:rPr>
        <w:t>е</w:t>
      </w:r>
      <w:r w:rsidRPr="00E44947">
        <w:rPr>
          <w:lang w:bidi="ru-RU"/>
        </w:rPr>
        <w:t>са;</w:t>
      </w:r>
    </w:p>
    <w:p w:rsidR="00E44947" w:rsidRPr="00E44947" w:rsidRDefault="00E44947" w:rsidP="00015EE1">
      <w:pPr>
        <w:pStyle w:val="Bullet1GR"/>
        <w:rPr>
          <w:lang w:bidi="ru-RU"/>
        </w:rPr>
      </w:pPr>
      <w:r w:rsidRPr="00E44947">
        <w:rPr>
          <w:lang w:bidi="ru-RU"/>
        </w:rPr>
        <w:t>как и морские перевозчики, наземные перевозчики должны также иметь возможность полагаться на информацию, содержащуюся в свидетельстве о загрузке контейнера/транспортного средства.</w:t>
      </w:r>
    </w:p>
    <w:p w:rsidR="00E44947" w:rsidRPr="00E44947" w:rsidRDefault="00E44947" w:rsidP="00015EE1">
      <w:pPr>
        <w:pStyle w:val="HChGR"/>
        <w:rPr>
          <w:lang w:bidi="ru-RU"/>
        </w:rPr>
      </w:pPr>
      <w:r w:rsidRPr="00E44947">
        <w:rPr>
          <w:lang w:bidi="ru-RU"/>
        </w:rPr>
        <w:tab/>
      </w:r>
      <w:r w:rsidR="00153FE5">
        <w:rPr>
          <w:lang w:bidi="ru-RU"/>
        </w:rPr>
        <w:tab/>
      </w:r>
      <w:r w:rsidRPr="00E44947">
        <w:rPr>
          <w:lang w:bidi="ru-RU"/>
        </w:rPr>
        <w:t>Предложение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10.</w:t>
      </w:r>
      <w:r w:rsidRPr="00E44947">
        <w:rPr>
          <w:lang w:bidi="ru-RU"/>
        </w:rPr>
        <w:tab/>
        <w:t>Во введении и в последнем предложении пункта 1.4.2.2.1 исключить сл</w:t>
      </w:r>
      <w:r w:rsidRPr="00E44947">
        <w:rPr>
          <w:lang w:bidi="ru-RU"/>
        </w:rPr>
        <w:t>о</w:t>
      </w:r>
      <w:r w:rsidR="00015EE1">
        <w:rPr>
          <w:lang w:bidi="ru-RU"/>
        </w:rPr>
        <w:t>ва «в надлежащих случаях»</w:t>
      </w:r>
      <w:r w:rsidRPr="00E44947">
        <w:rPr>
          <w:lang w:bidi="ru-RU"/>
        </w:rPr>
        <w:t>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t>11.</w:t>
      </w:r>
      <w:r w:rsidRPr="00E44947">
        <w:rPr>
          <w:lang w:bidi="ru-RU"/>
        </w:rPr>
        <w:tab/>
        <w:t>Добавить в конце пункта 1.4.2.2.2 следующий текст:</w:t>
      </w:r>
    </w:p>
    <w:p w:rsidR="00E44947" w:rsidRPr="00E44947" w:rsidRDefault="00015EE1" w:rsidP="00015EE1">
      <w:pPr>
        <w:pStyle w:val="SingleTxtGR"/>
        <w:ind w:left="1701" w:hanging="567"/>
        <w:rPr>
          <w:lang w:bidi="ru-RU"/>
        </w:rPr>
      </w:pPr>
      <w:r>
        <w:rPr>
          <w:lang w:bidi="ru-RU"/>
        </w:rPr>
        <w:tab/>
        <w:t>«</w:t>
      </w:r>
      <w:r w:rsidR="007D1108">
        <w:rPr>
          <w:lang w:bidi="ru-RU"/>
        </w:rPr>
        <w:t>В</w:t>
      </w:r>
      <w:r w:rsidR="00E44947" w:rsidRPr="00E44947">
        <w:rPr>
          <w:lang w:bidi="ru-RU"/>
        </w:rPr>
        <w:t xml:space="preserve"> контексте проверки груза в соот</w:t>
      </w:r>
      <w:r>
        <w:rPr>
          <w:lang w:bidi="ru-RU"/>
        </w:rPr>
        <w:t>ветствии с подпунктом c) пун</w:t>
      </w:r>
      <w:r>
        <w:rPr>
          <w:lang w:bidi="ru-RU"/>
        </w:rPr>
        <w:t>к</w:t>
      </w:r>
      <w:r>
        <w:rPr>
          <w:lang w:bidi="ru-RU"/>
        </w:rPr>
        <w:t>та </w:t>
      </w:r>
      <w:r w:rsidR="00E44947" w:rsidRPr="00E44947">
        <w:rPr>
          <w:lang w:bidi="ru-RU"/>
        </w:rPr>
        <w:t>1.4.2.2.1 перевозчик может полагаться на информацию в прилагаемом свидетельстве о загрузке контейнера/транспортного средства и отказаться от внутреннего осмотра грузовой транспортной единицы, если она несет на себе печать или пломбу компании. Официальные печати и пломбы не должны быть нарушены даже без свидетельства о загрузке контейн</w:t>
      </w:r>
      <w:r w:rsidR="00E44947" w:rsidRPr="00E44947">
        <w:rPr>
          <w:lang w:bidi="ru-RU"/>
        </w:rPr>
        <w:t>е</w:t>
      </w:r>
      <w:r w:rsidR="00E44947" w:rsidRPr="00E44947">
        <w:rPr>
          <w:lang w:bidi="ru-RU"/>
        </w:rPr>
        <w:t>ра/транспортного средства</w:t>
      </w:r>
      <w:r>
        <w:rPr>
          <w:lang w:bidi="ru-RU"/>
        </w:rPr>
        <w:t>»</w:t>
      </w:r>
      <w:r w:rsidR="00E44947" w:rsidRPr="00E44947">
        <w:rPr>
          <w:lang w:bidi="ru-RU"/>
        </w:rPr>
        <w:t>.</w:t>
      </w:r>
    </w:p>
    <w:p w:rsidR="00E44947" w:rsidRPr="00E44947" w:rsidRDefault="00E44947" w:rsidP="00E44947">
      <w:pPr>
        <w:pStyle w:val="SingleTxtGR"/>
        <w:rPr>
          <w:lang w:bidi="ru-RU"/>
        </w:rPr>
      </w:pPr>
      <w:r w:rsidRPr="00E44947">
        <w:rPr>
          <w:lang w:bidi="ru-RU"/>
        </w:rPr>
        <w:lastRenderedPageBreak/>
        <w:t>12.</w:t>
      </w:r>
      <w:r w:rsidRPr="00E44947">
        <w:rPr>
          <w:lang w:bidi="ru-RU"/>
        </w:rPr>
        <w:tab/>
        <w:t>Таким образом, с учетом исключенно</w:t>
      </w:r>
      <w:r w:rsidR="00015EE1">
        <w:rPr>
          <w:lang w:bidi="ru-RU"/>
        </w:rPr>
        <w:t>го и добавленного текста пун</w:t>
      </w:r>
      <w:r w:rsidR="00015EE1">
        <w:rPr>
          <w:lang w:bidi="ru-RU"/>
        </w:rPr>
        <w:t>к</w:t>
      </w:r>
      <w:r w:rsidR="00015EE1">
        <w:rPr>
          <w:lang w:bidi="ru-RU"/>
        </w:rPr>
        <w:t>ты </w:t>
      </w:r>
      <w:r w:rsidR="007D1108" w:rsidRPr="00E44947">
        <w:rPr>
          <w:lang w:bidi="ru-RU"/>
        </w:rPr>
        <w:t>1.4.2.2.1</w:t>
      </w:r>
      <w:r w:rsidR="007D1108">
        <w:rPr>
          <w:lang w:bidi="ru-RU"/>
        </w:rPr>
        <w:t>–</w:t>
      </w:r>
      <w:r w:rsidRPr="00E44947">
        <w:rPr>
          <w:lang w:bidi="ru-RU"/>
        </w:rPr>
        <w:t>1.4.2.2.3</w:t>
      </w:r>
      <w:r w:rsidR="007D1108">
        <w:rPr>
          <w:lang w:bidi="ru-RU"/>
        </w:rPr>
        <w:t xml:space="preserve"> </w:t>
      </w:r>
      <w:r w:rsidRPr="00E44947">
        <w:rPr>
          <w:lang w:bidi="ru-RU"/>
        </w:rPr>
        <w:t>следует читать следующим образом:</w:t>
      </w:r>
    </w:p>
    <w:p w:rsidR="00E44947" w:rsidRPr="00E44947" w:rsidRDefault="006263AD" w:rsidP="006263AD">
      <w:pPr>
        <w:pStyle w:val="SingleTxtGR"/>
        <w:ind w:left="2268" w:hanging="1134"/>
        <w:rPr>
          <w:lang w:bidi="ru-RU"/>
        </w:rPr>
      </w:pPr>
      <w:r>
        <w:rPr>
          <w:lang w:bidi="ru-RU"/>
        </w:rPr>
        <w:t>«</w:t>
      </w:r>
      <w:r w:rsidR="00E44947" w:rsidRPr="00E44947">
        <w:rPr>
          <w:b/>
          <w:lang w:bidi="ru-RU"/>
        </w:rPr>
        <w:t>1.4.2.2.1</w:t>
      </w:r>
      <w:r w:rsidR="00E44947" w:rsidRPr="00E44947">
        <w:rPr>
          <w:b/>
          <w:lang w:bidi="ru-RU"/>
        </w:rPr>
        <w:tab/>
      </w:r>
      <w:r w:rsidR="00E44947" w:rsidRPr="00E44947">
        <w:rPr>
          <w:lang w:bidi="ru-RU"/>
        </w:rPr>
        <w:t>В контексте раздела 1.4.1 перевозчик, принимающий опасные гр</w:t>
      </w:r>
      <w:r w:rsidR="00E44947" w:rsidRPr="00E44947">
        <w:rPr>
          <w:lang w:bidi="ru-RU"/>
        </w:rPr>
        <w:t>у</w:t>
      </w:r>
      <w:r w:rsidR="00E44947" w:rsidRPr="00E44947">
        <w:rPr>
          <w:lang w:bidi="ru-RU"/>
        </w:rPr>
        <w:t>зы в пункте отправления, должен, в частности: (МПОГ)</w:t>
      </w:r>
    </w:p>
    <w:p w:rsidR="00E44947" w:rsidRPr="00E44947" w:rsidRDefault="00E44947" w:rsidP="006263AD">
      <w:pPr>
        <w:pStyle w:val="SingleTxtGR"/>
        <w:ind w:left="2268" w:hanging="1134"/>
        <w:rPr>
          <w:lang w:bidi="ru-RU"/>
        </w:rPr>
      </w:pPr>
      <w:r w:rsidRPr="00E44947">
        <w:rPr>
          <w:b/>
          <w:lang w:bidi="ru-RU"/>
        </w:rPr>
        <w:t>1.4.2.2.1</w:t>
      </w:r>
      <w:r w:rsidRPr="00E44947">
        <w:rPr>
          <w:b/>
          <w:lang w:bidi="ru-RU"/>
        </w:rPr>
        <w:tab/>
      </w:r>
      <w:r w:rsidRPr="00E44947">
        <w:rPr>
          <w:lang w:bidi="ru-RU"/>
        </w:rPr>
        <w:t>В контексте раздела 1.4.1 перевозчик</w:t>
      </w:r>
      <w:r w:rsidRPr="00123B2A">
        <w:rPr>
          <w:strike/>
          <w:lang w:bidi="ru-RU"/>
        </w:rPr>
        <w:t>, в соответствующих случаях,</w:t>
      </w:r>
      <w:r w:rsidRPr="00E44947">
        <w:rPr>
          <w:lang w:bidi="ru-RU"/>
        </w:rPr>
        <w:t xml:space="preserve"> должен, в частности: (ДОПОГ/ВОПОГ)</w:t>
      </w:r>
    </w:p>
    <w:p w:rsidR="00E44947" w:rsidRPr="00E44947" w:rsidRDefault="006263AD" w:rsidP="00E44947">
      <w:pPr>
        <w:pStyle w:val="SingleTxt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44947" w:rsidRPr="00E44947">
        <w:rPr>
          <w:lang w:bidi="ru-RU"/>
        </w:rPr>
        <w:t>(...)</w:t>
      </w:r>
    </w:p>
    <w:p w:rsidR="00E44947" w:rsidRPr="00E44947" w:rsidRDefault="00E44947" w:rsidP="006263AD">
      <w:pPr>
        <w:pStyle w:val="SingleTxtGR"/>
        <w:ind w:left="2268" w:hanging="1134"/>
        <w:rPr>
          <w:lang w:bidi="ru-RU"/>
        </w:rPr>
      </w:pPr>
      <w:r w:rsidRPr="00E44947">
        <w:rPr>
          <w:lang w:bidi="ru-RU"/>
        </w:rPr>
        <w:tab/>
      </w:r>
      <w:r w:rsidR="006263AD">
        <w:rPr>
          <w:lang w:bidi="ru-RU"/>
        </w:rPr>
        <w:tab/>
      </w:r>
      <w:r w:rsidR="006263AD">
        <w:rPr>
          <w:lang w:bidi="ru-RU"/>
        </w:rPr>
        <w:tab/>
      </w:r>
      <w:r w:rsidRPr="00E44947">
        <w:rPr>
          <w:lang w:bidi="ru-RU"/>
        </w:rPr>
        <w:t>с)</w:t>
      </w:r>
      <w:r w:rsidRPr="00E44947">
        <w:rPr>
          <w:lang w:bidi="ru-RU"/>
        </w:rPr>
        <w:tab/>
        <w:t>визуально удостовериться в том, что ваг</w:t>
      </w:r>
      <w:r w:rsidRPr="00E44947">
        <w:rPr>
          <w:lang w:bidi="ru-RU"/>
        </w:rPr>
        <w:t>о</w:t>
      </w:r>
      <w:r w:rsidRPr="00E44947">
        <w:rPr>
          <w:lang w:bidi="ru-RU"/>
        </w:rPr>
        <w:t>ны/транспортные средства и груз не имеют явных дефектов, не протекают и не имеют трещин, а также надлежащим образом об</w:t>
      </w:r>
      <w:r w:rsidRPr="00E44947">
        <w:rPr>
          <w:lang w:bidi="ru-RU"/>
        </w:rPr>
        <w:t>о</w:t>
      </w:r>
      <w:r w:rsidRPr="00E44947">
        <w:rPr>
          <w:lang w:bidi="ru-RU"/>
        </w:rPr>
        <w:t>рудованы и т.д.; (МПОГ/ДОПОГ)</w:t>
      </w:r>
    </w:p>
    <w:p w:rsidR="00E44947" w:rsidRPr="00E44947" w:rsidRDefault="00E44947" w:rsidP="006263AD">
      <w:pPr>
        <w:pStyle w:val="SingleTxtGR"/>
        <w:ind w:left="2268" w:hanging="1134"/>
        <w:rPr>
          <w:lang w:bidi="ru-RU"/>
        </w:rPr>
      </w:pPr>
      <w:r w:rsidRPr="00E44947">
        <w:rPr>
          <w:lang w:bidi="ru-RU"/>
        </w:rPr>
        <w:tab/>
      </w:r>
      <w:r w:rsidR="006263AD">
        <w:rPr>
          <w:lang w:bidi="ru-RU"/>
        </w:rPr>
        <w:tab/>
      </w:r>
      <w:r w:rsidR="006263AD">
        <w:rPr>
          <w:lang w:bidi="ru-RU"/>
        </w:rPr>
        <w:tab/>
      </w:r>
      <w:r w:rsidRPr="00E44947">
        <w:rPr>
          <w:lang w:bidi="ru-RU"/>
        </w:rPr>
        <w:t>с)</w:t>
      </w:r>
      <w:r w:rsidRPr="00E44947">
        <w:rPr>
          <w:lang w:bidi="ru-RU"/>
        </w:rPr>
        <w:tab/>
        <w:t>визуально удостовериться в том, что судно и груз не имеют явных дефектов, не протекают и не имеют трещин, надл</w:t>
      </w:r>
      <w:r w:rsidRPr="00E44947">
        <w:rPr>
          <w:lang w:bidi="ru-RU"/>
        </w:rPr>
        <w:t>е</w:t>
      </w:r>
      <w:r w:rsidRPr="00E44947">
        <w:rPr>
          <w:lang w:bidi="ru-RU"/>
        </w:rPr>
        <w:t>жащим образом обо</w:t>
      </w:r>
      <w:r w:rsidR="006263AD">
        <w:rPr>
          <w:lang w:bidi="ru-RU"/>
        </w:rPr>
        <w:t>рудованы и т.</w:t>
      </w:r>
      <w:r w:rsidRPr="00E44947">
        <w:rPr>
          <w:lang w:bidi="ru-RU"/>
        </w:rPr>
        <w:t>д.; (ВОПОГ)</w:t>
      </w:r>
    </w:p>
    <w:p w:rsidR="00E44947" w:rsidRPr="00E44947" w:rsidRDefault="006263AD" w:rsidP="00E44947">
      <w:pPr>
        <w:pStyle w:val="SingleTxt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44947" w:rsidRPr="00E44947">
        <w:rPr>
          <w:lang w:bidi="ru-RU"/>
        </w:rPr>
        <w:t>(...)</w:t>
      </w:r>
    </w:p>
    <w:p w:rsidR="00E44947" w:rsidRPr="00E44947" w:rsidRDefault="006263AD" w:rsidP="006263AD">
      <w:pPr>
        <w:pStyle w:val="SingleTxtGR"/>
        <w:ind w:left="2268" w:hanging="1134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44947" w:rsidRPr="00123B2A">
        <w:rPr>
          <w:strike/>
          <w:lang w:bidi="ru-RU"/>
        </w:rPr>
        <w:t>В соответствующих случаях</w:t>
      </w:r>
      <w:r w:rsidR="00E44947" w:rsidRPr="00E44947">
        <w:rPr>
          <w:lang w:bidi="ru-RU"/>
        </w:rPr>
        <w:t xml:space="preserve"> (ДОПОГ/ВОПОГ) Эти действия ос</w:t>
      </w:r>
      <w:r w:rsidR="00E44947" w:rsidRPr="00E44947">
        <w:rPr>
          <w:lang w:bidi="ru-RU"/>
        </w:rPr>
        <w:t>у</w:t>
      </w:r>
      <w:r w:rsidR="00E44947" w:rsidRPr="00E44947">
        <w:rPr>
          <w:lang w:bidi="ru-RU"/>
        </w:rPr>
        <w:t>ществляются на основе транспортных документов и сопровод</w:t>
      </w:r>
      <w:r w:rsidR="00E44947" w:rsidRPr="00E44947">
        <w:rPr>
          <w:lang w:bidi="ru-RU"/>
        </w:rPr>
        <w:t>и</w:t>
      </w:r>
      <w:r w:rsidR="00E44947" w:rsidRPr="00E44947">
        <w:rPr>
          <w:lang w:bidi="ru-RU"/>
        </w:rPr>
        <w:t>тельных документов путем осмотра вагона/транспортного сре</w:t>
      </w:r>
      <w:r w:rsidR="00E44947" w:rsidRPr="00E44947">
        <w:rPr>
          <w:lang w:bidi="ru-RU"/>
        </w:rPr>
        <w:t>д</w:t>
      </w:r>
      <w:r w:rsidR="00E44947" w:rsidRPr="00E44947">
        <w:rPr>
          <w:lang w:bidi="ru-RU"/>
        </w:rPr>
        <w:t>ства/судна или контейнеров и</w:t>
      </w:r>
      <w:r w:rsidR="00E44947" w:rsidRPr="00123B2A">
        <w:rPr>
          <w:strike/>
          <w:lang w:bidi="ru-RU"/>
        </w:rPr>
        <w:t>, при необходимости,</w:t>
      </w:r>
      <w:r w:rsidR="00E44947" w:rsidRPr="00E44947">
        <w:rPr>
          <w:lang w:bidi="ru-RU"/>
        </w:rPr>
        <w:t xml:space="preserve"> груза.</w:t>
      </w:r>
    </w:p>
    <w:p w:rsidR="00E44947" w:rsidRPr="00E44947" w:rsidRDefault="00E44947" w:rsidP="006263AD">
      <w:pPr>
        <w:pStyle w:val="SingleTxtGR"/>
        <w:ind w:left="2268" w:hanging="1134"/>
        <w:rPr>
          <w:u w:val="single"/>
          <w:lang w:bidi="ru-RU"/>
        </w:rPr>
      </w:pPr>
      <w:r w:rsidRPr="00E44947">
        <w:rPr>
          <w:b/>
          <w:lang w:bidi="ru-RU"/>
        </w:rPr>
        <w:t>1.4.2.2.2</w:t>
      </w:r>
      <w:r w:rsidRPr="00E44947">
        <w:rPr>
          <w:b/>
          <w:lang w:bidi="ru-RU"/>
        </w:rPr>
        <w:tab/>
      </w:r>
      <w:r w:rsidRPr="00E44947">
        <w:rPr>
          <w:lang w:bidi="ru-RU"/>
        </w:rPr>
        <w:t>Вместе с тем, что касается подпун</w:t>
      </w:r>
      <w:r w:rsidR="006263AD">
        <w:rPr>
          <w:lang w:bidi="ru-RU"/>
        </w:rPr>
        <w:t>ктов a), b), d), e) и f) пун</w:t>
      </w:r>
      <w:r w:rsidR="006263AD">
        <w:rPr>
          <w:lang w:bidi="ru-RU"/>
        </w:rPr>
        <w:t>к</w:t>
      </w:r>
      <w:r w:rsidR="006263AD">
        <w:rPr>
          <w:lang w:bidi="ru-RU"/>
        </w:rPr>
        <w:t>та </w:t>
      </w:r>
      <w:r w:rsidRPr="00E44947">
        <w:rPr>
          <w:lang w:bidi="ru-RU"/>
        </w:rPr>
        <w:t xml:space="preserve">1.4.2.2.1 (МПОГ)/a), b), e) и f) пункта 1.4.2.2.1 (ДОПОГ)/a) </w:t>
      </w:r>
      <w:r w:rsidR="006263AD">
        <w:rPr>
          <w:lang w:bidi="ru-RU"/>
        </w:rPr>
        <w:br/>
      </w:r>
      <w:r w:rsidRPr="00E44947">
        <w:rPr>
          <w:lang w:bidi="ru-RU"/>
        </w:rPr>
        <w:t>и b) пункта 1.4.2.2.1 (ВОПОГ), перевозчик может полагаться на информацию и данные, переданные в его распоряжение другими участниками перевозки.</w:t>
      </w:r>
      <w:r w:rsidRPr="007D1108">
        <w:rPr>
          <w:lang w:bidi="ru-RU"/>
        </w:rPr>
        <w:t xml:space="preserve"> </w:t>
      </w:r>
      <w:r w:rsidRPr="00E44947">
        <w:rPr>
          <w:u w:val="single"/>
          <w:lang w:bidi="ru-RU"/>
        </w:rPr>
        <w:t>В контексте проверки груза в соответствии с подпунктом c) пункта 1.4.2.2.1 перевозчик может полагаться на информацию в свидетельстве о загрузке контейнера/транспортного средства, прилагаемом в соответствии с разделом 5.4.2, и отказат</w:t>
      </w:r>
      <w:r w:rsidRPr="00E44947">
        <w:rPr>
          <w:u w:val="single"/>
          <w:lang w:bidi="ru-RU"/>
        </w:rPr>
        <w:t>ь</w:t>
      </w:r>
      <w:r w:rsidRPr="00E44947">
        <w:rPr>
          <w:u w:val="single"/>
          <w:lang w:bidi="ru-RU"/>
        </w:rPr>
        <w:t>ся от внутреннего осмотра грузовой транспортной единицы, если она несет на себе печать или пломбу компании. Официальные п</w:t>
      </w:r>
      <w:r w:rsidRPr="00E44947">
        <w:rPr>
          <w:u w:val="single"/>
          <w:lang w:bidi="ru-RU"/>
        </w:rPr>
        <w:t>е</w:t>
      </w:r>
      <w:r w:rsidRPr="00E44947">
        <w:rPr>
          <w:u w:val="single"/>
          <w:lang w:bidi="ru-RU"/>
        </w:rPr>
        <w:t>чати и пломбы не должны быть нарушены даже без свидетельства о загрузке контейнера/транспортного средства.</w:t>
      </w:r>
    </w:p>
    <w:p w:rsidR="00E44947" w:rsidRPr="00E44947" w:rsidRDefault="00E44947" w:rsidP="006263AD">
      <w:pPr>
        <w:pStyle w:val="SingleTxtGR"/>
        <w:ind w:left="2268" w:hanging="1134"/>
        <w:rPr>
          <w:lang w:bidi="ru-RU"/>
        </w:rPr>
      </w:pPr>
      <w:r w:rsidRPr="00E44947">
        <w:rPr>
          <w:b/>
          <w:lang w:bidi="ru-RU"/>
        </w:rPr>
        <w:t>1.4.2.2.3</w:t>
      </w:r>
      <w:r w:rsidRPr="00E44947">
        <w:rPr>
          <w:b/>
          <w:lang w:bidi="ru-RU"/>
        </w:rPr>
        <w:tab/>
      </w:r>
      <w:r w:rsidRPr="00E44947">
        <w:rPr>
          <w:lang w:bidi="ru-RU"/>
        </w:rPr>
        <w:t>Если, действуя согласно пункту 1.4.2.2.1, перевозчик обнаруживает какое-либо нарушение требований МПОГ/ДОПОГ/ВОПОГ, он не должен отправлять груз до тех пор, пока последний не будет пр</w:t>
      </w:r>
      <w:r w:rsidRPr="00E44947">
        <w:rPr>
          <w:lang w:bidi="ru-RU"/>
        </w:rPr>
        <w:t>и</w:t>
      </w:r>
      <w:r w:rsidRPr="00E44947">
        <w:rPr>
          <w:lang w:bidi="ru-RU"/>
        </w:rPr>
        <w:t>веден в соответ</w:t>
      </w:r>
      <w:r w:rsidR="006263AD">
        <w:rPr>
          <w:lang w:bidi="ru-RU"/>
        </w:rPr>
        <w:t>ствие с требованиями»</w:t>
      </w:r>
      <w:r w:rsidRPr="00E44947">
        <w:rPr>
          <w:lang w:bidi="ru-RU"/>
        </w:rPr>
        <w:t>.</w:t>
      </w:r>
    </w:p>
    <w:p w:rsidR="00E44947" w:rsidRPr="00E44947" w:rsidRDefault="00E44947" w:rsidP="006263AD">
      <w:pPr>
        <w:pStyle w:val="HChGR"/>
        <w:rPr>
          <w:lang w:bidi="ru-RU"/>
        </w:rPr>
      </w:pPr>
      <w:r w:rsidRPr="00E44947">
        <w:rPr>
          <w:lang w:bidi="ru-RU"/>
        </w:rPr>
        <w:tab/>
      </w:r>
      <w:r w:rsidRPr="00E44947">
        <w:rPr>
          <w:lang w:bidi="ru-RU"/>
        </w:rPr>
        <w:tab/>
        <w:t>Обоснование</w:t>
      </w:r>
    </w:p>
    <w:p w:rsidR="00E44947" w:rsidRPr="00E44947" w:rsidRDefault="00E44947" w:rsidP="006263AD">
      <w:pPr>
        <w:pStyle w:val="SingleTxtGR"/>
        <w:ind w:left="2835" w:hanging="1701"/>
        <w:rPr>
          <w:lang w:bidi="ru-RU"/>
        </w:rPr>
      </w:pPr>
      <w:r w:rsidRPr="00E44947">
        <w:rPr>
          <w:lang w:bidi="ru-RU"/>
        </w:rPr>
        <w:t>Безопасность:</w:t>
      </w:r>
      <w:r w:rsidRPr="00E44947">
        <w:rPr>
          <w:lang w:bidi="ru-RU"/>
        </w:rPr>
        <w:tab/>
        <w:t>Эта поправка означает, что гарантии безопасности, пред</w:t>
      </w:r>
      <w:r w:rsidRPr="00E44947">
        <w:rPr>
          <w:lang w:bidi="ru-RU"/>
        </w:rPr>
        <w:t>о</w:t>
      </w:r>
      <w:r w:rsidRPr="00E44947">
        <w:rPr>
          <w:lang w:bidi="ru-RU"/>
        </w:rPr>
        <w:t>ставляемые погрузчиком, принимаются по аналогии с МКМПОГ. Предполагается, что это не скажется на тран</w:t>
      </w:r>
      <w:r w:rsidRPr="00E44947">
        <w:rPr>
          <w:lang w:bidi="ru-RU"/>
        </w:rPr>
        <w:t>с</w:t>
      </w:r>
      <w:r w:rsidRPr="00E44947">
        <w:rPr>
          <w:lang w:bidi="ru-RU"/>
        </w:rPr>
        <w:t>портной безопасности.</w:t>
      </w:r>
    </w:p>
    <w:p w:rsidR="00E44947" w:rsidRPr="00E44947" w:rsidRDefault="00E44947" w:rsidP="006263AD">
      <w:pPr>
        <w:pStyle w:val="SingleTxtGR"/>
        <w:ind w:left="2835" w:hanging="1701"/>
      </w:pPr>
      <w:r w:rsidRPr="00E44947">
        <w:rPr>
          <w:lang w:bidi="ru-RU"/>
        </w:rPr>
        <w:t>Осуществимость:</w:t>
      </w:r>
      <w:r w:rsidRPr="00E44947">
        <w:rPr>
          <w:lang w:bidi="ru-RU"/>
        </w:rPr>
        <w:tab/>
        <w:t>Никаких проблем не предвидится. Эта поправка создает пр</w:t>
      </w:r>
      <w:r w:rsidRPr="00E44947">
        <w:rPr>
          <w:lang w:bidi="ru-RU"/>
        </w:rPr>
        <w:t>а</w:t>
      </w:r>
      <w:r w:rsidRPr="00E44947">
        <w:rPr>
          <w:lang w:bidi="ru-RU"/>
        </w:rPr>
        <w:t>вовую определенность без включения новых требований.</w:t>
      </w:r>
    </w:p>
    <w:p w:rsidR="00E44947" w:rsidRPr="006263AD" w:rsidRDefault="006263AD" w:rsidP="006263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4947" w:rsidRPr="006263A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CF" w:rsidRDefault="00C37DCF" w:rsidP="00B471C5">
      <w:r>
        <w:separator/>
      </w:r>
    </w:p>
  </w:endnote>
  <w:endnote w:type="continuationSeparator" w:id="0">
    <w:p w:rsidR="00C37DCF" w:rsidRDefault="00C37DC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A35AB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A148D">
      <w:rPr>
        <w:lang w:val="en-US"/>
      </w:rPr>
      <w:t>11721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A148D">
      <w:rPr>
        <w:lang w:val="en-US"/>
      </w:rPr>
      <w:t>11721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A35A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37DCF">
            <w:rPr>
              <w:lang w:val="en-US"/>
            </w:rPr>
            <w:t>11721</w:t>
          </w:r>
          <w:r w:rsidRPr="001C3ABC">
            <w:rPr>
              <w:lang w:val="en-US"/>
            </w:rPr>
            <w:t xml:space="preserve"> (R)</w:t>
          </w:r>
          <w:r w:rsidR="00C37DCF">
            <w:rPr>
              <w:lang w:val="en-US"/>
            </w:rPr>
            <w:t xml:space="preserve">  270716  270716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37DC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AC.1/2016/3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7DCF" w:rsidRDefault="00C37DC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7D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CF" w:rsidRPr="009141DC" w:rsidRDefault="00C37DC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37DCF" w:rsidRPr="00D1261C" w:rsidRDefault="00C37DC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44947" w:rsidRPr="00E44947" w:rsidRDefault="00E4494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44947">
        <w:rPr>
          <w:lang w:val="ru-RU"/>
        </w:rPr>
        <w:tab/>
        <w:t>В соответствии с проектом программы работы Комитета по внутреннему транспорту на</w:t>
      </w:r>
      <w:r>
        <w:t> </w:t>
      </w:r>
      <w:r>
        <w:rPr>
          <w:lang w:val="ru-RU"/>
        </w:rPr>
        <w:t>2016–</w:t>
      </w:r>
      <w:r w:rsidRPr="00E44947">
        <w:rPr>
          <w:lang w:val="ru-RU"/>
        </w:rPr>
        <w:t>2017 годы (</w:t>
      </w:r>
      <w:r>
        <w:t>ECE</w:t>
      </w:r>
      <w:r w:rsidRPr="00E44947">
        <w:rPr>
          <w:lang w:val="ru-RU"/>
        </w:rPr>
        <w:t>/</w:t>
      </w:r>
      <w:r>
        <w:t>TRANS</w:t>
      </w:r>
      <w:r w:rsidRPr="00E44947">
        <w:rPr>
          <w:lang w:val="ru-RU"/>
        </w:rPr>
        <w:t>/2016/28/</w:t>
      </w:r>
      <w:r>
        <w:t>Add</w:t>
      </w:r>
      <w:r w:rsidRPr="00E44947">
        <w:rPr>
          <w:lang w:val="ru-RU"/>
        </w:rPr>
        <w:t>.1 (9.2)).</w:t>
      </w:r>
    </w:p>
  </w:footnote>
  <w:footnote w:id="2">
    <w:p w:rsidR="00E44947" w:rsidRPr="00E44947" w:rsidRDefault="00E44947">
      <w:pPr>
        <w:pStyle w:val="FootnoteText"/>
        <w:rPr>
          <w:lang w:val="ru-RU"/>
        </w:rPr>
      </w:pPr>
      <w:r w:rsidRPr="00E44947">
        <w:rPr>
          <w:lang w:val="ru-RU"/>
        </w:rPr>
        <w:tab/>
      </w:r>
      <w:r>
        <w:rPr>
          <w:rStyle w:val="FootnoteReference"/>
        </w:rPr>
        <w:footnoteRef/>
      </w:r>
      <w:r w:rsidRPr="00E44947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символом </w:t>
      </w:r>
      <w:r>
        <w:t>OTIF</w:t>
      </w:r>
      <w:r w:rsidRPr="00E44947">
        <w:rPr>
          <w:lang w:val="ru-RU"/>
        </w:rPr>
        <w:t>/</w:t>
      </w:r>
      <w:r>
        <w:t>RID</w:t>
      </w:r>
      <w:r w:rsidRPr="00E44947">
        <w:rPr>
          <w:lang w:val="ru-RU"/>
        </w:rPr>
        <w:t>/</w:t>
      </w:r>
      <w:r>
        <w:t>RC</w:t>
      </w:r>
      <w:r w:rsidRPr="00E44947">
        <w:rPr>
          <w:lang w:val="ru-RU"/>
        </w:rPr>
        <w:t>/2016/34.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EA148D" w:rsidRDefault="007005EE">
    <w:pPr>
      <w:pStyle w:val="Header"/>
      <w:rPr>
        <w:lang w:val="en-US"/>
      </w:rPr>
    </w:pPr>
    <w:r>
      <w:rPr>
        <w:lang w:val="en-US"/>
      </w:rPr>
      <w:t>ECE/</w:t>
    </w:r>
    <w:r w:rsidR="00EA148D">
      <w:rPr>
        <w:lang w:val="en-US"/>
      </w:rPr>
      <w:t>TRANS/WP.15/AC.1/2016/34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A148D">
      <w:rPr>
        <w:lang w:val="en-US"/>
      </w:rPr>
      <w:t>TRANS/WP.15/AC.1/2016/34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CF"/>
    <w:rsid w:val="00015EE1"/>
    <w:rsid w:val="000450D1"/>
    <w:rsid w:val="000B1FD5"/>
    <w:rsid w:val="000F2A4F"/>
    <w:rsid w:val="00123B2A"/>
    <w:rsid w:val="00153FE5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0088"/>
    <w:rsid w:val="00566944"/>
    <w:rsid w:val="005D56BF"/>
    <w:rsid w:val="0062027E"/>
    <w:rsid w:val="006263AD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766CE"/>
    <w:rsid w:val="007A1F42"/>
    <w:rsid w:val="007D1108"/>
    <w:rsid w:val="007D76DD"/>
    <w:rsid w:val="008717E8"/>
    <w:rsid w:val="008D01AE"/>
    <w:rsid w:val="008E0423"/>
    <w:rsid w:val="009141DC"/>
    <w:rsid w:val="009174A1"/>
    <w:rsid w:val="0098674D"/>
    <w:rsid w:val="00997ACA"/>
    <w:rsid w:val="009C7C0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37DCF"/>
    <w:rsid w:val="00D1261C"/>
    <w:rsid w:val="00D26030"/>
    <w:rsid w:val="00D75DCE"/>
    <w:rsid w:val="00DD35AC"/>
    <w:rsid w:val="00DD479F"/>
    <w:rsid w:val="00E15E48"/>
    <w:rsid w:val="00E44947"/>
    <w:rsid w:val="00EA148D"/>
    <w:rsid w:val="00EB0723"/>
    <w:rsid w:val="00EB2957"/>
    <w:rsid w:val="00EE6F37"/>
    <w:rsid w:val="00F1599F"/>
    <w:rsid w:val="00F31EF2"/>
    <w:rsid w:val="00F95367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EA148D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BodyTextChar">
    <w:name w:val="Body Text Char"/>
    <w:basedOn w:val="DefaultParagraphFont"/>
    <w:link w:val="BodyText"/>
    <w:semiHidden/>
    <w:rsid w:val="00EA14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A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EA148D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BodyTextChar">
    <w:name w:val="Body Text Char"/>
    <w:basedOn w:val="DefaultParagraphFont"/>
    <w:link w:val="BodyText"/>
    <w:semiHidden/>
    <w:rsid w:val="00EA14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A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5AE8-0D45-4975-87BB-A885DCA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barrio-champeau</cp:lastModifiedBy>
  <cp:revision>2</cp:revision>
  <cp:lastPrinted>2016-07-27T11:19:00Z</cp:lastPrinted>
  <dcterms:created xsi:type="dcterms:W3CDTF">2016-07-29T08:02:00Z</dcterms:created>
  <dcterms:modified xsi:type="dcterms:W3CDTF">2016-07-29T08:02:00Z</dcterms:modified>
</cp:coreProperties>
</file>