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39" w:rsidRPr="00A8346A" w:rsidRDefault="00D54439" w:rsidP="00D54439">
      <w:pPr>
        <w:spacing w:line="240" w:lineRule="auto"/>
        <w:rPr>
          <w:sz w:val="2"/>
        </w:rPr>
        <w:sectPr w:rsidR="00D54439" w:rsidRPr="00A8346A" w:rsidSect="00D5443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rsidR="00D54439" w:rsidRPr="00A8346A" w:rsidRDefault="00D54439" w:rsidP="00D54439">
      <w:pPr>
        <w:pStyle w:val="H1"/>
        <w:spacing w:before="120"/>
        <w:rPr>
          <w:sz w:val="28"/>
        </w:rPr>
      </w:pPr>
      <w:r w:rsidRPr="00A8346A">
        <w:rPr>
          <w:sz w:val="28"/>
        </w:rPr>
        <w:lastRenderedPageBreak/>
        <w:t>Economic Commission for Europe</w:t>
      </w:r>
    </w:p>
    <w:p w:rsidR="00D54439" w:rsidRPr="00A8346A" w:rsidRDefault="00D54439" w:rsidP="00D54439">
      <w:pPr>
        <w:pStyle w:val="H1"/>
        <w:spacing w:line="120" w:lineRule="exact"/>
        <w:rPr>
          <w:sz w:val="10"/>
        </w:rPr>
      </w:pPr>
    </w:p>
    <w:p w:rsidR="00D54439" w:rsidRPr="00A8346A" w:rsidRDefault="00D54439" w:rsidP="00D54439">
      <w:pPr>
        <w:pStyle w:val="H1"/>
        <w:rPr>
          <w:b w:val="0"/>
          <w:sz w:val="28"/>
        </w:rPr>
      </w:pPr>
      <w:r w:rsidRPr="00A8346A">
        <w:rPr>
          <w:b w:val="0"/>
          <w:sz w:val="28"/>
        </w:rPr>
        <w:t>Inland Transport Committee</w:t>
      </w:r>
    </w:p>
    <w:p w:rsidR="00D54439" w:rsidRPr="00A8346A" w:rsidRDefault="00D54439" w:rsidP="00D54439">
      <w:pPr>
        <w:pStyle w:val="H1"/>
        <w:spacing w:line="120" w:lineRule="exact"/>
        <w:rPr>
          <w:b w:val="0"/>
          <w:sz w:val="10"/>
        </w:rPr>
      </w:pPr>
    </w:p>
    <w:p w:rsidR="00D54439" w:rsidRPr="00A8346A" w:rsidRDefault="00D54439" w:rsidP="00D54439">
      <w:pPr>
        <w:pStyle w:val="H23"/>
        <w:rPr>
          <w:sz w:val="24"/>
        </w:rPr>
      </w:pPr>
      <w:r w:rsidRPr="00A8346A">
        <w:rPr>
          <w:sz w:val="24"/>
        </w:rPr>
        <w:t xml:space="preserve">Working Party on the Transport of </w:t>
      </w:r>
      <w:r w:rsidR="004A5042">
        <w:rPr>
          <w:sz w:val="24"/>
        </w:rPr>
        <w:t>Dangerous Goods</w:t>
      </w:r>
    </w:p>
    <w:p w:rsidR="004A5042" w:rsidRPr="004A5042" w:rsidRDefault="004A5042" w:rsidP="004A5042">
      <w:pPr>
        <w:spacing w:line="120" w:lineRule="exact"/>
        <w:rPr>
          <w:sz w:val="10"/>
        </w:rPr>
      </w:pPr>
    </w:p>
    <w:p w:rsidR="004A5042" w:rsidRPr="004A5042" w:rsidRDefault="004A5042" w:rsidP="004A5042">
      <w:pPr>
        <w:rPr>
          <w:b/>
          <w:bCs/>
        </w:rPr>
      </w:pPr>
      <w:r w:rsidRPr="004A5042">
        <w:rPr>
          <w:b/>
          <w:bCs/>
        </w:rPr>
        <w:t xml:space="preserve">Joint Meeting of Experts on the Regulations </w:t>
      </w:r>
      <w:bookmarkStart w:id="0" w:name="_GoBack"/>
      <w:bookmarkEnd w:id="0"/>
      <w:r w:rsidRPr="004A5042">
        <w:rPr>
          <w:b/>
          <w:bCs/>
        </w:rPr>
        <w:t>annexed to</w:t>
      </w:r>
      <w:r w:rsidRPr="004A5042">
        <w:rPr>
          <w:b/>
          <w:bCs/>
        </w:rPr>
        <w:br/>
        <w:t>the European Agreement concerning the International</w:t>
      </w:r>
      <w:r w:rsidRPr="004A5042">
        <w:rPr>
          <w:b/>
          <w:bCs/>
        </w:rPr>
        <w:br/>
        <w:t>Carriage of Dangerous Goods by Inland Waterways (ADN</w:t>
      </w:r>
      <w:proofErr w:type="gramStart"/>
      <w:r w:rsidRPr="004A5042">
        <w:rPr>
          <w:b/>
          <w:bCs/>
        </w:rPr>
        <w:t>)</w:t>
      </w:r>
      <w:proofErr w:type="gramEnd"/>
      <w:r w:rsidRPr="004A5042">
        <w:rPr>
          <w:b/>
          <w:bCs/>
        </w:rPr>
        <w:br/>
        <w:t>(ADN Safety Committee)</w:t>
      </w:r>
    </w:p>
    <w:p w:rsidR="004A5042" w:rsidRPr="004A5042" w:rsidRDefault="004A5042" w:rsidP="004A5042">
      <w:pPr>
        <w:spacing w:line="120" w:lineRule="exact"/>
        <w:rPr>
          <w:sz w:val="10"/>
        </w:rPr>
      </w:pPr>
    </w:p>
    <w:p w:rsidR="004A5042" w:rsidRPr="004A5042" w:rsidRDefault="004A5042" w:rsidP="004A5042">
      <w:pPr>
        <w:rPr>
          <w:b/>
          <w:bCs/>
        </w:rPr>
      </w:pPr>
      <w:r w:rsidRPr="004A5042">
        <w:rPr>
          <w:b/>
          <w:bCs/>
        </w:rPr>
        <w:t xml:space="preserve">Twenty-eighth </w:t>
      </w:r>
      <w:proofErr w:type="gramStart"/>
      <w:r w:rsidRPr="004A5042">
        <w:rPr>
          <w:b/>
          <w:bCs/>
        </w:rPr>
        <w:t>session</w:t>
      </w:r>
      <w:proofErr w:type="gramEnd"/>
    </w:p>
    <w:p w:rsidR="004A5042" w:rsidRDefault="004A5042" w:rsidP="004A5042">
      <w:r>
        <w:t>Geneva, 25-29 January 2016</w:t>
      </w:r>
    </w:p>
    <w:p w:rsidR="004A5042" w:rsidRDefault="004A5042" w:rsidP="004A5042">
      <w:r>
        <w:t>Item 5 (b) of the provisional agenda</w:t>
      </w:r>
    </w:p>
    <w:p w:rsidR="004A5042" w:rsidRPr="004A5042" w:rsidRDefault="004A5042" w:rsidP="004A5042">
      <w:pPr>
        <w:rPr>
          <w:b/>
          <w:bCs/>
        </w:rPr>
      </w:pPr>
      <w:r w:rsidRPr="004A5042">
        <w:rPr>
          <w:b/>
          <w:bCs/>
        </w:rPr>
        <w:t>Proposed amendments to the Regulations annexed to ADN:</w:t>
      </w:r>
    </w:p>
    <w:p w:rsidR="00D54439" w:rsidRPr="004A5042" w:rsidRDefault="004A5042" w:rsidP="004A5042">
      <w:pPr>
        <w:rPr>
          <w:b/>
          <w:bCs/>
        </w:rPr>
      </w:pPr>
      <w:r w:rsidRPr="004A5042">
        <w:rPr>
          <w:b/>
          <w:bCs/>
        </w:rPr>
        <w:t>Other proposals</w:t>
      </w:r>
    </w:p>
    <w:p w:rsidR="008A6FC5" w:rsidRPr="008A6FC5" w:rsidRDefault="008A6FC5" w:rsidP="008A6FC5">
      <w:pPr>
        <w:spacing w:line="120" w:lineRule="exact"/>
        <w:rPr>
          <w:sz w:val="10"/>
        </w:rPr>
      </w:pPr>
    </w:p>
    <w:p w:rsidR="008A6FC5" w:rsidRPr="008A6FC5" w:rsidRDefault="008A6FC5" w:rsidP="008A6FC5">
      <w:pPr>
        <w:spacing w:line="120" w:lineRule="exact"/>
        <w:rPr>
          <w:sz w:val="10"/>
        </w:rPr>
      </w:pPr>
    </w:p>
    <w:p w:rsidR="006D02C0" w:rsidRDefault="006D02C0" w:rsidP="008A6FC5">
      <w:pPr>
        <w:pStyle w:val="HCh"/>
        <w:ind w:left="1267" w:right="1260" w:hanging="1267"/>
      </w:pPr>
      <w:r>
        <w:tab/>
      </w:r>
      <w:r>
        <w:tab/>
        <w:t>Assignment of subgroups in explosion group II B</w:t>
      </w:r>
    </w:p>
    <w:p w:rsidR="008A6FC5" w:rsidRPr="008A6FC5" w:rsidRDefault="008A6FC5" w:rsidP="008A6FC5">
      <w:pPr>
        <w:spacing w:line="120" w:lineRule="exact"/>
        <w:rPr>
          <w:sz w:val="10"/>
        </w:rPr>
      </w:pPr>
    </w:p>
    <w:p w:rsidR="008A6FC5" w:rsidRPr="008A6FC5" w:rsidRDefault="008A6FC5" w:rsidP="008A6FC5">
      <w:pPr>
        <w:spacing w:line="120" w:lineRule="exact"/>
        <w:rPr>
          <w:sz w:val="10"/>
        </w:rPr>
      </w:pPr>
    </w:p>
    <w:p w:rsidR="006D02C0" w:rsidRDefault="008A6FC5" w:rsidP="008A6FC5">
      <w:pPr>
        <w:pStyle w:val="H1"/>
        <w:ind w:right="1260"/>
      </w:pPr>
      <w:r>
        <w:tab/>
      </w:r>
      <w:r>
        <w:tab/>
      </w:r>
      <w:r w:rsidR="006D02C0">
        <w:t>Transmitted by the Central Commission for the</w:t>
      </w:r>
      <w:r>
        <w:t xml:space="preserve"> Navigation of the Rhine (CCNR)</w:t>
      </w:r>
      <w:r w:rsidRPr="008A6FC5">
        <w:rPr>
          <w:rStyle w:val="FootnoteReference"/>
          <w:b w:val="0"/>
          <w:bCs/>
        </w:rPr>
        <w:footnoteReference w:id="1"/>
      </w:r>
    </w:p>
    <w:p w:rsidR="008A6FC5" w:rsidRPr="008A6FC5" w:rsidRDefault="008A6FC5" w:rsidP="008A6FC5">
      <w:pPr>
        <w:spacing w:line="120" w:lineRule="exact"/>
        <w:rPr>
          <w:sz w:val="10"/>
        </w:rPr>
      </w:pPr>
    </w:p>
    <w:p w:rsidR="008A6FC5" w:rsidRPr="008A6FC5" w:rsidRDefault="008A6FC5" w:rsidP="008A6FC5">
      <w:pPr>
        <w:spacing w:line="120" w:lineRule="exact"/>
        <w:rPr>
          <w:sz w:val="10"/>
        </w:rPr>
      </w:pPr>
    </w:p>
    <w:p w:rsidR="006D02C0" w:rsidRDefault="006D02C0" w:rsidP="008A6FC5">
      <w:pPr>
        <w:pStyle w:val="HCh"/>
        <w:ind w:left="1267" w:right="1260" w:hanging="1267"/>
      </w:pPr>
      <w:r>
        <w:tab/>
      </w:r>
      <w:r>
        <w:tab/>
        <w:t>Introduction</w:t>
      </w:r>
    </w:p>
    <w:p w:rsidR="008A6FC5" w:rsidRPr="008A6FC5" w:rsidRDefault="008A6FC5" w:rsidP="008A6FC5">
      <w:pPr>
        <w:spacing w:line="120" w:lineRule="exact"/>
        <w:rPr>
          <w:sz w:val="10"/>
        </w:rPr>
      </w:pPr>
    </w:p>
    <w:p w:rsidR="008A6FC5" w:rsidRPr="008A6FC5" w:rsidRDefault="008A6FC5" w:rsidP="008A6FC5">
      <w:pPr>
        <w:spacing w:line="120" w:lineRule="exact"/>
        <w:rPr>
          <w:sz w:val="10"/>
        </w:rPr>
      </w:pPr>
    </w:p>
    <w:p w:rsidR="006D02C0" w:rsidRDefault="006D02C0" w:rsidP="008A6FC5">
      <w:pPr>
        <w:pStyle w:val="SingleTxt"/>
      </w:pPr>
      <w:r>
        <w:t>1.</w:t>
      </w:r>
      <w:r>
        <w:tab/>
        <w:t>At the request of the informal working group on explosion protection on tank vessels, the informal working group on substances was invited to address the question of subgroups in explosion group II B and the assignment of subgroups II B1, II B2 and II B3 to the various entries in Table C.</w:t>
      </w:r>
    </w:p>
    <w:p w:rsidR="006D02C0" w:rsidRDefault="006D02C0" w:rsidP="008A6FC5">
      <w:pPr>
        <w:pStyle w:val="SingleTxt"/>
      </w:pPr>
      <w:r>
        <w:rPr>
          <w:rFonts w:hint="eastAsia"/>
        </w:rPr>
        <w:t>2.</w:t>
      </w:r>
      <w:r>
        <w:rPr>
          <w:rFonts w:hint="eastAsia"/>
        </w:rPr>
        <w:tab/>
        <w:t xml:space="preserve">Given the range of explosion group II B (0.5 mm </w:t>
      </w:r>
      <w:r>
        <w:rPr>
          <w:rFonts w:hint="eastAsia"/>
        </w:rPr>
        <w:t>≤</w:t>
      </w:r>
      <w:r>
        <w:rPr>
          <w:rFonts w:hint="eastAsia"/>
        </w:rPr>
        <w:t xml:space="preserve"> maximum experimental safe gap </w:t>
      </w:r>
      <w:r>
        <w:rPr>
          <w:rFonts w:hint="eastAsia"/>
        </w:rPr>
        <w:t>≤</w:t>
      </w:r>
      <w:r>
        <w:rPr>
          <w:rFonts w:hint="eastAsia"/>
        </w:rPr>
        <w:t xml:space="preserve"> 0.9 mm)</w:t>
      </w:r>
      <w:proofErr w:type="gramStart"/>
      <w:r>
        <w:rPr>
          <w:rFonts w:hint="eastAsia"/>
        </w:rPr>
        <w:t>,</w:t>
      </w:r>
      <w:proofErr w:type="gramEnd"/>
      <w:r>
        <w:rPr>
          <w:rFonts w:hint="eastAsia"/>
        </w:rPr>
        <w:t xml:space="preserve"> subgroups II B3, II B2 and II B1 shall apply for self-contained systems (ISO 16852):</w:t>
      </w:r>
    </w:p>
    <w:p w:rsidR="006D02C0" w:rsidRPr="008A6FC5" w:rsidRDefault="006D02C0" w:rsidP="008A6FC5">
      <w:pPr>
        <w:pStyle w:val="SingleTxt"/>
        <w:ind w:left="1741" w:right="1264"/>
        <w:rPr>
          <w:b/>
          <w:bCs/>
        </w:rPr>
      </w:pPr>
      <w:r w:rsidRPr="008A6FC5">
        <w:rPr>
          <w:rFonts w:hint="eastAsia"/>
          <w:b/>
          <w:bCs/>
        </w:rPr>
        <w:t xml:space="preserve">II B: 0.5 mm </w:t>
      </w:r>
      <w:r w:rsidRPr="008A6FC5">
        <w:rPr>
          <w:rFonts w:hint="eastAsia"/>
          <w:b/>
          <w:bCs/>
        </w:rPr>
        <w:t>≤</w:t>
      </w:r>
      <w:r w:rsidRPr="008A6FC5">
        <w:rPr>
          <w:rFonts w:hint="eastAsia"/>
          <w:b/>
          <w:bCs/>
        </w:rPr>
        <w:t xml:space="preserve"> NSW </w:t>
      </w:r>
      <w:r w:rsidRPr="008A6FC5">
        <w:rPr>
          <w:rFonts w:hint="eastAsia"/>
          <w:b/>
          <w:bCs/>
        </w:rPr>
        <w:t>≤</w:t>
      </w:r>
      <w:r w:rsidRPr="008A6FC5">
        <w:rPr>
          <w:rFonts w:hint="eastAsia"/>
          <w:b/>
          <w:bCs/>
        </w:rPr>
        <w:t xml:space="preserve"> 0.9 mm</w:t>
      </w:r>
    </w:p>
    <w:p w:rsidR="006D02C0" w:rsidRDefault="008A6FC5" w:rsidP="008A6FC5">
      <w:pPr>
        <w:pStyle w:val="SingleTxt"/>
        <w:ind w:left="1741" w:right="1264"/>
      </w:pPr>
      <w:r>
        <w:tab/>
      </w:r>
      <w:r>
        <w:tab/>
      </w:r>
      <w:r w:rsidR="00C477EA">
        <w:rPr>
          <w:rFonts w:hint="eastAsia"/>
        </w:rPr>
        <w:t>II B</w:t>
      </w:r>
      <w:r w:rsidR="006D02C0">
        <w:rPr>
          <w:rFonts w:hint="eastAsia"/>
        </w:rPr>
        <w:t>3</w:t>
      </w:r>
      <w:r w:rsidR="00C477EA">
        <w:t>:</w:t>
      </w:r>
      <w:r w:rsidR="006D02C0">
        <w:rPr>
          <w:rFonts w:hint="eastAsia"/>
        </w:rPr>
        <w:t xml:space="preserve"> 0.65 mm </w:t>
      </w:r>
      <w:r w:rsidR="006D02C0">
        <w:rPr>
          <w:rFonts w:hint="eastAsia"/>
        </w:rPr>
        <w:t>≤</w:t>
      </w:r>
      <w:r w:rsidR="006D02C0">
        <w:rPr>
          <w:rFonts w:hint="eastAsia"/>
        </w:rPr>
        <w:t xml:space="preserve"> NSW </w:t>
      </w:r>
      <w:r w:rsidR="006D02C0">
        <w:rPr>
          <w:rFonts w:hint="eastAsia"/>
        </w:rPr>
        <w:t>≤</w:t>
      </w:r>
      <w:r w:rsidR="006D02C0">
        <w:rPr>
          <w:rFonts w:hint="eastAsia"/>
        </w:rPr>
        <w:t xml:space="preserve"> 0.9 mm</w:t>
      </w:r>
    </w:p>
    <w:p w:rsidR="006D02C0" w:rsidRDefault="008A6FC5" w:rsidP="008A6FC5">
      <w:pPr>
        <w:pStyle w:val="SingleTxt"/>
        <w:ind w:left="1741" w:right="1264"/>
      </w:pPr>
      <w:r>
        <w:tab/>
      </w:r>
      <w:r>
        <w:tab/>
      </w:r>
      <w:r w:rsidR="006D02C0">
        <w:rPr>
          <w:rFonts w:hint="eastAsia"/>
        </w:rPr>
        <w:t xml:space="preserve">II B2: 0.75 mm </w:t>
      </w:r>
      <w:r w:rsidR="006D02C0">
        <w:rPr>
          <w:rFonts w:hint="eastAsia"/>
        </w:rPr>
        <w:t>≤</w:t>
      </w:r>
      <w:r w:rsidR="006D02C0">
        <w:rPr>
          <w:rFonts w:hint="eastAsia"/>
        </w:rPr>
        <w:t xml:space="preserve"> NSW </w:t>
      </w:r>
      <w:r w:rsidR="006D02C0">
        <w:rPr>
          <w:rFonts w:hint="eastAsia"/>
        </w:rPr>
        <w:t>≤</w:t>
      </w:r>
      <w:r w:rsidR="006D02C0">
        <w:rPr>
          <w:rFonts w:hint="eastAsia"/>
        </w:rPr>
        <w:t xml:space="preserve"> 0.9 mm</w:t>
      </w:r>
    </w:p>
    <w:p w:rsidR="006D02C0" w:rsidRDefault="008A6FC5" w:rsidP="008A6FC5">
      <w:pPr>
        <w:pStyle w:val="SingleTxt"/>
        <w:ind w:left="1741" w:right="1264"/>
      </w:pPr>
      <w:r>
        <w:tab/>
      </w:r>
      <w:r>
        <w:tab/>
      </w:r>
      <w:r w:rsidR="006D02C0">
        <w:rPr>
          <w:rFonts w:hint="eastAsia"/>
        </w:rPr>
        <w:t xml:space="preserve">II B1: 0.85 mm </w:t>
      </w:r>
      <w:r w:rsidR="006D02C0">
        <w:rPr>
          <w:rFonts w:hint="eastAsia"/>
        </w:rPr>
        <w:t>≤</w:t>
      </w:r>
      <w:r w:rsidR="006D02C0">
        <w:rPr>
          <w:rFonts w:hint="eastAsia"/>
        </w:rPr>
        <w:t xml:space="preserve"> NSW </w:t>
      </w:r>
      <w:r w:rsidR="006D02C0">
        <w:rPr>
          <w:rFonts w:hint="eastAsia"/>
        </w:rPr>
        <w:t>≤</w:t>
      </w:r>
      <w:r w:rsidR="006D02C0">
        <w:rPr>
          <w:rFonts w:hint="eastAsia"/>
        </w:rPr>
        <w:t xml:space="preserve"> 0.9 mm</w:t>
      </w:r>
    </w:p>
    <w:p w:rsidR="006D02C0" w:rsidRDefault="006D02C0" w:rsidP="008A6FC5">
      <w:pPr>
        <w:pStyle w:val="SingleTxt"/>
      </w:pPr>
      <w:r>
        <w:t>Explosion group II B subgroups apply exclusively to self-contained protection systems (flame arresters, pressure/vacuum relief valves with integrated backfire-prevention device, and high velocity vent valves).</w:t>
      </w:r>
    </w:p>
    <w:p w:rsidR="006D02C0" w:rsidRDefault="006D02C0" w:rsidP="008A6FC5">
      <w:pPr>
        <w:pStyle w:val="SingleTxt"/>
      </w:pPr>
      <w:r>
        <w:lastRenderedPageBreak/>
        <w:t>3.</w:t>
      </w:r>
      <w:r>
        <w:tab/>
        <w:t xml:space="preserve">Data for this purpose have been made available by the </w:t>
      </w:r>
      <w:proofErr w:type="spellStart"/>
      <w:r w:rsidRPr="008A6FC5">
        <w:rPr>
          <w:i/>
          <w:iCs/>
        </w:rPr>
        <w:t>Physikalisch-Technischen</w:t>
      </w:r>
      <w:proofErr w:type="spellEnd"/>
      <w:r w:rsidRPr="008A6FC5">
        <w:rPr>
          <w:i/>
          <w:iCs/>
        </w:rPr>
        <w:t xml:space="preserve"> </w:t>
      </w:r>
      <w:proofErr w:type="spellStart"/>
      <w:r w:rsidRPr="008A6FC5">
        <w:rPr>
          <w:i/>
          <w:iCs/>
        </w:rPr>
        <w:t>Bundesanstalt</w:t>
      </w:r>
      <w:proofErr w:type="spellEnd"/>
      <w:r w:rsidRPr="008A6FC5">
        <w:rPr>
          <w:i/>
          <w:iCs/>
        </w:rPr>
        <w:t xml:space="preserve"> (PTB), </w:t>
      </w:r>
      <w:proofErr w:type="spellStart"/>
      <w:r w:rsidRPr="008A6FC5">
        <w:rPr>
          <w:i/>
          <w:iCs/>
        </w:rPr>
        <w:t>Braunschweig</w:t>
      </w:r>
      <w:proofErr w:type="spellEnd"/>
      <w:r w:rsidRPr="008A6FC5">
        <w:rPr>
          <w:i/>
          <w:iCs/>
        </w:rPr>
        <w:t>, Germany</w:t>
      </w:r>
      <w:r>
        <w:t>. The data includes:</w:t>
      </w:r>
    </w:p>
    <w:p w:rsidR="006D02C0" w:rsidRDefault="006D02C0" w:rsidP="008A6FC5">
      <w:pPr>
        <w:pStyle w:val="Bullet1"/>
      </w:pPr>
      <w:r>
        <w:t>Measured values for the subdivision of explosion group II B;</w:t>
      </w:r>
    </w:p>
    <w:p w:rsidR="006D02C0" w:rsidRDefault="006D02C0" w:rsidP="008A6FC5">
      <w:pPr>
        <w:pStyle w:val="Bullet1"/>
      </w:pPr>
      <w:r>
        <w:t>Estimates for the subdivision of explosion group II B;</w:t>
      </w:r>
    </w:p>
    <w:p w:rsidR="006D02C0" w:rsidRDefault="006D02C0" w:rsidP="008A6FC5">
      <w:pPr>
        <w:pStyle w:val="Bullet1"/>
      </w:pPr>
      <w:r>
        <w:t>Estimates for reclassification from explosion gro</w:t>
      </w:r>
      <w:r w:rsidR="008A6FC5">
        <w:t>up II B to explosion group II A.</w:t>
      </w:r>
    </w:p>
    <w:p w:rsidR="006D02C0" w:rsidRDefault="006D02C0" w:rsidP="008A6FC5">
      <w:pPr>
        <w:pStyle w:val="SingleTxt"/>
      </w:pPr>
      <w:r>
        <w:t>4.</w:t>
      </w:r>
      <w:r>
        <w:tab/>
        <w:t>Having due regard for the general conditions set forth below, explosion group II B subgroups could be used for the selection of self-contained protection systems (flame arresters, pressure/vacuum relief valves with integrated backfire-prevention device, and high velocity vent valves).</w:t>
      </w:r>
    </w:p>
    <w:p w:rsidR="006D02C0" w:rsidRDefault="00571122" w:rsidP="00571122">
      <w:pPr>
        <w:pStyle w:val="SingleTxt"/>
      </w:pPr>
      <w:r>
        <w:tab/>
      </w:r>
      <w:r w:rsidR="006D02C0">
        <w:t>(a)</w:t>
      </w:r>
      <w:r w:rsidR="006D02C0">
        <w:tab/>
        <w:t>Where self-contained protection systems for explosion group II B are in place, products in explosion group II A, including subgroups II B3, II B2 and II B1, may be transported.</w:t>
      </w:r>
    </w:p>
    <w:p w:rsidR="006D02C0" w:rsidRDefault="00571122" w:rsidP="00571122">
      <w:pPr>
        <w:pStyle w:val="SingleTxt"/>
      </w:pPr>
      <w:r>
        <w:tab/>
      </w:r>
      <w:r w:rsidR="006D02C0">
        <w:t>(b)</w:t>
      </w:r>
      <w:r w:rsidR="006D02C0">
        <w:tab/>
        <w:t>Where self-contained protection systems for explosion group II B3 are in place, products in explosion subgroups II B3, II B2 and II B1, or in explosion group II A, may be transported.</w:t>
      </w:r>
    </w:p>
    <w:p w:rsidR="006D02C0" w:rsidRDefault="00571122" w:rsidP="00571122">
      <w:pPr>
        <w:pStyle w:val="SingleTxt"/>
      </w:pPr>
      <w:r>
        <w:tab/>
      </w:r>
      <w:r w:rsidR="006D02C0">
        <w:t>(c)</w:t>
      </w:r>
      <w:r w:rsidR="006D02C0">
        <w:tab/>
        <w:t>Where self-contained protection systems for explosion group II B2 are in place, products in explosion subgroups II B2 and II B1, or in explosion group II A, may be transported.</w:t>
      </w:r>
    </w:p>
    <w:p w:rsidR="006D02C0" w:rsidRDefault="00571122" w:rsidP="00571122">
      <w:pPr>
        <w:pStyle w:val="SingleTxt"/>
      </w:pPr>
      <w:r>
        <w:tab/>
      </w:r>
      <w:r w:rsidR="006D02C0">
        <w:t>(d)</w:t>
      </w:r>
      <w:r w:rsidR="006D02C0">
        <w:tab/>
        <w:t>Where self-contained protection systems for explosion group II B1 are in place, products in explosion subgroup II B1 or in explosion group II A may be transported.</w:t>
      </w:r>
    </w:p>
    <w:p w:rsidR="006D02C0" w:rsidRDefault="006D02C0" w:rsidP="00571122">
      <w:pPr>
        <w:pStyle w:val="SingleTxt"/>
      </w:pPr>
      <w:r>
        <w:t>5.</w:t>
      </w:r>
      <w:r>
        <w:tab/>
        <w:t>Given that the explosion subgroup may be applied only to self-contained protection systems (flame arresters, pressure/vacuum relief valves with integrated backfire-prevention device, and high velocity vent valves), the indications concerning the explosion subgroup must be recorded in column (16) between brackets in addition to the indications concerning the explosion group.</w:t>
      </w:r>
    </w:p>
    <w:p w:rsidR="006D02C0" w:rsidRDefault="006D02C0" w:rsidP="00571122">
      <w:pPr>
        <w:pStyle w:val="SingleTxt"/>
      </w:pPr>
      <w:r>
        <w:t>6.</w:t>
      </w:r>
      <w:r>
        <w:tab/>
        <w:t>Following the consultations, the following changes to Table C, column (16), are proposed:</w:t>
      </w:r>
    </w:p>
    <w:p w:rsidR="006D02C0" w:rsidRDefault="006D02C0" w:rsidP="00571122">
      <w:pPr>
        <w:pStyle w:val="SingleTxt"/>
        <w:ind w:left="1741" w:right="1264"/>
      </w:pPr>
      <w:r>
        <w:t>(a)</w:t>
      </w:r>
      <w:r>
        <w:tab/>
      </w:r>
      <w:r w:rsidR="00571122">
        <w:t>“</w:t>
      </w:r>
      <w:r>
        <w:t>(II B3)</w:t>
      </w:r>
      <w:r w:rsidR="00571122">
        <w:t>”</w:t>
      </w:r>
      <w:r>
        <w:t xml:space="preserve"> to be added to the following entries:</w:t>
      </w:r>
    </w:p>
    <w:p w:rsidR="006D02C0" w:rsidRDefault="00571122" w:rsidP="00571122">
      <w:pPr>
        <w:pStyle w:val="SingleTxt"/>
        <w:ind w:left="2217" w:right="1264"/>
      </w:pPr>
      <w:r>
        <w:tab/>
      </w:r>
      <w:r w:rsidR="006D02C0">
        <w:t>1038</w:t>
      </w:r>
      <w:r w:rsidR="006D02C0">
        <w:tab/>
        <w:t>ETHYLENE, REFRIGERATED LIQUID</w:t>
      </w:r>
    </w:p>
    <w:p w:rsidR="006D02C0" w:rsidRDefault="00571122" w:rsidP="003105F5">
      <w:pPr>
        <w:pStyle w:val="SingleTxt"/>
        <w:ind w:left="2727" w:right="1264" w:hanging="510"/>
      </w:pPr>
      <w:r>
        <w:tab/>
      </w:r>
      <w:r w:rsidR="006D02C0">
        <w:t>1040</w:t>
      </w:r>
      <w:r w:rsidR="006D02C0">
        <w:tab/>
        <w:t xml:space="preserve">ETHYLENE OXIDE WITH NITROGEN up to a total pressure of 1 </w:t>
      </w:r>
      <w:proofErr w:type="spellStart"/>
      <w:r w:rsidR="006D02C0">
        <w:t>MPa</w:t>
      </w:r>
      <w:proofErr w:type="spellEnd"/>
      <w:r w:rsidR="006D02C0">
        <w:t xml:space="preserve"> (10 bar) at 50 °C</w:t>
      </w:r>
    </w:p>
    <w:p w:rsidR="006D02C0" w:rsidRDefault="00571122" w:rsidP="00571122">
      <w:pPr>
        <w:pStyle w:val="SingleTxt"/>
        <w:ind w:left="2217" w:right="1264"/>
      </w:pPr>
      <w:r>
        <w:tab/>
      </w:r>
      <w:r w:rsidR="006D02C0">
        <w:t>1092</w:t>
      </w:r>
      <w:r w:rsidR="006D02C0">
        <w:tab/>
        <w:t>ACROLEIN, STABILIZED</w:t>
      </w:r>
    </w:p>
    <w:p w:rsidR="006D02C0" w:rsidRDefault="00571122" w:rsidP="00571122">
      <w:pPr>
        <w:pStyle w:val="SingleTxt"/>
        <w:ind w:left="2217" w:right="1264"/>
      </w:pPr>
      <w:r>
        <w:tab/>
      </w:r>
      <w:r w:rsidR="006D02C0">
        <w:t>1098</w:t>
      </w:r>
      <w:r w:rsidR="006D02C0">
        <w:tab/>
        <w:t>ALLYL ALCOHOL</w:t>
      </w:r>
    </w:p>
    <w:p w:rsidR="006D02C0" w:rsidRDefault="00571122" w:rsidP="00571122">
      <w:pPr>
        <w:pStyle w:val="SingleTxt"/>
        <w:ind w:left="2217" w:right="1264"/>
      </w:pPr>
      <w:r>
        <w:tab/>
      </w:r>
      <w:r w:rsidR="006D02C0">
        <w:t>1165</w:t>
      </w:r>
      <w:r w:rsidR="006D02C0">
        <w:tab/>
        <w:t>DIOXANNE</w:t>
      </w:r>
    </w:p>
    <w:p w:rsidR="006D02C0" w:rsidRDefault="00571122" w:rsidP="00571122">
      <w:pPr>
        <w:pStyle w:val="SingleTxt"/>
        <w:ind w:left="2217" w:right="1264"/>
      </w:pPr>
      <w:r>
        <w:tab/>
      </w:r>
      <w:r w:rsidR="006D02C0">
        <w:t>2023</w:t>
      </w:r>
      <w:r w:rsidR="006D02C0">
        <w:tab/>
        <w:t>EPICHLOROHYDRIN</w:t>
      </w:r>
    </w:p>
    <w:p w:rsidR="006D02C0" w:rsidRDefault="006D02C0" w:rsidP="00571122">
      <w:pPr>
        <w:pStyle w:val="SingleTxt"/>
        <w:ind w:left="1741" w:right="1264"/>
      </w:pPr>
      <w:r>
        <w:t>(b)</w:t>
      </w:r>
      <w:r>
        <w:tab/>
      </w:r>
      <w:r w:rsidR="00571122">
        <w:t>“</w:t>
      </w:r>
      <w:r>
        <w:t>(II B2)</w:t>
      </w:r>
      <w:r w:rsidR="00571122">
        <w:t>”</w:t>
      </w:r>
      <w:r>
        <w:t xml:space="preserve"> to be added to the following entries:</w:t>
      </w:r>
    </w:p>
    <w:p w:rsidR="006D02C0" w:rsidRDefault="00571122" w:rsidP="00571122">
      <w:pPr>
        <w:pStyle w:val="SingleTxt"/>
        <w:ind w:left="2217" w:right="1264"/>
      </w:pPr>
      <w:r>
        <w:tab/>
      </w:r>
      <w:r w:rsidR="006D02C0">
        <w:t>1033</w:t>
      </w:r>
      <w:r w:rsidR="006D02C0">
        <w:tab/>
        <w:t>DIMETHYL ETHER</w:t>
      </w:r>
    </w:p>
    <w:p w:rsidR="006D02C0" w:rsidRDefault="00571122" w:rsidP="00571122">
      <w:pPr>
        <w:pStyle w:val="SingleTxt"/>
        <w:ind w:left="2217" w:right="1264"/>
      </w:pPr>
      <w:r>
        <w:tab/>
      </w:r>
      <w:r w:rsidR="006D02C0">
        <w:t>1093</w:t>
      </w:r>
      <w:r w:rsidR="006D02C0">
        <w:tab/>
        <w:t>ACRYLONITRILE, STABILIZED</w:t>
      </w:r>
    </w:p>
    <w:p w:rsidR="006D02C0" w:rsidRDefault="00571122" w:rsidP="00571122">
      <w:pPr>
        <w:pStyle w:val="SingleTxt"/>
        <w:ind w:left="2217" w:right="1264"/>
      </w:pPr>
      <w:r>
        <w:tab/>
      </w:r>
      <w:r w:rsidR="006D02C0">
        <w:t>1120</w:t>
      </w:r>
      <w:r w:rsidR="006D02C0">
        <w:tab/>
        <w:t>BUTANOLS (n- BUTYL ALCOHOL)</w:t>
      </w:r>
    </w:p>
    <w:p w:rsidR="006D02C0" w:rsidRDefault="00571122" w:rsidP="00571122">
      <w:pPr>
        <w:pStyle w:val="SingleTxt"/>
        <w:ind w:left="2217" w:right="1264"/>
      </w:pPr>
      <w:r>
        <w:tab/>
      </w:r>
      <w:r w:rsidR="006D02C0">
        <w:t>1143</w:t>
      </w:r>
      <w:r w:rsidR="006D02C0">
        <w:tab/>
        <w:t>CROTONALDEHYDE or CROTONALDEHYDE, STABILIZED</w:t>
      </w:r>
    </w:p>
    <w:p w:rsidR="006D02C0" w:rsidRDefault="00571122" w:rsidP="00571122">
      <w:pPr>
        <w:pStyle w:val="SingleTxt"/>
        <w:ind w:left="2217" w:right="1264"/>
      </w:pPr>
      <w:r>
        <w:tab/>
      </w:r>
      <w:r w:rsidR="006D02C0">
        <w:t>1153</w:t>
      </w:r>
      <w:r w:rsidR="006D02C0">
        <w:tab/>
        <w:t>ETHYLENE GLYCOL DIETHYL ETHER</w:t>
      </w:r>
    </w:p>
    <w:p w:rsidR="006D02C0" w:rsidRDefault="00571122" w:rsidP="00571122">
      <w:pPr>
        <w:pStyle w:val="SingleTxt"/>
        <w:ind w:left="2217" w:right="1264"/>
      </w:pPr>
      <w:r>
        <w:lastRenderedPageBreak/>
        <w:tab/>
      </w:r>
      <w:r w:rsidR="006D02C0">
        <w:t>1171</w:t>
      </w:r>
      <w:r w:rsidR="006D02C0">
        <w:tab/>
        <w:t>ETHYLENE GLYCOL MONOETHYL ETHER</w:t>
      </w:r>
    </w:p>
    <w:p w:rsidR="006D02C0" w:rsidRDefault="00571122" w:rsidP="00571122">
      <w:pPr>
        <w:pStyle w:val="SingleTxt"/>
        <w:ind w:left="2217" w:right="1264"/>
      </w:pPr>
      <w:r>
        <w:tab/>
      </w:r>
      <w:r w:rsidR="006D02C0">
        <w:t>1218</w:t>
      </w:r>
      <w:r w:rsidR="006D02C0">
        <w:tab/>
        <w:t>ISOPRENE, STABILIZED</w:t>
      </w:r>
    </w:p>
    <w:p w:rsidR="006D02C0" w:rsidRDefault="00571122" w:rsidP="00571122">
      <w:pPr>
        <w:pStyle w:val="SingleTxt"/>
        <w:ind w:left="2217" w:right="1264"/>
      </w:pPr>
      <w:r>
        <w:tab/>
      </w:r>
      <w:r w:rsidR="006D02C0">
        <w:t>2608</w:t>
      </w:r>
      <w:r w:rsidR="006D02C0">
        <w:tab/>
        <w:t>NITROPROPANES</w:t>
      </w:r>
    </w:p>
    <w:p w:rsidR="006D02C0" w:rsidRDefault="006D02C0" w:rsidP="00571122">
      <w:pPr>
        <w:pStyle w:val="SingleTxt"/>
        <w:ind w:left="1741" w:right="1264"/>
      </w:pPr>
      <w:r>
        <w:t>(c)</w:t>
      </w:r>
      <w:r>
        <w:tab/>
      </w:r>
      <w:r w:rsidR="00571122">
        <w:t>“</w:t>
      </w:r>
      <w:r>
        <w:t>(II B2</w:t>
      </w:r>
      <w:r w:rsidRPr="00C477EA">
        <w:rPr>
          <w:vertAlign w:val="superscript"/>
        </w:rPr>
        <w:t>4</w:t>
      </w:r>
      <w:r>
        <w:t>)</w:t>
      </w:r>
      <w:r w:rsidR="00571122">
        <w:t>”</w:t>
      </w:r>
      <w:r>
        <w:t xml:space="preserve"> to be added to the following entries:</w:t>
      </w:r>
    </w:p>
    <w:p w:rsidR="006D02C0" w:rsidRDefault="00571122" w:rsidP="000E79C9">
      <w:pPr>
        <w:pStyle w:val="SingleTxt"/>
        <w:ind w:left="2217" w:right="1264"/>
      </w:pPr>
      <w:r>
        <w:tab/>
      </w:r>
      <w:r w:rsidR="006D02C0">
        <w:t>1010</w:t>
      </w:r>
      <w:r w:rsidR="006D02C0">
        <w:tab/>
        <w:t>1</w:t>
      </w:r>
      <w:proofErr w:type="gramStart"/>
      <w:r w:rsidR="006D02C0">
        <w:t>,3</w:t>
      </w:r>
      <w:proofErr w:type="gramEnd"/>
      <w:r w:rsidR="006D02C0">
        <w:t>-BUTADIENE, STABILIZED</w:t>
      </w:r>
    </w:p>
    <w:p w:rsidR="006D02C0" w:rsidRDefault="006D02C0" w:rsidP="000E79C9">
      <w:pPr>
        <w:pStyle w:val="SingleTxt"/>
        <w:tabs>
          <w:tab w:val="clear" w:pos="2693"/>
          <w:tab w:val="clear" w:pos="3658"/>
          <w:tab w:val="left" w:pos="2694"/>
        </w:tabs>
        <w:ind w:left="2727" w:right="1264" w:hanging="510"/>
      </w:pPr>
      <w:r>
        <w:t>1010</w:t>
      </w:r>
      <w:r>
        <w:tab/>
        <w:t xml:space="preserve">BUTADIENES STABILIZED or BUTADIENES AND HYDROCARBON MIXTURE, STABILIZED, having a vapour pressure at 70 °C not exceeding 1.1 </w:t>
      </w:r>
      <w:proofErr w:type="spellStart"/>
      <w:r>
        <w:t>MPa</w:t>
      </w:r>
      <w:proofErr w:type="spellEnd"/>
      <w:r>
        <w:t xml:space="preserve"> (11 bar) and a density at 50 °C not lower than 0.525 kg/l (contains less than 0.1% 1.3-butadiene)</w:t>
      </w:r>
    </w:p>
    <w:p w:rsidR="006D02C0" w:rsidRDefault="00571122" w:rsidP="000E79C9">
      <w:pPr>
        <w:pStyle w:val="SingleTxt"/>
        <w:ind w:left="2727" w:right="1264" w:hanging="510"/>
      </w:pPr>
      <w:r>
        <w:tab/>
      </w:r>
      <w:r w:rsidR="006D02C0">
        <w:t>1010</w:t>
      </w:r>
      <w:r w:rsidR="006D02C0">
        <w:tab/>
        <w:t>BUTADIENES, STABILIZED or BUTADIENES AND HYDROCARBON MIXTURE, STABILIZED, having a vapour pressure at 70</w:t>
      </w:r>
      <w:r w:rsidR="00C477EA">
        <w:t xml:space="preserve"> °</w:t>
      </w:r>
      <w:r w:rsidR="006D02C0">
        <w:t xml:space="preserve">C not exceeding 1.1 </w:t>
      </w:r>
      <w:proofErr w:type="spellStart"/>
      <w:r w:rsidR="006D02C0">
        <w:t>MPa</w:t>
      </w:r>
      <w:proofErr w:type="spellEnd"/>
      <w:r w:rsidR="006D02C0">
        <w:t xml:space="preserve"> (11 bar) and a density at 50</w:t>
      </w:r>
      <w:r w:rsidR="00C477EA">
        <w:t xml:space="preserve"> °</w:t>
      </w:r>
      <w:r w:rsidR="003105F5">
        <w:t>C not lower than 0.525 kg/l</w:t>
      </w:r>
      <w:r w:rsidR="006D02C0">
        <w:t xml:space="preserve"> (with 0.1% or more 1.3-butadiene)</w:t>
      </w:r>
    </w:p>
    <w:p w:rsidR="006D02C0" w:rsidRDefault="006D02C0" w:rsidP="00571122">
      <w:pPr>
        <w:pStyle w:val="SingleTxt"/>
        <w:ind w:left="1741" w:right="1264"/>
      </w:pPr>
      <w:r>
        <w:t>(d)</w:t>
      </w:r>
      <w:r>
        <w:tab/>
      </w:r>
      <w:r w:rsidR="00571122">
        <w:t>“</w:t>
      </w:r>
      <w:r>
        <w:t>(II B1)</w:t>
      </w:r>
      <w:r w:rsidR="00571122">
        <w:t>”</w:t>
      </w:r>
      <w:r>
        <w:t xml:space="preserve"> to be added to the following entries:</w:t>
      </w:r>
    </w:p>
    <w:p w:rsidR="006D02C0" w:rsidRDefault="006D02C0" w:rsidP="00571122">
      <w:pPr>
        <w:pStyle w:val="SingleTxt"/>
        <w:ind w:left="2217" w:right="1264"/>
      </w:pPr>
      <w:r>
        <w:t>1155</w:t>
      </w:r>
      <w:r>
        <w:tab/>
        <w:t>DIETHYL ETHER</w:t>
      </w:r>
    </w:p>
    <w:p w:rsidR="006D02C0" w:rsidRDefault="006D02C0" w:rsidP="000E79C9">
      <w:pPr>
        <w:pStyle w:val="SingleTxt"/>
        <w:ind w:left="2727" w:right="1264" w:hanging="510"/>
      </w:pPr>
      <w:r>
        <w:t>1170</w:t>
      </w:r>
      <w:r>
        <w:tab/>
        <w:t>ETHANOL (ETHYL ALCOHOL) or ETHANOL SOLUTION (ETHYL ALCOHOL SOLUTION), aqueous solution with more than 70 % alcohol by volume</w:t>
      </w:r>
    </w:p>
    <w:p w:rsidR="006D02C0" w:rsidRDefault="006D02C0" w:rsidP="000E79C9">
      <w:pPr>
        <w:pStyle w:val="SingleTxt"/>
        <w:ind w:left="2727" w:right="1264" w:hanging="510"/>
      </w:pPr>
      <w:r>
        <w:t>1199</w:t>
      </w:r>
      <w:r>
        <w:tab/>
        <w:t>FURALDEHYDES (a-FURALDEHYDE) or FURFURALDEHYDES (a-FURFURYLALDEHYDE)</w:t>
      </w:r>
    </w:p>
    <w:p w:rsidR="006D02C0" w:rsidRDefault="006D02C0" w:rsidP="00571122">
      <w:pPr>
        <w:pStyle w:val="SingleTxt"/>
        <w:ind w:left="2217" w:right="1264"/>
      </w:pPr>
      <w:r>
        <w:t>1662</w:t>
      </w:r>
      <w:r>
        <w:tab/>
        <w:t>NITROBENZENE</w:t>
      </w:r>
    </w:p>
    <w:p w:rsidR="006D02C0" w:rsidRDefault="006D02C0" w:rsidP="00571122">
      <w:pPr>
        <w:pStyle w:val="SingleTxt"/>
        <w:ind w:left="2217" w:right="1264"/>
      </w:pPr>
      <w:r>
        <w:t>1917</w:t>
      </w:r>
      <w:r>
        <w:tab/>
        <w:t>ETHYL ACRYLATE, STABILIZED</w:t>
      </w:r>
    </w:p>
    <w:p w:rsidR="006D02C0" w:rsidRDefault="006D02C0" w:rsidP="00571122">
      <w:pPr>
        <w:pStyle w:val="SingleTxt"/>
        <w:ind w:left="2217" w:right="1264"/>
      </w:pPr>
      <w:r>
        <w:t>1919</w:t>
      </w:r>
      <w:r>
        <w:tab/>
        <w:t>METHYL ACRYLATE, STABILIZED</w:t>
      </w:r>
    </w:p>
    <w:p w:rsidR="006D02C0" w:rsidRDefault="006D02C0" w:rsidP="00571122">
      <w:pPr>
        <w:pStyle w:val="SingleTxt"/>
        <w:ind w:left="2217" w:right="1264"/>
      </w:pPr>
      <w:r>
        <w:t>2056</w:t>
      </w:r>
      <w:r>
        <w:tab/>
        <w:t>TETRAHYDROFURAN</w:t>
      </w:r>
    </w:p>
    <w:p w:rsidR="006D02C0" w:rsidRDefault="006D02C0" w:rsidP="00571122">
      <w:pPr>
        <w:pStyle w:val="SingleTxt"/>
        <w:ind w:left="2217" w:right="1264"/>
      </w:pPr>
      <w:r>
        <w:t>2218</w:t>
      </w:r>
      <w:r>
        <w:tab/>
        <w:t>ACRYLIC ACID, STABILIZED</w:t>
      </w:r>
    </w:p>
    <w:p w:rsidR="006D02C0" w:rsidRDefault="006D02C0" w:rsidP="00571122">
      <w:pPr>
        <w:pStyle w:val="SingleTxt"/>
        <w:ind w:left="2217" w:right="1264"/>
      </w:pPr>
      <w:r>
        <w:t>2278</w:t>
      </w:r>
      <w:r>
        <w:tab/>
        <w:t>n-HEPTENE</w:t>
      </w:r>
    </w:p>
    <w:p w:rsidR="006D02C0" w:rsidRDefault="000E79C9" w:rsidP="00571122">
      <w:pPr>
        <w:pStyle w:val="SingleTxt"/>
        <w:ind w:left="2217" w:right="1264"/>
      </w:pPr>
      <w:r>
        <w:t>2303</w:t>
      </w:r>
      <w:r>
        <w:tab/>
      </w:r>
      <w:r w:rsidR="006D02C0">
        <w:t>ISOPROPENYLBENZENE</w:t>
      </w:r>
    </w:p>
    <w:p w:rsidR="006D02C0" w:rsidRDefault="006D02C0" w:rsidP="000E79C9">
      <w:pPr>
        <w:pStyle w:val="SingleTxt"/>
        <w:ind w:left="2727" w:right="1264" w:hanging="510"/>
      </w:pPr>
      <w:r>
        <w:t>2348</w:t>
      </w:r>
      <w:r>
        <w:tab/>
      </w:r>
      <w:r w:rsidR="003105F5">
        <w:t>BUTYL ACRYLATES, STABILIZED (n-</w:t>
      </w:r>
      <w:r>
        <w:t>BUTYL ACRYLATE, STABILIZED)</w:t>
      </w:r>
    </w:p>
    <w:p w:rsidR="006D02C0" w:rsidRDefault="006D02C0" w:rsidP="00571122">
      <w:pPr>
        <w:pStyle w:val="SingleTxt"/>
        <w:ind w:left="2217" w:right="1264"/>
      </w:pPr>
      <w:r>
        <w:t>3092</w:t>
      </w:r>
      <w:r>
        <w:tab/>
        <w:t>1-METHOXY-2-PROPANOL</w:t>
      </w:r>
    </w:p>
    <w:p w:rsidR="006D02C0" w:rsidRDefault="006D02C0" w:rsidP="00571122">
      <w:pPr>
        <w:pStyle w:val="SingleTxt"/>
        <w:ind w:left="1741" w:right="1264"/>
      </w:pPr>
      <w:r>
        <w:t>(e)</w:t>
      </w:r>
      <w:r>
        <w:tab/>
      </w:r>
      <w:r w:rsidR="00571122">
        <w:t>“</w:t>
      </w:r>
      <w:r>
        <w:t>(II B1</w:t>
      </w:r>
      <w:r w:rsidRPr="003105F5">
        <w:rPr>
          <w:vertAlign w:val="superscript"/>
        </w:rPr>
        <w:t>4</w:t>
      </w:r>
      <w:r>
        <w:t>)</w:t>
      </w:r>
      <w:r w:rsidR="00571122">
        <w:t>”</w:t>
      </w:r>
      <w:r>
        <w:t xml:space="preserve"> to be added to the following entry:</w:t>
      </w:r>
    </w:p>
    <w:p w:rsidR="006D02C0" w:rsidRDefault="006D02C0" w:rsidP="000E79C9">
      <w:pPr>
        <w:pStyle w:val="SingleTxt"/>
        <w:ind w:left="2727" w:right="1264" w:hanging="510"/>
      </w:pPr>
      <w:r>
        <w:t>1170</w:t>
      </w:r>
      <w:r>
        <w:tab/>
        <w:t>ETHANOL SOLUTION (ETHYL ALCOHOL SOLUTION), aqueous solution with more than 24 % and not more than 70 % alcohol by volume</w:t>
      </w:r>
    </w:p>
    <w:p w:rsidR="006D02C0" w:rsidRDefault="006D02C0" w:rsidP="00571122">
      <w:pPr>
        <w:pStyle w:val="SingleTxt"/>
        <w:ind w:left="1741" w:right="1264"/>
      </w:pPr>
      <w:r>
        <w:t>(f)</w:t>
      </w:r>
      <w:r>
        <w:tab/>
      </w:r>
      <w:r w:rsidR="00571122">
        <w:t>“</w:t>
      </w:r>
      <w:r>
        <w:t>(II B1)</w:t>
      </w:r>
      <w:r w:rsidR="00571122">
        <w:t>”</w:t>
      </w:r>
      <w:r>
        <w:t xml:space="preserve"> to be replaced by </w:t>
      </w:r>
      <w:r w:rsidR="00571122">
        <w:t>“</w:t>
      </w:r>
      <w:r>
        <w:t>II A</w:t>
      </w:r>
      <w:r w:rsidRPr="003105F5">
        <w:rPr>
          <w:vertAlign w:val="superscript"/>
        </w:rPr>
        <w:t>7</w:t>
      </w:r>
      <w:r>
        <w:t>)</w:t>
      </w:r>
      <w:r w:rsidR="00571122">
        <w:t>”</w:t>
      </w:r>
      <w:r>
        <w:t xml:space="preserve"> for the following entries:</w:t>
      </w:r>
    </w:p>
    <w:p w:rsidR="006D02C0" w:rsidRDefault="006D02C0" w:rsidP="00571122">
      <w:pPr>
        <w:pStyle w:val="SingleTxt"/>
        <w:ind w:left="2217" w:right="1264"/>
      </w:pPr>
      <w:r>
        <w:t>2458</w:t>
      </w:r>
      <w:r>
        <w:tab/>
        <w:t>HEXADIENES</w:t>
      </w:r>
    </w:p>
    <w:p w:rsidR="006D02C0" w:rsidRDefault="006D02C0" w:rsidP="00571122">
      <w:pPr>
        <w:pStyle w:val="SingleTxt"/>
        <w:ind w:left="2217" w:right="1264"/>
      </w:pPr>
      <w:r>
        <w:t>2491</w:t>
      </w:r>
      <w:r>
        <w:tab/>
        <w:t>ETHANOLAMINE or ETHANOLAMINE SOLUTION</w:t>
      </w:r>
    </w:p>
    <w:p w:rsidR="006D02C0" w:rsidRDefault="006D02C0" w:rsidP="000E79C9">
      <w:pPr>
        <w:pStyle w:val="SingleTxt"/>
        <w:ind w:left="2727" w:right="1264" w:hanging="510"/>
      </w:pPr>
      <w:r>
        <w:t>2811</w:t>
      </w:r>
      <w:r>
        <w:tab/>
        <w:t>TOXIC SOLID, ORGANIC, N.O.S. (1</w:t>
      </w:r>
      <w:proofErr w:type="gramStart"/>
      <w:r>
        <w:t>,2,3</w:t>
      </w:r>
      <w:proofErr w:type="gramEnd"/>
      <w:r>
        <w:t>-TRICHLOROBENZENE, MOLTEN)</w:t>
      </w:r>
    </w:p>
    <w:p w:rsidR="006D02C0" w:rsidRDefault="006D02C0" w:rsidP="00571122">
      <w:pPr>
        <w:pStyle w:val="SingleTxt"/>
        <w:ind w:left="2217" w:right="1264"/>
      </w:pPr>
      <w:r>
        <w:lastRenderedPageBreak/>
        <w:t>2811</w:t>
      </w:r>
      <w:r>
        <w:tab/>
        <w:t>TOXIC SOLID, ORGANIC, N.O.S. (1</w:t>
      </w:r>
      <w:proofErr w:type="gramStart"/>
      <w:r>
        <w:t>,3,5</w:t>
      </w:r>
      <w:proofErr w:type="gramEnd"/>
      <w:r>
        <w:t>-TRICHLOROBENZENE, MOLTEN)</w:t>
      </w:r>
    </w:p>
    <w:p w:rsidR="006D02C0" w:rsidRDefault="006D02C0" w:rsidP="00571122">
      <w:pPr>
        <w:pStyle w:val="SingleTxt"/>
      </w:pPr>
      <w:r>
        <w:t>7.</w:t>
      </w:r>
      <w:r>
        <w:tab/>
        <w:t>In addition, the following remark is proposed for column (16) in 3.2.3.1 Explanations concerning Table C:</w:t>
      </w:r>
    </w:p>
    <w:p w:rsidR="006D02C0" w:rsidRPr="0035562A" w:rsidRDefault="00571122" w:rsidP="00571122">
      <w:pPr>
        <w:pStyle w:val="SingleTxt"/>
        <w:rPr>
          <w:b/>
          <w:bCs/>
        </w:rPr>
      </w:pPr>
      <w:r w:rsidRPr="0035562A">
        <w:rPr>
          <w:b/>
          <w:bCs/>
        </w:rPr>
        <w:t>“</w:t>
      </w:r>
      <w:r w:rsidR="006D02C0" w:rsidRPr="0035562A">
        <w:rPr>
          <w:b/>
          <w:bCs/>
        </w:rPr>
        <w:t>Column 16</w:t>
      </w:r>
      <w:r w:rsidR="006D02C0" w:rsidRPr="0035562A">
        <w:rPr>
          <w:b/>
          <w:bCs/>
        </w:rPr>
        <w:tab/>
        <w:t>Explosion group</w:t>
      </w:r>
    </w:p>
    <w:p w:rsidR="006D02C0" w:rsidRDefault="006D02C0" w:rsidP="00571122">
      <w:pPr>
        <w:pStyle w:val="SingleTxt"/>
      </w:pPr>
      <w:proofErr w:type="gramStart"/>
      <w:r>
        <w:t>Contains the explosion group of the substance.</w:t>
      </w:r>
      <w:proofErr w:type="gramEnd"/>
    </w:p>
    <w:p w:rsidR="006D02C0" w:rsidRDefault="006D02C0" w:rsidP="00571122">
      <w:pPr>
        <w:pStyle w:val="SingleTxt"/>
      </w:pPr>
      <w:r>
        <w:t>Values between square brackets indicate the explosion group II B subgroups to be used in selecting the relevant self-contained protection systems (flame arresters, pressure/vacuum relief valves with integrated backfire-prevention device, and high velocity vent valves).</w:t>
      </w:r>
    </w:p>
    <w:p w:rsidR="006D02C0" w:rsidRPr="0035562A" w:rsidRDefault="006D02C0" w:rsidP="00571122">
      <w:pPr>
        <w:pStyle w:val="SingleTxt"/>
        <w:rPr>
          <w:i/>
          <w:iCs/>
        </w:rPr>
      </w:pPr>
      <w:r w:rsidRPr="0035562A">
        <w:rPr>
          <w:i/>
          <w:iCs/>
        </w:rPr>
        <w:t>NOTE:</w:t>
      </w:r>
    </w:p>
    <w:p w:rsidR="006D02C0" w:rsidRPr="0035562A" w:rsidRDefault="006D02C0" w:rsidP="00571122">
      <w:pPr>
        <w:pStyle w:val="SingleTxt"/>
        <w:rPr>
          <w:i/>
          <w:iCs/>
        </w:rPr>
      </w:pPr>
      <w:r w:rsidRPr="0035562A">
        <w:rPr>
          <w:i/>
          <w:iCs/>
        </w:rPr>
        <w:t>Where self-contained protection systems for explosion group II B are in place, products in explosion group II A or II B, including subgroups II B3, II B2 and II B1, may be transported.</w:t>
      </w:r>
    </w:p>
    <w:p w:rsidR="006D02C0" w:rsidRPr="0035562A" w:rsidRDefault="006D02C0" w:rsidP="00571122">
      <w:pPr>
        <w:pStyle w:val="SingleTxt"/>
        <w:rPr>
          <w:i/>
          <w:iCs/>
        </w:rPr>
      </w:pPr>
      <w:r w:rsidRPr="0035562A">
        <w:rPr>
          <w:i/>
          <w:iCs/>
        </w:rPr>
        <w:t>Where self-contained protection systems for explosion group II B3 are in place, products in explosion subgroups II B3, II B2 and II B1, or in explosion group II A, may be transported.</w:t>
      </w:r>
    </w:p>
    <w:p w:rsidR="006D02C0" w:rsidRPr="0035562A" w:rsidRDefault="006D02C0" w:rsidP="00571122">
      <w:pPr>
        <w:pStyle w:val="SingleTxt"/>
        <w:rPr>
          <w:i/>
          <w:iCs/>
        </w:rPr>
      </w:pPr>
      <w:r w:rsidRPr="0035562A">
        <w:rPr>
          <w:i/>
          <w:iCs/>
        </w:rPr>
        <w:t>Where self-contained protection systems for explosion group II B2 are in place, products in explosion subgroups II B2 and II B1, or in explosion group II A, may be transported.</w:t>
      </w:r>
    </w:p>
    <w:p w:rsidR="006D02C0" w:rsidRPr="0035562A" w:rsidRDefault="006D02C0" w:rsidP="00571122">
      <w:pPr>
        <w:pStyle w:val="SingleTxt"/>
        <w:rPr>
          <w:i/>
          <w:iCs/>
        </w:rPr>
      </w:pPr>
      <w:r w:rsidRPr="0035562A">
        <w:rPr>
          <w:i/>
          <w:iCs/>
        </w:rPr>
        <w:t>Where self-contained protection systems for explosion group II B1 are in place, products in explosion subgroup II B1 or in explosion group II A may be transported.</w:t>
      </w:r>
      <w:r w:rsidR="00571122" w:rsidRPr="0035562A">
        <w:rPr>
          <w:i/>
          <w:iCs/>
        </w:rPr>
        <w:t>”</w:t>
      </w:r>
    </w:p>
    <w:p w:rsidR="004A5042" w:rsidRPr="006938B3" w:rsidRDefault="0035562A" w:rsidP="0035562A">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5042" w:rsidRPr="006938B3" w:rsidSect="00D54439">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57" w:rsidRDefault="005E0D57">
      <w:r>
        <w:separator/>
      </w:r>
    </w:p>
  </w:endnote>
  <w:endnote w:type="continuationSeparator" w:id="0">
    <w:p w:rsidR="005E0D57" w:rsidRDefault="005E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4439" w:rsidTr="00D54439">
      <w:trPr>
        <w:jc w:val="center"/>
      </w:trPr>
      <w:tc>
        <w:tcPr>
          <w:tcW w:w="5126" w:type="dxa"/>
          <w:shd w:val="clear" w:color="auto" w:fill="auto"/>
        </w:tcPr>
        <w:p w:rsidR="00D54439" w:rsidRPr="00D54439" w:rsidRDefault="00D54439" w:rsidP="00D544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7FDD">
            <w:rPr>
              <w:b w:val="0"/>
              <w:w w:val="103"/>
              <w:sz w:val="14"/>
            </w:rPr>
            <w:t>GE.15-18552</w:t>
          </w:r>
          <w:r>
            <w:rPr>
              <w:b w:val="0"/>
              <w:w w:val="103"/>
              <w:sz w:val="14"/>
            </w:rPr>
            <w:fldChar w:fldCharType="end"/>
          </w:r>
        </w:p>
      </w:tc>
      <w:tc>
        <w:tcPr>
          <w:tcW w:w="5127" w:type="dxa"/>
          <w:shd w:val="clear" w:color="auto" w:fill="auto"/>
        </w:tcPr>
        <w:p w:rsidR="00D54439" w:rsidRPr="00D54439" w:rsidRDefault="00D54439" w:rsidP="00D54439">
          <w:pPr>
            <w:pStyle w:val="Footer"/>
            <w:rPr>
              <w:w w:val="103"/>
            </w:rPr>
          </w:pPr>
          <w:r>
            <w:rPr>
              <w:w w:val="103"/>
            </w:rPr>
            <w:fldChar w:fldCharType="begin"/>
          </w:r>
          <w:r>
            <w:rPr>
              <w:w w:val="103"/>
            </w:rPr>
            <w:instrText xml:space="preserve"> PAGE  \* Arabic  \* MERGEFORMAT </w:instrText>
          </w:r>
          <w:r>
            <w:rPr>
              <w:w w:val="103"/>
            </w:rPr>
            <w:fldChar w:fldCharType="separate"/>
          </w:r>
          <w:r w:rsidR="00E8052B">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052B">
            <w:rPr>
              <w:w w:val="103"/>
            </w:rPr>
            <w:t>4</w:t>
          </w:r>
          <w:r>
            <w:rPr>
              <w:w w:val="103"/>
            </w:rPr>
            <w:fldChar w:fldCharType="end"/>
          </w:r>
        </w:p>
      </w:tc>
    </w:tr>
  </w:tbl>
  <w:p w:rsidR="00D54439" w:rsidRPr="00D54439" w:rsidRDefault="00D54439" w:rsidP="00D54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4439" w:rsidTr="00D54439">
      <w:trPr>
        <w:jc w:val="center"/>
      </w:trPr>
      <w:tc>
        <w:tcPr>
          <w:tcW w:w="5126" w:type="dxa"/>
          <w:shd w:val="clear" w:color="auto" w:fill="auto"/>
        </w:tcPr>
        <w:p w:rsidR="00D54439" w:rsidRPr="00D54439" w:rsidRDefault="00D54439" w:rsidP="00D5443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8052B">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8052B">
            <w:rPr>
              <w:w w:val="103"/>
            </w:rPr>
            <w:t>3</w:t>
          </w:r>
          <w:r>
            <w:rPr>
              <w:w w:val="103"/>
            </w:rPr>
            <w:fldChar w:fldCharType="end"/>
          </w:r>
        </w:p>
      </w:tc>
      <w:tc>
        <w:tcPr>
          <w:tcW w:w="5127" w:type="dxa"/>
          <w:shd w:val="clear" w:color="auto" w:fill="auto"/>
        </w:tcPr>
        <w:p w:rsidR="00D54439" w:rsidRPr="00D54439" w:rsidRDefault="00D54439" w:rsidP="00D5443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7FDD">
            <w:rPr>
              <w:b w:val="0"/>
              <w:w w:val="103"/>
              <w:sz w:val="14"/>
            </w:rPr>
            <w:t>GE.15-18552</w:t>
          </w:r>
          <w:r>
            <w:rPr>
              <w:b w:val="0"/>
              <w:w w:val="103"/>
              <w:sz w:val="14"/>
            </w:rPr>
            <w:fldChar w:fldCharType="end"/>
          </w:r>
        </w:p>
      </w:tc>
    </w:tr>
  </w:tbl>
  <w:p w:rsidR="00D54439" w:rsidRPr="00D54439" w:rsidRDefault="00D54439" w:rsidP="00D54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D54439" w:rsidTr="00D54439">
      <w:tc>
        <w:tcPr>
          <w:tcW w:w="3859" w:type="dxa"/>
        </w:tcPr>
        <w:p w:rsidR="00D54439" w:rsidRDefault="00D54439" w:rsidP="00D54439">
          <w:pPr>
            <w:pStyle w:val="ReleaseDate"/>
          </w:pPr>
          <w:r>
            <w:rPr>
              <w:noProof/>
              <w:lang w:eastAsia="en-GB"/>
            </w:rPr>
            <w:drawing>
              <wp:anchor distT="0" distB="0" distL="114300" distR="114300" simplePos="0" relativeHeight="251658240" behindDoc="0" locked="0" layoutInCell="1" allowOverlap="1" wp14:anchorId="526713BE" wp14:editId="576D3597">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2/2016/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GE.15-18552 (E)    101115    101115</w:t>
          </w:r>
        </w:p>
        <w:p w:rsidR="00D54439" w:rsidRPr="00D54439" w:rsidRDefault="00D54439" w:rsidP="00D54439">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*1518552*</w:t>
          </w:r>
        </w:p>
      </w:tc>
      <w:tc>
        <w:tcPr>
          <w:tcW w:w="5127" w:type="dxa"/>
        </w:tcPr>
        <w:p w:rsidR="00D54439" w:rsidRDefault="00D54439" w:rsidP="00D54439">
          <w:pPr>
            <w:pStyle w:val="Footer"/>
            <w:jc w:val="right"/>
            <w:rPr>
              <w:b w:val="0"/>
              <w:sz w:val="20"/>
            </w:rPr>
          </w:pPr>
          <w:r>
            <w:rPr>
              <w:b w:val="0"/>
              <w:sz w:val="20"/>
              <w:lang w:val="en-GB" w:eastAsia="en-GB"/>
            </w:rPr>
            <w:drawing>
              <wp:inline distT="0" distB="0" distL="0" distR="0" wp14:anchorId="13ADCC55" wp14:editId="0D8490A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54439" w:rsidRPr="00D54439" w:rsidRDefault="00D54439" w:rsidP="00D5443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57" w:rsidRPr="008A6FC5" w:rsidRDefault="008A6FC5" w:rsidP="008A6FC5">
      <w:pPr>
        <w:pStyle w:val="Footer"/>
        <w:spacing w:after="80"/>
        <w:ind w:left="792"/>
        <w:rPr>
          <w:sz w:val="16"/>
        </w:rPr>
      </w:pPr>
      <w:r w:rsidRPr="008A6FC5">
        <w:rPr>
          <w:sz w:val="16"/>
        </w:rPr>
        <w:t>__________________</w:t>
      </w:r>
    </w:p>
  </w:footnote>
  <w:footnote w:type="continuationSeparator" w:id="0">
    <w:p w:rsidR="005E0D57" w:rsidRPr="008A6FC5" w:rsidRDefault="008A6FC5" w:rsidP="008A6FC5">
      <w:pPr>
        <w:pStyle w:val="Footer"/>
        <w:spacing w:after="80"/>
        <w:ind w:left="792"/>
        <w:rPr>
          <w:sz w:val="16"/>
        </w:rPr>
      </w:pPr>
      <w:r w:rsidRPr="008A6FC5">
        <w:rPr>
          <w:sz w:val="16"/>
        </w:rPr>
        <w:t>__________________</w:t>
      </w:r>
    </w:p>
  </w:footnote>
  <w:footnote w:id="1">
    <w:p w:rsidR="008A6FC5" w:rsidRPr="008A6FC5" w:rsidRDefault="008A6FC5" w:rsidP="008A6FC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proofErr w:type="gramStart"/>
      <w:r w:rsidRPr="008A6FC5">
        <w:t>Distributed in German by the Central Commission for the Navigation of the Rhine under the symbol CCNR-ZKR/ADN/WP.15/AC.2/2016/4.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54439" w:rsidTr="00D54439">
      <w:trPr>
        <w:trHeight w:hRule="exact" w:val="864"/>
        <w:jc w:val="center"/>
      </w:trPr>
      <w:tc>
        <w:tcPr>
          <w:tcW w:w="4882" w:type="dxa"/>
          <w:shd w:val="clear" w:color="auto" w:fill="auto"/>
          <w:vAlign w:val="bottom"/>
        </w:tcPr>
        <w:p w:rsidR="00D54439" w:rsidRPr="00D54439" w:rsidRDefault="00D54439" w:rsidP="00D54439">
          <w:pPr>
            <w:pStyle w:val="Header"/>
            <w:spacing w:after="80"/>
            <w:rPr>
              <w:b/>
            </w:rPr>
          </w:pPr>
          <w:r>
            <w:rPr>
              <w:b/>
            </w:rPr>
            <w:fldChar w:fldCharType="begin"/>
          </w:r>
          <w:r>
            <w:rPr>
              <w:b/>
            </w:rPr>
            <w:instrText xml:space="preserve"> DOCVARIABLE "sss1" \* MERGEFORMAT </w:instrText>
          </w:r>
          <w:r>
            <w:rPr>
              <w:b/>
            </w:rPr>
            <w:fldChar w:fldCharType="separate"/>
          </w:r>
          <w:r w:rsidR="00557FDD">
            <w:rPr>
              <w:b/>
            </w:rPr>
            <w:t>ECE/TRANS/WP.15/AC.2/2016/4</w:t>
          </w:r>
          <w:r>
            <w:rPr>
              <w:b/>
            </w:rPr>
            <w:fldChar w:fldCharType="end"/>
          </w:r>
        </w:p>
      </w:tc>
      <w:tc>
        <w:tcPr>
          <w:tcW w:w="5127" w:type="dxa"/>
          <w:shd w:val="clear" w:color="auto" w:fill="auto"/>
          <w:vAlign w:val="bottom"/>
        </w:tcPr>
        <w:p w:rsidR="00D54439" w:rsidRDefault="00D54439" w:rsidP="00D54439">
          <w:pPr>
            <w:pStyle w:val="Header"/>
          </w:pPr>
        </w:p>
      </w:tc>
    </w:tr>
  </w:tbl>
  <w:p w:rsidR="00D54439" w:rsidRPr="00D54439" w:rsidRDefault="00D54439" w:rsidP="00D5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54439" w:rsidTr="00D54439">
      <w:trPr>
        <w:trHeight w:hRule="exact" w:val="864"/>
        <w:jc w:val="center"/>
      </w:trPr>
      <w:tc>
        <w:tcPr>
          <w:tcW w:w="4882" w:type="dxa"/>
          <w:shd w:val="clear" w:color="auto" w:fill="auto"/>
          <w:vAlign w:val="bottom"/>
        </w:tcPr>
        <w:p w:rsidR="00D54439" w:rsidRDefault="00D54439" w:rsidP="00D54439">
          <w:pPr>
            <w:pStyle w:val="Header"/>
          </w:pPr>
        </w:p>
      </w:tc>
      <w:tc>
        <w:tcPr>
          <w:tcW w:w="5127" w:type="dxa"/>
          <w:shd w:val="clear" w:color="auto" w:fill="auto"/>
          <w:vAlign w:val="bottom"/>
        </w:tcPr>
        <w:p w:rsidR="00D54439" w:rsidRPr="00D54439" w:rsidRDefault="00D54439" w:rsidP="00D54439">
          <w:pPr>
            <w:pStyle w:val="Header"/>
            <w:spacing w:after="80"/>
            <w:jc w:val="right"/>
            <w:rPr>
              <w:b/>
            </w:rPr>
          </w:pPr>
          <w:r>
            <w:rPr>
              <w:b/>
            </w:rPr>
            <w:fldChar w:fldCharType="begin"/>
          </w:r>
          <w:r>
            <w:rPr>
              <w:b/>
            </w:rPr>
            <w:instrText xml:space="preserve"> DOCVARIABLE "sss1" \* MERGEFORMAT </w:instrText>
          </w:r>
          <w:r>
            <w:rPr>
              <w:b/>
            </w:rPr>
            <w:fldChar w:fldCharType="separate"/>
          </w:r>
          <w:r w:rsidR="00557FDD">
            <w:rPr>
              <w:b/>
            </w:rPr>
            <w:t>ECE/TRANS/WP.15/AC.2/2016/4</w:t>
          </w:r>
          <w:r>
            <w:rPr>
              <w:b/>
            </w:rPr>
            <w:fldChar w:fldCharType="end"/>
          </w:r>
        </w:p>
      </w:tc>
    </w:tr>
  </w:tbl>
  <w:p w:rsidR="00D54439" w:rsidRPr="00D54439" w:rsidRDefault="00D54439" w:rsidP="00D54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D54439" w:rsidTr="00D54439">
      <w:trPr>
        <w:trHeight w:hRule="exact" w:val="864"/>
      </w:trPr>
      <w:tc>
        <w:tcPr>
          <w:tcW w:w="1267" w:type="dxa"/>
          <w:tcBorders>
            <w:bottom w:val="single" w:sz="4" w:space="0" w:color="auto"/>
          </w:tcBorders>
          <w:shd w:val="clear" w:color="auto" w:fill="auto"/>
          <w:vAlign w:val="bottom"/>
        </w:tcPr>
        <w:p w:rsidR="00D54439" w:rsidRDefault="00D54439" w:rsidP="00D54439">
          <w:pPr>
            <w:pStyle w:val="Header"/>
            <w:spacing w:after="120"/>
          </w:pPr>
        </w:p>
      </w:tc>
      <w:tc>
        <w:tcPr>
          <w:tcW w:w="1872" w:type="dxa"/>
          <w:tcBorders>
            <w:bottom w:val="single" w:sz="4" w:space="0" w:color="auto"/>
          </w:tcBorders>
          <w:shd w:val="clear" w:color="auto" w:fill="auto"/>
          <w:vAlign w:val="bottom"/>
        </w:tcPr>
        <w:p w:rsidR="00D54439" w:rsidRPr="00D54439" w:rsidRDefault="00D54439" w:rsidP="00D5443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54439" w:rsidRDefault="00D54439" w:rsidP="00D54439">
          <w:pPr>
            <w:pStyle w:val="Header"/>
            <w:spacing w:after="120"/>
          </w:pPr>
        </w:p>
      </w:tc>
      <w:tc>
        <w:tcPr>
          <w:tcW w:w="6653" w:type="dxa"/>
          <w:gridSpan w:val="4"/>
          <w:tcBorders>
            <w:bottom w:val="single" w:sz="4" w:space="0" w:color="auto"/>
          </w:tcBorders>
          <w:shd w:val="clear" w:color="auto" w:fill="auto"/>
          <w:vAlign w:val="bottom"/>
        </w:tcPr>
        <w:p w:rsidR="00D54439" w:rsidRPr="00D54439" w:rsidRDefault="00D54439" w:rsidP="00D54439">
          <w:pPr>
            <w:spacing w:after="80" w:line="240" w:lineRule="auto"/>
            <w:jc w:val="right"/>
            <w:rPr>
              <w:position w:val="-4"/>
            </w:rPr>
          </w:pPr>
          <w:r>
            <w:rPr>
              <w:position w:val="-4"/>
              <w:sz w:val="40"/>
            </w:rPr>
            <w:t>ECE</w:t>
          </w:r>
          <w:r>
            <w:rPr>
              <w:position w:val="-4"/>
            </w:rPr>
            <w:t>/TRANS/WP.15/AC.2/2016/4</w:t>
          </w:r>
        </w:p>
      </w:tc>
    </w:tr>
    <w:tr w:rsidR="00D54439" w:rsidRPr="00D54439" w:rsidTr="00D54439">
      <w:trPr>
        <w:gridAfter w:val="1"/>
        <w:wAfter w:w="18" w:type="dxa"/>
        <w:trHeight w:hRule="exact" w:val="2880"/>
      </w:trPr>
      <w:tc>
        <w:tcPr>
          <w:tcW w:w="1267" w:type="dxa"/>
          <w:tcBorders>
            <w:top w:val="single" w:sz="4" w:space="0" w:color="auto"/>
            <w:bottom w:val="single" w:sz="12" w:space="0" w:color="auto"/>
          </w:tcBorders>
          <w:shd w:val="clear" w:color="auto" w:fill="auto"/>
        </w:tcPr>
        <w:p w:rsidR="00D54439" w:rsidRPr="00D54439" w:rsidRDefault="00D54439" w:rsidP="00D54439">
          <w:pPr>
            <w:pStyle w:val="Header"/>
            <w:spacing w:before="120"/>
            <w:jc w:val="center"/>
          </w:pPr>
          <w:r>
            <w:t xml:space="preserve"> </w:t>
          </w:r>
          <w:r>
            <w:rPr>
              <w:lang w:val="en-GB" w:eastAsia="en-GB"/>
            </w:rPr>
            <w:drawing>
              <wp:inline distT="0" distB="0" distL="0" distR="0" wp14:anchorId="103E8E32" wp14:editId="4AE1C59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54439" w:rsidRPr="00D54439" w:rsidRDefault="00D54439" w:rsidP="00D54439">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D54439" w:rsidRPr="00D54439" w:rsidRDefault="00D54439" w:rsidP="00D54439">
          <w:pPr>
            <w:pStyle w:val="Header"/>
            <w:spacing w:before="109"/>
          </w:pPr>
        </w:p>
      </w:tc>
      <w:tc>
        <w:tcPr>
          <w:tcW w:w="3280" w:type="dxa"/>
          <w:tcBorders>
            <w:top w:val="single" w:sz="4" w:space="0" w:color="auto"/>
            <w:bottom w:val="single" w:sz="12" w:space="0" w:color="auto"/>
          </w:tcBorders>
          <w:shd w:val="clear" w:color="auto" w:fill="auto"/>
        </w:tcPr>
        <w:p w:rsidR="00D54439" w:rsidRDefault="00D54439" w:rsidP="00D54439">
          <w:pPr>
            <w:pStyle w:val="Distribution"/>
            <w:rPr>
              <w:color w:val="010000"/>
            </w:rPr>
          </w:pPr>
          <w:r>
            <w:rPr>
              <w:color w:val="010000"/>
            </w:rPr>
            <w:t>Distr.: General</w:t>
          </w:r>
        </w:p>
        <w:p w:rsidR="00D54439" w:rsidRDefault="00D54439" w:rsidP="00D54439">
          <w:pPr>
            <w:pStyle w:val="Publication"/>
            <w:rPr>
              <w:color w:val="010000"/>
            </w:rPr>
          </w:pPr>
          <w:r>
            <w:rPr>
              <w:color w:val="010000"/>
            </w:rPr>
            <w:t>23 October 2015</w:t>
          </w:r>
        </w:p>
        <w:p w:rsidR="00D54439" w:rsidRDefault="00D54439" w:rsidP="00D54439">
          <w:pPr>
            <w:rPr>
              <w:color w:val="010000"/>
            </w:rPr>
          </w:pPr>
          <w:r>
            <w:rPr>
              <w:color w:val="010000"/>
            </w:rPr>
            <w:t>English</w:t>
          </w:r>
        </w:p>
        <w:p w:rsidR="00D54439" w:rsidRDefault="00D54439" w:rsidP="00D54439">
          <w:pPr>
            <w:pStyle w:val="Original"/>
            <w:rPr>
              <w:color w:val="010000"/>
            </w:rPr>
          </w:pPr>
          <w:r>
            <w:rPr>
              <w:color w:val="010000"/>
            </w:rPr>
            <w:t>Original: French</w:t>
          </w:r>
        </w:p>
        <w:p w:rsidR="00D54439" w:rsidRPr="00D54439" w:rsidRDefault="00D54439" w:rsidP="00D54439"/>
      </w:tc>
    </w:tr>
  </w:tbl>
  <w:p w:rsidR="00D54439" w:rsidRPr="00D54439" w:rsidRDefault="00D54439" w:rsidP="00D5443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8552*"/>
    <w:docVar w:name="CreationDt" w:val="10/11/2015 11:00:54"/>
    <w:docVar w:name="DocCategory" w:val="Doc"/>
    <w:docVar w:name="DocType" w:val="Final"/>
    <w:docVar w:name="DutyStation" w:val="Geneva"/>
    <w:docVar w:name="FooterJN" w:val="GE.15-18552"/>
    <w:docVar w:name="jobn" w:val="GE.15-18552 (E)"/>
    <w:docVar w:name="jobnDT" w:val="GE.15-18552 (E)   101115"/>
    <w:docVar w:name="jobnDTDT" w:val="GE. 15-18552 (E)   101115   101115"/>
    <w:docVar w:name="JobNo" w:val="GE.1518552E"/>
    <w:docVar w:name="JobNo2" w:val="1524508E"/>
    <w:docVar w:name="LocalDrive" w:val="0"/>
    <w:docVar w:name="OandT" w:val="ABS"/>
    <w:docVar w:name="PaperSize" w:val="A4"/>
    <w:docVar w:name="sss1" w:val="ECE/TRANS/WP.15/AC.2/2016/4"/>
    <w:docVar w:name="sss2" w:val="-"/>
    <w:docVar w:name="Symbol1" w:val="ECE/TRANS/WP.15/AC.2/2016/4"/>
    <w:docVar w:name="Symbol2" w:val="-"/>
  </w:docVars>
  <w:rsids>
    <w:rsidRoot w:val="005E0D5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E79C9"/>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05F5"/>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562A"/>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42"/>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668"/>
    <w:rsid w:val="00544AE5"/>
    <w:rsid w:val="00546F5D"/>
    <w:rsid w:val="005513EE"/>
    <w:rsid w:val="0055474C"/>
    <w:rsid w:val="00554CEC"/>
    <w:rsid w:val="00556788"/>
    <w:rsid w:val="00556945"/>
    <w:rsid w:val="0055753C"/>
    <w:rsid w:val="00557FDD"/>
    <w:rsid w:val="00560735"/>
    <w:rsid w:val="005607F2"/>
    <w:rsid w:val="005619C0"/>
    <w:rsid w:val="00566B69"/>
    <w:rsid w:val="00567F84"/>
    <w:rsid w:val="005709A1"/>
    <w:rsid w:val="00571122"/>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0D57"/>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38B3"/>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2C0"/>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A28"/>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6FC5"/>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4"/>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5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46A"/>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377B"/>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477EA"/>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439"/>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052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54439"/>
    <w:pPr>
      <w:spacing w:line="240" w:lineRule="auto"/>
    </w:pPr>
  </w:style>
  <w:style w:type="character" w:customStyle="1" w:styleId="CommentTextChar">
    <w:name w:val="Comment Text Char"/>
    <w:basedOn w:val="DefaultParagraphFont"/>
    <w:link w:val="CommentText"/>
    <w:rsid w:val="00D54439"/>
    <w:rPr>
      <w:spacing w:val="4"/>
      <w:w w:val="103"/>
      <w:kern w:val="14"/>
      <w:lang w:val="en-GB"/>
    </w:rPr>
  </w:style>
  <w:style w:type="paragraph" w:styleId="CommentSubject">
    <w:name w:val="annotation subject"/>
    <w:basedOn w:val="CommentText"/>
    <w:next w:val="CommentText"/>
    <w:link w:val="CommentSubjectChar"/>
    <w:rsid w:val="00D54439"/>
    <w:rPr>
      <w:b/>
      <w:bCs/>
    </w:rPr>
  </w:style>
  <w:style w:type="character" w:customStyle="1" w:styleId="CommentSubjectChar">
    <w:name w:val="Comment Subject Char"/>
    <w:basedOn w:val="CommentTextChar"/>
    <w:link w:val="CommentSubject"/>
    <w:rsid w:val="00D54439"/>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D54439"/>
    <w:pPr>
      <w:spacing w:line="240" w:lineRule="auto"/>
    </w:pPr>
  </w:style>
  <w:style w:type="character" w:customStyle="1" w:styleId="CommentTextChar">
    <w:name w:val="Comment Text Char"/>
    <w:basedOn w:val="DefaultParagraphFont"/>
    <w:link w:val="CommentText"/>
    <w:rsid w:val="00D54439"/>
    <w:rPr>
      <w:spacing w:val="4"/>
      <w:w w:val="103"/>
      <w:kern w:val="14"/>
      <w:lang w:val="en-GB"/>
    </w:rPr>
  </w:style>
  <w:style w:type="paragraph" w:styleId="CommentSubject">
    <w:name w:val="annotation subject"/>
    <w:basedOn w:val="CommentText"/>
    <w:next w:val="CommentText"/>
    <w:link w:val="CommentSubjectChar"/>
    <w:rsid w:val="00D54439"/>
    <w:rPr>
      <w:b/>
      <w:bCs/>
    </w:rPr>
  </w:style>
  <w:style w:type="character" w:customStyle="1" w:styleId="CommentSubjectChar">
    <w:name w:val="Comment Subject Char"/>
    <w:basedOn w:val="CommentTextChar"/>
    <w:link w:val="CommentSubject"/>
    <w:rsid w:val="00D54439"/>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7794-9599-4BF9-B3D7-78EBD045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Seeber</dc:creator>
  <cp:lastModifiedBy>Caillot</cp:lastModifiedBy>
  <cp:revision>2</cp:revision>
  <cp:lastPrinted>2015-11-10T12:02:00Z</cp:lastPrinted>
  <dcterms:created xsi:type="dcterms:W3CDTF">2015-12-03T16:32:00Z</dcterms:created>
  <dcterms:modified xsi:type="dcterms:W3CDTF">2015-12-03T16:32:00Z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1518552</vt:lpwstr>
  </property>
  <property fmtid="{D5CDD505-2E9C-101B-9397-08002B2CF9AE}" pid="3" name="ODSRefJobNo">
    <vt:lpwstr>1524508E</vt:lpwstr>
  </property>
  <property fmtid="{D5CDD505-2E9C-101B-9397-08002B2CF9AE}" pid="4" name="Symbol1">
    <vt:lpwstr>ECE/TRANS/WP.15/AC.2/2016/4</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October 2015</vt:lpwstr>
  </property>
  <property fmtid="{D5CDD505-2E9C-101B-9397-08002B2CF9AE}" pid="12" name="Original">
    <vt:lpwstr>French</vt:lpwstr>
  </property>
  <property fmtid="{D5CDD505-2E9C-101B-9397-08002B2CF9AE}" pid="13" name="Release Date">
    <vt:lpwstr>101115</vt:lpwstr>
  </property>
</Properties>
</file>