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D73AC5">
            <w:pPr>
              <w:jc w:val="right"/>
            </w:pPr>
            <w:r w:rsidRPr="00CD4281">
              <w:rPr>
                <w:sz w:val="40"/>
              </w:rPr>
              <w:t>ECE</w:t>
            </w:r>
            <w:r w:rsidR="00AF1499">
              <w:t>/TRANS/WP.15/AC.2/201</w:t>
            </w:r>
            <w:r w:rsidR="00CB0B63">
              <w:t>6</w:t>
            </w:r>
            <w:r>
              <w:t>/</w:t>
            </w:r>
            <w:r w:rsidR="007D70C8">
              <w:t>1</w:t>
            </w:r>
            <w:r w:rsidR="00D73AC5">
              <w:t>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5D3B98" w:rsidP="00CD4281">
            <w:pPr>
              <w:spacing w:line="240" w:lineRule="exact"/>
            </w:pPr>
            <w:r>
              <w:t>23</w:t>
            </w:r>
            <w:r w:rsidR="00426657">
              <w:t xml:space="preserve"> </w:t>
            </w:r>
            <w:r w:rsidR="00497E7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D73AC5" w:rsidRPr="00D73AC5" w:rsidRDefault="00C26F66" w:rsidP="00625B04">
      <w:pPr>
        <w:pStyle w:val="HChG"/>
        <w:rPr>
          <w:lang w:val="fr-FR"/>
        </w:rPr>
      </w:pPr>
      <w:r>
        <w:rPr>
          <w:snapToGrid w:val="0"/>
          <w:lang w:val="fr-FR" w:eastAsia="fr-FR"/>
        </w:rPr>
        <w:tab/>
      </w:r>
      <w:r>
        <w:rPr>
          <w:snapToGrid w:val="0"/>
          <w:lang w:val="fr-FR" w:eastAsia="fr-FR"/>
        </w:rPr>
        <w:tab/>
      </w:r>
      <w:r w:rsidR="00D73AC5" w:rsidRPr="00D73AC5">
        <w:rPr>
          <w:lang w:val="fr-FR"/>
        </w:rPr>
        <w:t xml:space="preserve">Modification </w:t>
      </w:r>
      <w:r w:rsidR="00D73AC5">
        <w:rPr>
          <w:lang w:val="fr-FR"/>
        </w:rPr>
        <w:t xml:space="preserve">de </w:t>
      </w:r>
      <w:r w:rsidR="00D73AC5" w:rsidRPr="00D73AC5">
        <w:rPr>
          <w:lang w:val="fr-FR"/>
        </w:rPr>
        <w:t xml:space="preserve">1.6.7.4.2 </w:t>
      </w:r>
      <w:r w:rsidR="00D73AC5">
        <w:rPr>
          <w:lang w:val="fr-FR"/>
        </w:rPr>
        <w:t>de l'</w:t>
      </w:r>
      <w:r w:rsidR="00D73AC5" w:rsidRPr="00D73AC5">
        <w:rPr>
          <w:lang w:val="fr-FR"/>
        </w:rPr>
        <w:t>ADN – Délais transitoires applicables aux matières</w:t>
      </w:r>
    </w:p>
    <w:p w:rsidR="00D73AC5" w:rsidRPr="00D73AC5" w:rsidRDefault="00D73AC5" w:rsidP="00625B04">
      <w:pPr>
        <w:pStyle w:val="H1G"/>
        <w:rPr>
          <w:lang w:val="fr-FR"/>
        </w:rPr>
      </w:pPr>
      <w:r w:rsidRPr="00D73AC5">
        <w:rPr>
          <w:lang w:val="fr-FR"/>
        </w:rPr>
        <w:tab/>
      </w:r>
      <w:r w:rsidRPr="00D73AC5">
        <w:rPr>
          <w:lang w:val="fr-FR"/>
        </w:rPr>
        <w:tab/>
      </w:r>
      <w:r w:rsidRPr="00D73AC5">
        <w:rPr>
          <w:snapToGrid w:val="0"/>
          <w:lang w:val="fr-FR" w:eastAsia="fr-FR"/>
        </w:rPr>
        <w:t>Communication de la Commission Centrale pour la Navigation du Rhin (CCNR)</w:t>
      </w:r>
      <w:r w:rsidRPr="00D73AC5">
        <w:rPr>
          <w:snapToGrid w:val="0"/>
          <w:vertAlign w:val="superscript"/>
          <w:lang w:val="fr-FR" w:eastAsia="fr-FR"/>
        </w:rPr>
        <w:footnoteReference w:id="2"/>
      </w:r>
    </w:p>
    <w:p w:rsidR="00D73AC5" w:rsidRPr="00D73AC5" w:rsidRDefault="00D73AC5" w:rsidP="00625B04">
      <w:pPr>
        <w:pStyle w:val="HChG"/>
        <w:rPr>
          <w:lang w:val="fr-FR" w:eastAsia="de-DE"/>
        </w:rPr>
      </w:pPr>
      <w:r>
        <w:rPr>
          <w:lang w:val="fr-FR" w:eastAsia="de-DE"/>
        </w:rPr>
        <w:tab/>
      </w:r>
      <w:r w:rsidR="006C21E0">
        <w:rPr>
          <w:lang w:val="fr-FR" w:eastAsia="de-DE"/>
        </w:rPr>
        <w:tab/>
      </w:r>
      <w:r w:rsidRPr="00625B04">
        <w:t>Introduction</w:t>
      </w:r>
    </w:p>
    <w:p w:rsidR="00D73AC5" w:rsidRPr="00D73AC5" w:rsidRDefault="00D73AC5" w:rsidP="00625B04">
      <w:pPr>
        <w:pStyle w:val="SingleTxtG"/>
        <w:rPr>
          <w:lang w:val="fr-FR" w:eastAsia="de-DE"/>
        </w:rPr>
      </w:pPr>
      <w:r w:rsidRPr="00D73AC5">
        <w:rPr>
          <w:lang w:val="fr-FR" w:eastAsia="de-DE"/>
        </w:rPr>
        <w:t xml:space="preserve">1. </w:t>
      </w:r>
      <w:r w:rsidRPr="00D73AC5">
        <w:rPr>
          <w:lang w:val="fr-FR" w:eastAsia="de-DE"/>
        </w:rPr>
        <w:tab/>
        <w:t>La délégation allemande a attiré l’attention du Secrétariat de la CCNR sur le fait que le délai pour les dispositions spéciales au 1.6.7.4.2 Tableau 2 arrive à son terme, et l’a prié de proposer une modification pour l’ADN 2017. Le Comité de sécurité est prié de vérifier la proposition de modification du Secrétariat de la CCNR qui est énoncée ci-dessous.</w:t>
      </w:r>
    </w:p>
    <w:p w:rsidR="00D73AC5" w:rsidRPr="00D73AC5" w:rsidRDefault="00D73AC5" w:rsidP="00625B04">
      <w:pPr>
        <w:pStyle w:val="HChG"/>
        <w:rPr>
          <w:lang w:val="fr-FR" w:eastAsia="de-DE"/>
        </w:rPr>
      </w:pPr>
      <w:r>
        <w:rPr>
          <w:lang w:val="fr-FR" w:eastAsia="de-DE"/>
        </w:rPr>
        <w:tab/>
      </w:r>
      <w:r w:rsidRPr="00D73AC5">
        <w:rPr>
          <w:lang w:val="fr-FR" w:eastAsia="de-DE"/>
        </w:rPr>
        <w:tab/>
      </w:r>
      <w:r w:rsidRPr="00625B04">
        <w:t>Motif</w:t>
      </w:r>
    </w:p>
    <w:p w:rsidR="00D73AC5" w:rsidRPr="00D73AC5" w:rsidRDefault="00D73AC5" w:rsidP="00625B04">
      <w:pPr>
        <w:pStyle w:val="SingleTxtG"/>
        <w:rPr>
          <w:lang w:val="fr-FR" w:eastAsia="de-DE"/>
        </w:rPr>
      </w:pPr>
      <w:r w:rsidRPr="00D73AC5">
        <w:rPr>
          <w:lang w:val="fr-FR" w:eastAsia="de-DE"/>
        </w:rPr>
        <w:t xml:space="preserve">2. </w:t>
      </w:r>
      <w:r w:rsidRPr="00D73AC5">
        <w:rPr>
          <w:lang w:val="fr-FR" w:eastAsia="de-DE"/>
        </w:rPr>
        <w:tab/>
        <w:t xml:space="preserve">Par dérogation à la Partie 3, tableau C, les matières énumérées au 1.6.7.4.2 tableau 2 peuvent être transportées selon les exigences mentionnées dans ledit </w:t>
      </w:r>
      <w:r w:rsidRPr="00625B04">
        <w:t>tableau</w:t>
      </w:r>
      <w:r w:rsidRPr="00D73AC5">
        <w:rPr>
          <w:lang w:val="fr-FR" w:eastAsia="de-DE"/>
        </w:rPr>
        <w:t xml:space="preserve"> jusqu’au 31.12.2015. Les dispositions spéciales du 1.6.7.4.2 tableau 2 doivent donc être supprimées pour l’ADN 2017.</w:t>
      </w:r>
    </w:p>
    <w:p w:rsidR="00D73AC5" w:rsidRPr="00D73AC5" w:rsidRDefault="00D73AC5" w:rsidP="00625B04">
      <w:pPr>
        <w:pStyle w:val="HChG"/>
      </w:pPr>
      <w:r>
        <w:lastRenderedPageBreak/>
        <w:tab/>
      </w:r>
      <w:bookmarkStart w:id="0" w:name="_GoBack"/>
      <w:bookmarkEnd w:id="0"/>
      <w:r w:rsidRPr="00D73AC5">
        <w:tab/>
        <w:t xml:space="preserve">Proposition de </w:t>
      </w:r>
      <w:r w:rsidRPr="00625B04">
        <w:t>modification</w:t>
      </w:r>
    </w:p>
    <w:p w:rsidR="000E10DA" w:rsidRPr="000E10DA" w:rsidRDefault="00D73AC5" w:rsidP="00625B04">
      <w:pPr>
        <w:pStyle w:val="SingleTxtG"/>
        <w:rPr>
          <w:i/>
          <w:lang w:val="de-DE" w:eastAsia="de-DE" w:bidi="fr-FR"/>
        </w:rPr>
      </w:pPr>
      <w:r w:rsidRPr="00D73AC5">
        <w:rPr>
          <w:lang w:val="fr-FR" w:eastAsia="de-DE"/>
        </w:rPr>
        <w:t xml:space="preserve">3. </w:t>
      </w:r>
      <w:r w:rsidRPr="00D73AC5">
        <w:rPr>
          <w:lang w:val="fr-FR" w:eastAsia="de-DE"/>
        </w:rPr>
        <w:tab/>
        <w:t xml:space="preserve">Supprimer le tableau 2 au </w:t>
      </w:r>
      <w:r w:rsidR="00625B04">
        <w:rPr>
          <w:lang w:val="fr-FR" w:eastAsia="de-DE"/>
        </w:rPr>
        <w:t>1.6.7.4.2 et le remplacer par «</w:t>
      </w:r>
      <w:r w:rsidRPr="00D73AC5">
        <w:rPr>
          <w:lang w:val="fr-FR" w:eastAsia="de-DE"/>
        </w:rPr>
        <w:t xml:space="preserve">2. </w:t>
      </w:r>
      <w:r w:rsidRPr="00625B04">
        <w:t>Jusqu’au</w:t>
      </w:r>
      <w:r w:rsidR="00625B04">
        <w:rPr>
          <w:lang w:val="fr-FR" w:eastAsia="de-DE"/>
        </w:rPr>
        <w:t xml:space="preserve"> 31 décembre 2015 (Supprimé)</w:t>
      </w:r>
      <w:r w:rsidRPr="00D73AC5">
        <w:rPr>
          <w:lang w:val="fr-FR" w:eastAsia="de-DE"/>
        </w:rPr>
        <w:t>».</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A3" w:rsidRDefault="00963DA3"/>
  </w:endnote>
  <w:endnote w:type="continuationSeparator" w:id="0">
    <w:p w:rsidR="00963DA3" w:rsidRDefault="00963DA3"/>
  </w:endnote>
  <w:endnote w:type="continuationNotice" w:id="1">
    <w:p w:rsidR="00963DA3" w:rsidRPr="00BF38EF" w:rsidRDefault="00963DA3"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6C21E0">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0E10DA">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A3" w:rsidRPr="00D27D5E" w:rsidRDefault="00963DA3" w:rsidP="00D27D5E">
      <w:pPr>
        <w:tabs>
          <w:tab w:val="right" w:pos="2155"/>
        </w:tabs>
        <w:spacing w:after="80"/>
        <w:ind w:left="680"/>
        <w:rPr>
          <w:u w:val="single"/>
        </w:rPr>
      </w:pPr>
      <w:r>
        <w:rPr>
          <w:u w:val="single"/>
        </w:rPr>
        <w:tab/>
      </w:r>
    </w:p>
  </w:footnote>
  <w:footnote w:type="continuationSeparator" w:id="0">
    <w:p w:rsidR="00963DA3" w:rsidRPr="00836A24" w:rsidRDefault="00963DA3" w:rsidP="00836A24">
      <w:pPr>
        <w:tabs>
          <w:tab w:val="right" w:pos="2155"/>
        </w:tabs>
        <w:spacing w:after="80"/>
        <w:ind w:left="680"/>
        <w:rPr>
          <w:u w:val="single"/>
        </w:rPr>
      </w:pPr>
      <w:r w:rsidRPr="00836A24">
        <w:rPr>
          <w:u w:val="single"/>
        </w:rPr>
        <w:tab/>
      </w:r>
    </w:p>
  </w:footnote>
  <w:footnote w:type="continuationNotice" w:id="1">
    <w:p w:rsidR="00963DA3" w:rsidRPr="00BF38EF" w:rsidRDefault="00963DA3" w:rsidP="00BF38EF">
      <w:pPr>
        <w:spacing w:line="240" w:lineRule="auto"/>
        <w:rPr>
          <w:sz w:val="2"/>
          <w:szCs w:val="2"/>
        </w:rPr>
      </w:pPr>
    </w:p>
  </w:footnote>
  <w:footnote w:id="2">
    <w:p w:rsidR="00D73AC5" w:rsidRPr="00900571" w:rsidRDefault="00D73AC5" w:rsidP="00D73AC5">
      <w:pPr>
        <w:pStyle w:val="FootnoteText"/>
        <w:rPr>
          <w:sz w:val="16"/>
          <w:szCs w:val="24"/>
          <w:lang w:val="fr-FR"/>
        </w:rPr>
      </w:pPr>
      <w:r w:rsidRPr="00900571">
        <w:rPr>
          <w:sz w:val="16"/>
          <w:szCs w:val="24"/>
          <w:lang w:val="fr-FR"/>
        </w:rPr>
        <w:tab/>
      </w:r>
      <w:r w:rsidRPr="00900571">
        <w:rPr>
          <w:rStyle w:val="FootnoteReference"/>
          <w:sz w:val="16"/>
          <w:szCs w:val="24"/>
          <w:lang w:val="de-DE"/>
        </w:rPr>
        <w:footnoteRef/>
      </w:r>
      <w:r w:rsidRPr="00900571">
        <w:rPr>
          <w:sz w:val="16"/>
          <w:szCs w:val="24"/>
          <w:lang w:val="fr-FR"/>
        </w:rPr>
        <w:tab/>
      </w:r>
      <w:r w:rsidRPr="00900571">
        <w:rPr>
          <w:lang w:val="fr-FR"/>
        </w:rPr>
        <w:t>Texte diffusé en langue allemande par la Commission centrale pour la navigation du Rhin sous la cote CCNR/ZKR/ADN/WP.15/AC.2/2016/</w:t>
      </w:r>
      <w:r>
        <w:rPr>
          <w:lang w:val="fr-FR"/>
        </w:rPr>
        <w:t>13</w:t>
      </w:r>
      <w:r w:rsidRPr="00900571">
        <w:rPr>
          <w:noProof/>
          <w:sz w:val="16"/>
          <w:szCs w:val="24"/>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7D70C8">
      <w:t>1</w:t>
    </w:r>
    <w:r w:rsidR="00D73AC5">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75AF8"/>
    <w:rsid w:val="00090A5D"/>
    <w:rsid w:val="000A0D7D"/>
    <w:rsid w:val="000A55CE"/>
    <w:rsid w:val="000B0D4D"/>
    <w:rsid w:val="000B60CE"/>
    <w:rsid w:val="000D17BF"/>
    <w:rsid w:val="000E10DA"/>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43103"/>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2377E"/>
    <w:rsid w:val="004249E7"/>
    <w:rsid w:val="00426657"/>
    <w:rsid w:val="0043292F"/>
    <w:rsid w:val="00442D65"/>
    <w:rsid w:val="004532CE"/>
    <w:rsid w:val="00460C54"/>
    <w:rsid w:val="004812F5"/>
    <w:rsid w:val="004856F9"/>
    <w:rsid w:val="00493C5D"/>
    <w:rsid w:val="004958E9"/>
    <w:rsid w:val="00497E7A"/>
    <w:rsid w:val="004A5935"/>
    <w:rsid w:val="004D0439"/>
    <w:rsid w:val="004E6373"/>
    <w:rsid w:val="00523538"/>
    <w:rsid w:val="00530F2E"/>
    <w:rsid w:val="00543D5E"/>
    <w:rsid w:val="00571F41"/>
    <w:rsid w:val="00580744"/>
    <w:rsid w:val="00580EEC"/>
    <w:rsid w:val="00595BE4"/>
    <w:rsid w:val="005A20B5"/>
    <w:rsid w:val="005A69D3"/>
    <w:rsid w:val="005B76A3"/>
    <w:rsid w:val="005D3B98"/>
    <w:rsid w:val="005E0BAE"/>
    <w:rsid w:val="005E5D1F"/>
    <w:rsid w:val="00602512"/>
    <w:rsid w:val="00603391"/>
    <w:rsid w:val="00611D43"/>
    <w:rsid w:val="00612D48"/>
    <w:rsid w:val="00616B45"/>
    <w:rsid w:val="00625B04"/>
    <w:rsid w:val="00630D9B"/>
    <w:rsid w:val="00631953"/>
    <w:rsid w:val="006320E9"/>
    <w:rsid w:val="006439EC"/>
    <w:rsid w:val="00650FD4"/>
    <w:rsid w:val="00653D13"/>
    <w:rsid w:val="006606BB"/>
    <w:rsid w:val="006834E6"/>
    <w:rsid w:val="00694F83"/>
    <w:rsid w:val="006B4590"/>
    <w:rsid w:val="006B6C93"/>
    <w:rsid w:val="006C21E0"/>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D70C8"/>
    <w:rsid w:val="007E6519"/>
    <w:rsid w:val="007F55CB"/>
    <w:rsid w:val="00805BAD"/>
    <w:rsid w:val="00812C1A"/>
    <w:rsid w:val="00812C43"/>
    <w:rsid w:val="00830891"/>
    <w:rsid w:val="008317F6"/>
    <w:rsid w:val="00836A24"/>
    <w:rsid w:val="00844750"/>
    <w:rsid w:val="00846C19"/>
    <w:rsid w:val="0086369F"/>
    <w:rsid w:val="008940D7"/>
    <w:rsid w:val="008A767B"/>
    <w:rsid w:val="008B09B3"/>
    <w:rsid w:val="008B44C4"/>
    <w:rsid w:val="008B7879"/>
    <w:rsid w:val="008D3919"/>
    <w:rsid w:val="008E7FAE"/>
    <w:rsid w:val="008F059B"/>
    <w:rsid w:val="00911BF7"/>
    <w:rsid w:val="00911DA7"/>
    <w:rsid w:val="00916183"/>
    <w:rsid w:val="009165B3"/>
    <w:rsid w:val="00945FF8"/>
    <w:rsid w:val="009461E5"/>
    <w:rsid w:val="00952FDB"/>
    <w:rsid w:val="0095536D"/>
    <w:rsid w:val="00963DA3"/>
    <w:rsid w:val="00974DF0"/>
    <w:rsid w:val="00975B8F"/>
    <w:rsid w:val="009761FC"/>
    <w:rsid w:val="00977EC8"/>
    <w:rsid w:val="00980B3E"/>
    <w:rsid w:val="00984468"/>
    <w:rsid w:val="009A5E81"/>
    <w:rsid w:val="009B18A3"/>
    <w:rsid w:val="009D3A8C"/>
    <w:rsid w:val="009E01B8"/>
    <w:rsid w:val="009E2194"/>
    <w:rsid w:val="009E7956"/>
    <w:rsid w:val="00A15CB2"/>
    <w:rsid w:val="00A24903"/>
    <w:rsid w:val="00A2492E"/>
    <w:rsid w:val="00A31A6B"/>
    <w:rsid w:val="00A666CE"/>
    <w:rsid w:val="00A70163"/>
    <w:rsid w:val="00A96408"/>
    <w:rsid w:val="00A97D9A"/>
    <w:rsid w:val="00AA4C53"/>
    <w:rsid w:val="00AA5935"/>
    <w:rsid w:val="00AB7D3D"/>
    <w:rsid w:val="00AC2802"/>
    <w:rsid w:val="00AC67A1"/>
    <w:rsid w:val="00AC7977"/>
    <w:rsid w:val="00AE352C"/>
    <w:rsid w:val="00AF1499"/>
    <w:rsid w:val="00AF4C64"/>
    <w:rsid w:val="00B0221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F66"/>
    <w:rsid w:val="00C27150"/>
    <w:rsid w:val="00C33100"/>
    <w:rsid w:val="00C57892"/>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3AC5"/>
    <w:rsid w:val="00D761E2"/>
    <w:rsid w:val="00D92026"/>
    <w:rsid w:val="00DA4A3C"/>
    <w:rsid w:val="00DA57D4"/>
    <w:rsid w:val="00DB4793"/>
    <w:rsid w:val="00DB6CD1"/>
    <w:rsid w:val="00DC794A"/>
    <w:rsid w:val="00DE01E3"/>
    <w:rsid w:val="00DE45DF"/>
    <w:rsid w:val="00DE56E5"/>
    <w:rsid w:val="00DE6D90"/>
    <w:rsid w:val="00DF002F"/>
    <w:rsid w:val="00E0244D"/>
    <w:rsid w:val="00E0331A"/>
    <w:rsid w:val="00E2484C"/>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6815F2F-5216-40EE-89D3-7CC69399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6F2C-45C6-47BA-B487-365FDE39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2</cp:revision>
  <cp:lastPrinted>2015-04-23T08:25:00Z</cp:lastPrinted>
  <dcterms:created xsi:type="dcterms:W3CDTF">2015-10-23T14:31:00Z</dcterms:created>
  <dcterms:modified xsi:type="dcterms:W3CDTF">2015-10-23T14:31:00Z</dcterms:modified>
</cp:coreProperties>
</file>