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416BBB">
            <w:pPr>
              <w:jc w:val="right"/>
            </w:pPr>
            <w:r w:rsidRPr="00CD4281">
              <w:rPr>
                <w:sz w:val="40"/>
              </w:rPr>
              <w:t>ECE</w:t>
            </w:r>
            <w:r w:rsidR="00AF1499">
              <w:t>/TRANS/WP.15/AC.2/201</w:t>
            </w:r>
            <w:r w:rsidR="00CB0B63">
              <w:t>6</w:t>
            </w:r>
            <w:r>
              <w:t>/</w:t>
            </w:r>
            <w:r w:rsidR="007D70C8">
              <w:t>1</w:t>
            </w:r>
            <w:r w:rsidR="00416BBB">
              <w:t>4</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5B10BA" w:rsidP="00CD4281">
            <w:pPr>
              <w:spacing w:line="240" w:lineRule="exact"/>
            </w:pPr>
            <w:r>
              <w:t>23</w:t>
            </w:r>
            <w:r w:rsidR="00426657">
              <w:t xml:space="preserve"> </w:t>
            </w:r>
            <w:r w:rsidR="00497E7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416BBB" w:rsidRPr="00416BBB" w:rsidRDefault="00C26F66" w:rsidP="005B6C61">
      <w:pPr>
        <w:pStyle w:val="HChG"/>
        <w:rPr>
          <w:lang w:val="fr-FR"/>
        </w:rPr>
      </w:pPr>
      <w:r>
        <w:rPr>
          <w:snapToGrid w:val="0"/>
          <w:lang w:val="fr-FR" w:eastAsia="fr-FR"/>
        </w:rPr>
        <w:tab/>
      </w:r>
      <w:r>
        <w:rPr>
          <w:snapToGrid w:val="0"/>
          <w:lang w:val="fr-FR" w:eastAsia="fr-FR"/>
        </w:rPr>
        <w:tab/>
      </w:r>
      <w:r w:rsidR="00416BBB" w:rsidRPr="00416BBB">
        <w:rPr>
          <w:lang w:val="fr-FR" w:eastAsia="fr-FR"/>
        </w:rPr>
        <w:t xml:space="preserve">7.2.4.9 </w:t>
      </w:r>
      <w:r w:rsidR="00416BBB">
        <w:rPr>
          <w:lang w:val="fr-FR" w:eastAsia="fr-FR"/>
        </w:rPr>
        <w:t>de l'</w:t>
      </w:r>
      <w:r w:rsidR="00416BBB" w:rsidRPr="00416BBB">
        <w:rPr>
          <w:lang w:val="fr-FR" w:eastAsia="fr-FR"/>
        </w:rPr>
        <w:t>ADN - Transbordement</w:t>
      </w:r>
    </w:p>
    <w:p w:rsidR="00416BBB" w:rsidRPr="005B6C61" w:rsidRDefault="00416BBB" w:rsidP="005B6C61">
      <w:pPr>
        <w:pStyle w:val="H1G"/>
        <w:rPr>
          <w:lang w:val="fr-FR"/>
        </w:rPr>
      </w:pPr>
      <w:r w:rsidRPr="00416BBB">
        <w:rPr>
          <w:lang w:val="fr-FR"/>
        </w:rPr>
        <w:tab/>
      </w:r>
      <w:r w:rsidRPr="00416BBB">
        <w:rPr>
          <w:lang w:val="fr-FR"/>
        </w:rPr>
        <w:tab/>
      </w:r>
      <w:r w:rsidRPr="00416BBB">
        <w:rPr>
          <w:lang w:val="fr-FR" w:bidi="fr-FR"/>
        </w:rPr>
        <w:t>Communication du Gouvernement de l'</w:t>
      </w:r>
      <w:r>
        <w:rPr>
          <w:lang w:val="fr-FR" w:bidi="fr-FR"/>
        </w:rPr>
        <w:t>Allemagne</w:t>
      </w:r>
      <w:r w:rsidRPr="00416BBB">
        <w:rPr>
          <w:snapToGrid w:val="0"/>
          <w:szCs w:val="24"/>
          <w:vertAlign w:val="superscript"/>
          <w:lang w:val="fr-FR" w:eastAsia="fr-FR"/>
        </w:rPr>
        <w:footnoteReference w:id="2"/>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953"/>
      </w:tblGrid>
      <w:tr w:rsidR="00416BBB" w:rsidRPr="00416BBB" w:rsidTr="00B76D43">
        <w:trPr>
          <w:jc w:val="center"/>
        </w:trPr>
        <w:tc>
          <w:tcPr>
            <w:tcW w:w="2552" w:type="dxa"/>
          </w:tcPr>
          <w:p w:rsidR="00416BBB" w:rsidRPr="00416BBB" w:rsidRDefault="00416BBB" w:rsidP="00416BBB">
            <w:pPr>
              <w:tabs>
                <w:tab w:val="left" w:pos="284"/>
              </w:tabs>
              <w:spacing w:before="120" w:after="120"/>
              <w:rPr>
                <w:lang w:val="de-DE"/>
              </w:rPr>
            </w:pPr>
            <w:r w:rsidRPr="00416BBB">
              <w:rPr>
                <w:i/>
                <w:sz w:val="24"/>
                <w:lang w:val="de-DE"/>
              </w:rPr>
              <w:t>Résumé</w:t>
            </w:r>
          </w:p>
        </w:tc>
        <w:tc>
          <w:tcPr>
            <w:tcW w:w="5953" w:type="dxa"/>
          </w:tcPr>
          <w:p w:rsidR="00416BBB" w:rsidRPr="00416BBB" w:rsidRDefault="00416BBB" w:rsidP="00416BBB">
            <w:pPr>
              <w:spacing w:before="120" w:after="120"/>
              <w:rPr>
                <w:lang w:val="de-DE"/>
              </w:rPr>
            </w:pPr>
          </w:p>
        </w:tc>
      </w:tr>
      <w:tr w:rsidR="00416BBB" w:rsidRPr="00416BBB" w:rsidTr="00B76D43">
        <w:trPr>
          <w:jc w:val="center"/>
        </w:trPr>
        <w:tc>
          <w:tcPr>
            <w:tcW w:w="2552" w:type="dxa"/>
          </w:tcPr>
          <w:p w:rsidR="00416BBB" w:rsidRPr="00416BBB" w:rsidRDefault="00416BBB" w:rsidP="00416BBB">
            <w:pPr>
              <w:tabs>
                <w:tab w:val="left" w:pos="284"/>
              </w:tabs>
              <w:spacing w:before="120" w:after="120"/>
              <w:rPr>
                <w:lang w:val="de-DE"/>
              </w:rPr>
            </w:pPr>
            <w:r w:rsidRPr="00416BBB">
              <w:rPr>
                <w:b/>
                <w:lang w:val="de-DE"/>
              </w:rPr>
              <w:t>Résumé analytique :</w:t>
            </w:r>
          </w:p>
        </w:tc>
        <w:tc>
          <w:tcPr>
            <w:tcW w:w="5953" w:type="dxa"/>
          </w:tcPr>
          <w:p w:rsidR="00416BBB" w:rsidRPr="00416BBB" w:rsidRDefault="00416BBB" w:rsidP="00416BBB">
            <w:pPr>
              <w:widowControl w:val="0"/>
              <w:suppressAutoHyphens w:val="0"/>
              <w:overflowPunct w:val="0"/>
              <w:autoSpaceDE w:val="0"/>
              <w:autoSpaceDN w:val="0"/>
              <w:adjustRightInd w:val="0"/>
              <w:spacing w:before="120" w:after="120" w:line="240" w:lineRule="auto"/>
              <w:ind w:left="11"/>
              <w:jc w:val="both"/>
              <w:textAlignment w:val="baseline"/>
              <w:rPr>
                <w:rFonts w:cs="Arial"/>
                <w:lang w:val="fr-FR" w:eastAsia="fr-FR"/>
              </w:rPr>
            </w:pPr>
            <w:r w:rsidRPr="00416BBB">
              <w:rPr>
                <w:rFonts w:cs="Arial"/>
                <w:lang w:val="fr-FR" w:eastAsia="fr-FR"/>
              </w:rPr>
              <w:t xml:space="preserve">Tandis que le 7.1.4.9 </w:t>
            </w:r>
            <w:r w:rsidRPr="00C7089E">
              <w:rPr>
                <w:rFonts w:cs="Arial"/>
                <w:lang w:val="fr-FR" w:eastAsia="fr-FR"/>
              </w:rPr>
              <w:t>de l'</w:t>
            </w:r>
            <w:r w:rsidRPr="00416BBB">
              <w:rPr>
                <w:rFonts w:cs="Arial"/>
                <w:lang w:val="fr-FR" w:eastAsia="fr-FR"/>
              </w:rPr>
              <w:t>ADN évoque, concernant les bateaux à carga</w:t>
            </w:r>
            <w:r w:rsidR="005B6C61">
              <w:rPr>
                <w:rFonts w:cs="Arial"/>
                <w:lang w:val="fr-FR" w:eastAsia="fr-FR"/>
              </w:rPr>
              <w:t>ison sèche, un transbordement «sur un autre bateau</w:t>
            </w:r>
            <w:r w:rsidRPr="00416BBB">
              <w:rPr>
                <w:rFonts w:cs="Arial"/>
                <w:lang w:val="fr-FR" w:eastAsia="fr-FR"/>
              </w:rPr>
              <w:t xml:space="preserve">», cette concrétisation est absente dans le 7.2.4.9 </w:t>
            </w:r>
            <w:r w:rsidRPr="00C7089E">
              <w:rPr>
                <w:rFonts w:cs="Arial"/>
                <w:lang w:val="fr-FR" w:eastAsia="fr-FR"/>
              </w:rPr>
              <w:t>de l'</w:t>
            </w:r>
            <w:r w:rsidRPr="00416BBB">
              <w:rPr>
                <w:rFonts w:cs="Arial"/>
                <w:lang w:val="fr-FR" w:eastAsia="fr-FR"/>
              </w:rPr>
              <w:t>ADN pour les bateaux-citernes.</w:t>
            </w:r>
          </w:p>
          <w:p w:rsidR="00416BBB" w:rsidRPr="00416BBB" w:rsidRDefault="00416BBB" w:rsidP="00C7089E">
            <w:pPr>
              <w:spacing w:before="120" w:after="120"/>
              <w:rPr>
                <w:lang w:val="fr-FR"/>
              </w:rPr>
            </w:pPr>
            <w:r w:rsidRPr="00416BBB">
              <w:rPr>
                <w:lang w:val="fr-FR"/>
              </w:rPr>
              <w:t xml:space="preserve">Suite à la discussion lors de la 26ème session du Comité de sécurité </w:t>
            </w:r>
            <w:r w:rsidRPr="00C7089E">
              <w:rPr>
                <w:lang w:val="fr-FR"/>
              </w:rPr>
              <w:t>de l'</w:t>
            </w:r>
            <w:r w:rsidRPr="00416BBB">
              <w:rPr>
                <w:lang w:val="fr-FR"/>
              </w:rPr>
              <w:t>ADN, il faut également présumer dans le 7.2.4.9 le transbordement d’un bateau sur un autre bateau</w:t>
            </w:r>
            <w:r w:rsidRPr="00416BBB">
              <w:rPr>
                <w:sz w:val="22"/>
                <w:lang w:val="fr-FR"/>
              </w:rPr>
              <w:t>.</w:t>
            </w:r>
          </w:p>
        </w:tc>
      </w:tr>
      <w:tr w:rsidR="00416BBB" w:rsidRPr="00416BBB" w:rsidTr="00B76D43">
        <w:trPr>
          <w:jc w:val="center"/>
        </w:trPr>
        <w:tc>
          <w:tcPr>
            <w:tcW w:w="2552" w:type="dxa"/>
          </w:tcPr>
          <w:p w:rsidR="00416BBB" w:rsidRPr="00416BBB" w:rsidRDefault="00416BBB" w:rsidP="00416BBB">
            <w:pPr>
              <w:tabs>
                <w:tab w:val="left" w:pos="284"/>
              </w:tabs>
              <w:spacing w:before="120" w:after="120"/>
              <w:rPr>
                <w:b/>
                <w:lang w:val="fr-FR"/>
              </w:rPr>
            </w:pPr>
            <w:r w:rsidRPr="00416BBB">
              <w:rPr>
                <w:b/>
                <w:lang w:val="fr-FR"/>
              </w:rPr>
              <w:t>Mesures à prendre :</w:t>
            </w:r>
          </w:p>
        </w:tc>
        <w:tc>
          <w:tcPr>
            <w:tcW w:w="5953" w:type="dxa"/>
          </w:tcPr>
          <w:p w:rsidR="00416BBB" w:rsidRPr="00416BBB" w:rsidRDefault="00416BBB" w:rsidP="00416BBB">
            <w:pPr>
              <w:spacing w:before="120" w:after="120"/>
              <w:rPr>
                <w:lang w:val="fr-FR"/>
              </w:rPr>
            </w:pPr>
            <w:r w:rsidRPr="00416BBB">
              <w:rPr>
                <w:rFonts w:cs="Arial"/>
                <w:lang w:val="fr-FR" w:eastAsia="fr-FR"/>
              </w:rPr>
              <w:t xml:space="preserve">Modification du 7.2.4.9 </w:t>
            </w:r>
            <w:r w:rsidR="00C7089E" w:rsidRPr="00C7089E">
              <w:rPr>
                <w:rFonts w:cs="Arial"/>
                <w:lang w:val="fr-FR" w:eastAsia="fr-FR"/>
              </w:rPr>
              <w:t>de l'</w:t>
            </w:r>
            <w:r w:rsidRPr="00416BBB">
              <w:rPr>
                <w:rFonts w:cs="Arial"/>
                <w:lang w:val="fr-FR" w:eastAsia="fr-FR"/>
              </w:rPr>
              <w:t>ADN.</w:t>
            </w:r>
          </w:p>
        </w:tc>
      </w:tr>
      <w:tr w:rsidR="00416BBB" w:rsidRPr="00416BBB" w:rsidTr="00B76D43">
        <w:trPr>
          <w:jc w:val="center"/>
        </w:trPr>
        <w:tc>
          <w:tcPr>
            <w:tcW w:w="2552" w:type="dxa"/>
          </w:tcPr>
          <w:p w:rsidR="00416BBB" w:rsidRPr="00416BBB" w:rsidRDefault="00416BBB" w:rsidP="00416BBB">
            <w:pPr>
              <w:tabs>
                <w:tab w:val="left" w:pos="284"/>
              </w:tabs>
              <w:spacing w:before="120" w:after="120"/>
              <w:rPr>
                <w:b/>
                <w:lang w:val="de-DE"/>
              </w:rPr>
            </w:pPr>
            <w:r w:rsidRPr="00416BBB">
              <w:rPr>
                <w:b/>
                <w:snapToGrid w:val="0"/>
                <w:lang w:val="fr-FR" w:eastAsia="fr-FR"/>
              </w:rPr>
              <w:t>Documents connexes :</w:t>
            </w:r>
          </w:p>
        </w:tc>
        <w:tc>
          <w:tcPr>
            <w:tcW w:w="5953" w:type="dxa"/>
          </w:tcPr>
          <w:p w:rsidR="00416BBB" w:rsidRPr="00416BBB" w:rsidRDefault="00416BBB" w:rsidP="00C7089E">
            <w:pPr>
              <w:widowControl w:val="0"/>
              <w:suppressAutoHyphens w:val="0"/>
              <w:overflowPunct w:val="0"/>
              <w:autoSpaceDE w:val="0"/>
              <w:autoSpaceDN w:val="0"/>
              <w:adjustRightInd w:val="0"/>
              <w:spacing w:before="120" w:after="120" w:line="240" w:lineRule="auto"/>
              <w:textAlignment w:val="baseline"/>
              <w:rPr>
                <w:lang w:val="fr-FR"/>
              </w:rPr>
            </w:pPr>
            <w:r w:rsidRPr="00416BBB">
              <w:rPr>
                <w:rFonts w:cs="Arial"/>
                <w:lang w:val="fr-FR" w:eastAsia="fr-FR"/>
              </w:rPr>
              <w:t>INF.15 (Allemagne) pour la 26èm</w:t>
            </w:r>
            <w:r w:rsidR="00C7089E">
              <w:rPr>
                <w:rFonts w:cs="Arial"/>
                <w:lang w:val="fr-FR" w:eastAsia="fr-FR"/>
              </w:rPr>
              <w:t>e session du Comité de sécurité</w:t>
            </w:r>
            <w:r w:rsidRPr="00416BBB">
              <w:rPr>
                <w:rFonts w:cs="Arial"/>
                <w:lang w:val="fr-FR" w:eastAsia="fr-FR"/>
              </w:rPr>
              <w:br/>
              <w:t xml:space="preserve">Rapport </w:t>
            </w:r>
            <w:r w:rsidR="00C7089E" w:rsidRPr="00C7089E">
              <w:rPr>
                <w:rFonts w:cs="Arial"/>
                <w:lang w:val="fr-FR" w:eastAsia="fr-FR"/>
              </w:rPr>
              <w:t>ECE/TRANS/WP.15/AC.2</w:t>
            </w:r>
            <w:r w:rsidRPr="00416BBB">
              <w:rPr>
                <w:rFonts w:cs="Arial"/>
                <w:lang w:val="fr-FR" w:eastAsia="fr-FR"/>
              </w:rPr>
              <w:t>/54, p</w:t>
            </w:r>
            <w:r w:rsidR="00C7089E" w:rsidRPr="00C7089E">
              <w:rPr>
                <w:rFonts w:cs="Arial"/>
                <w:lang w:val="fr-FR" w:eastAsia="fr-FR"/>
              </w:rPr>
              <w:t>ara</w:t>
            </w:r>
            <w:r w:rsidRPr="00416BBB">
              <w:rPr>
                <w:rFonts w:cs="Arial"/>
                <w:lang w:val="fr-FR" w:eastAsia="fr-FR"/>
              </w:rPr>
              <w:t>s</w:t>
            </w:r>
            <w:r w:rsidR="00C7089E" w:rsidRPr="00C7089E">
              <w:rPr>
                <w:rFonts w:cs="Arial"/>
                <w:lang w:val="fr-FR" w:eastAsia="fr-FR"/>
              </w:rPr>
              <w:t>.</w:t>
            </w:r>
            <w:r w:rsidRPr="00416BBB">
              <w:rPr>
                <w:rFonts w:cs="Arial"/>
                <w:lang w:val="fr-FR" w:eastAsia="fr-FR"/>
              </w:rPr>
              <w:t xml:space="preserve"> 15 et 16.</w:t>
            </w:r>
          </w:p>
        </w:tc>
      </w:tr>
    </w:tbl>
    <w:p w:rsidR="00416BBB" w:rsidRPr="00416BBB" w:rsidRDefault="00C7089E" w:rsidP="005B6C61">
      <w:pPr>
        <w:pStyle w:val="HChG"/>
        <w:rPr>
          <w:lang w:val="fr-FR" w:eastAsia="fr-FR"/>
        </w:rPr>
      </w:pPr>
      <w:r>
        <w:rPr>
          <w:lang w:val="fr-FR" w:eastAsia="fr-FR"/>
        </w:rPr>
        <w:lastRenderedPageBreak/>
        <w:tab/>
      </w:r>
      <w:r>
        <w:rPr>
          <w:lang w:val="fr-FR" w:eastAsia="fr-FR"/>
        </w:rPr>
        <w:tab/>
      </w:r>
      <w:r w:rsidR="00416BBB" w:rsidRPr="005B6C61">
        <w:t>Introducti</w:t>
      </w:r>
      <w:bookmarkStart w:id="0" w:name="_GoBack"/>
      <w:bookmarkEnd w:id="0"/>
      <w:r w:rsidR="00416BBB" w:rsidRPr="005B6C61">
        <w:t>on</w:t>
      </w:r>
    </w:p>
    <w:p w:rsidR="00416BBB" w:rsidRPr="00416BBB" w:rsidRDefault="00416BBB" w:rsidP="005B6C61">
      <w:pPr>
        <w:pStyle w:val="SingleTxtG"/>
        <w:rPr>
          <w:lang w:val="fr-FR" w:eastAsia="fr-FR"/>
        </w:rPr>
      </w:pPr>
      <w:r w:rsidRPr="00416BBB">
        <w:rPr>
          <w:lang w:val="fr-FR" w:eastAsia="fr-FR"/>
        </w:rPr>
        <w:t>1.</w:t>
      </w:r>
      <w:r w:rsidRPr="00416BBB">
        <w:rPr>
          <w:lang w:val="fr-FR" w:eastAsia="fr-FR"/>
        </w:rPr>
        <w:tab/>
        <w:t xml:space="preserve">Les 7.1.4.9 et 7.2.4.9 </w:t>
      </w:r>
      <w:r w:rsidR="00C7089E">
        <w:rPr>
          <w:lang w:val="fr-FR" w:eastAsia="fr-FR"/>
        </w:rPr>
        <w:t>de l'</w:t>
      </w:r>
      <w:r w:rsidRPr="00416BBB">
        <w:rPr>
          <w:lang w:val="fr-FR" w:eastAsia="fr-FR"/>
        </w:rPr>
        <w:t xml:space="preserve">ADN concernent le transbordement de la cargaison respectivement pour les bateaux à cargaison </w:t>
      </w:r>
      <w:r w:rsidRPr="005B6C61">
        <w:t>sèche</w:t>
      </w:r>
      <w:r w:rsidRPr="00416BBB">
        <w:rPr>
          <w:lang w:val="fr-FR" w:eastAsia="fr-FR"/>
        </w:rPr>
        <w:t xml:space="preserve"> et pour les bateaux-citernes. Tandis que le 7.1.4.9 évoque expressément un transbordement </w:t>
      </w:r>
      <w:r w:rsidRPr="00416BBB">
        <w:rPr>
          <w:b/>
          <w:lang w:val="fr-FR" w:eastAsia="fr-FR"/>
        </w:rPr>
        <w:t>sur un autre bateau</w:t>
      </w:r>
      <w:r w:rsidRPr="00416BBB">
        <w:rPr>
          <w:lang w:val="fr-FR" w:eastAsia="fr-FR"/>
        </w:rPr>
        <w:t xml:space="preserve">, cette indication est absente dans le </w:t>
      </w:r>
      <w:r w:rsidR="00C7089E">
        <w:rPr>
          <w:lang w:val="fr-FR" w:eastAsia="fr-FR"/>
        </w:rPr>
        <w:t>7.2.4.9</w:t>
      </w:r>
      <w:r w:rsidRPr="00416BBB">
        <w:rPr>
          <w:lang w:val="fr-FR" w:eastAsia="fr-FR"/>
        </w:rPr>
        <w:t>.</w:t>
      </w:r>
    </w:p>
    <w:p w:rsidR="00416BBB" w:rsidRPr="00416BBB" w:rsidRDefault="00416BBB" w:rsidP="005B6C61">
      <w:pPr>
        <w:pStyle w:val="SingleTxtG"/>
        <w:rPr>
          <w:lang w:val="fr-FR" w:eastAsia="fr-FR"/>
        </w:rPr>
      </w:pPr>
      <w:r w:rsidRPr="00416BBB">
        <w:rPr>
          <w:lang w:val="fr-FR" w:eastAsia="fr-FR"/>
        </w:rPr>
        <w:t>2.</w:t>
      </w:r>
      <w:r w:rsidRPr="00416BBB">
        <w:rPr>
          <w:lang w:val="fr-FR" w:eastAsia="fr-FR"/>
        </w:rPr>
        <w:tab/>
        <w:t xml:space="preserve">Cette différence avait prêté à confusion lors de la mise en œuvre, quant à </w:t>
      </w:r>
      <w:r w:rsidR="00C7089E">
        <w:rPr>
          <w:lang w:val="fr-FR" w:eastAsia="fr-FR"/>
        </w:rPr>
        <w:t>savoir si, selon le 7.2.4.9</w:t>
      </w:r>
      <w:r w:rsidRPr="00416BBB">
        <w:rPr>
          <w:lang w:val="fr-FR" w:eastAsia="fr-FR"/>
        </w:rPr>
        <w:t xml:space="preserve">, le transbordement d’un bateau dans un camion-citerne par </w:t>
      </w:r>
      <w:r w:rsidRPr="005B6C61">
        <w:t>exemple</w:t>
      </w:r>
      <w:r w:rsidRPr="00416BBB">
        <w:rPr>
          <w:lang w:val="fr-FR" w:eastAsia="fr-FR"/>
        </w:rPr>
        <w:t xml:space="preserve"> pourrait également être soumis à autorisation. La délégation allemande avait explicité la question et son interprétation par son document INF.15 lors de la 26ème session du Comité de sécurité ADN, par une confrontation des différentes versions linguistiques de l’ADN.</w:t>
      </w:r>
    </w:p>
    <w:p w:rsidR="00416BBB" w:rsidRPr="00416BBB" w:rsidRDefault="00416BBB" w:rsidP="005B6C61">
      <w:pPr>
        <w:pStyle w:val="SingleTxtG"/>
        <w:rPr>
          <w:lang w:val="fr-FR" w:eastAsia="fr-FR"/>
        </w:rPr>
      </w:pPr>
      <w:r w:rsidRPr="00416BBB">
        <w:rPr>
          <w:lang w:val="fr-FR" w:eastAsia="fr-FR"/>
        </w:rPr>
        <w:t>3.</w:t>
      </w:r>
      <w:r w:rsidRPr="00416BBB">
        <w:rPr>
          <w:lang w:val="fr-FR" w:eastAsia="fr-FR"/>
        </w:rPr>
        <w:tab/>
        <w:t xml:space="preserve">La discussion au sein du Comité de sécurité a confirmé l’interprétation selon laquelle le </w:t>
      </w:r>
      <w:r w:rsidR="00C7089E">
        <w:rPr>
          <w:lang w:val="fr-FR" w:eastAsia="fr-FR"/>
        </w:rPr>
        <w:t xml:space="preserve">7.2.4.9 </w:t>
      </w:r>
      <w:r w:rsidRPr="00416BBB">
        <w:rPr>
          <w:lang w:val="fr-FR" w:eastAsia="fr-FR"/>
        </w:rPr>
        <w:t>concerne lui aussi le transbordement d’un bateau-citerne dans un autre bateau-citerne.</w:t>
      </w:r>
    </w:p>
    <w:p w:rsidR="00416BBB" w:rsidRPr="00416BBB" w:rsidRDefault="00C7089E" w:rsidP="005B6C61">
      <w:pPr>
        <w:pStyle w:val="HChG"/>
        <w:rPr>
          <w:lang w:val="fr-FR" w:eastAsia="fr-FR"/>
        </w:rPr>
      </w:pPr>
      <w:r>
        <w:rPr>
          <w:lang w:val="fr-FR" w:eastAsia="fr-FR"/>
        </w:rPr>
        <w:tab/>
      </w:r>
      <w:r>
        <w:rPr>
          <w:lang w:val="fr-FR" w:eastAsia="fr-FR"/>
        </w:rPr>
        <w:tab/>
      </w:r>
      <w:r w:rsidR="00416BBB" w:rsidRPr="005B6C61">
        <w:t>Demande</w:t>
      </w:r>
    </w:p>
    <w:p w:rsidR="00416BBB" w:rsidRPr="00416BBB" w:rsidRDefault="00416BBB" w:rsidP="005B6C61">
      <w:pPr>
        <w:pStyle w:val="SingleTxtG"/>
        <w:rPr>
          <w:lang w:val="fr-FR" w:eastAsia="fr-FR"/>
        </w:rPr>
      </w:pPr>
      <w:r w:rsidRPr="00416BBB">
        <w:rPr>
          <w:lang w:val="fr-FR" w:eastAsia="fr-FR"/>
        </w:rPr>
        <w:t>4.</w:t>
      </w:r>
      <w:r w:rsidRPr="00416BBB">
        <w:rPr>
          <w:lang w:val="fr-FR" w:eastAsia="fr-FR"/>
        </w:rPr>
        <w:tab/>
        <w:t xml:space="preserve">Modifier comme suit le </w:t>
      </w:r>
      <w:r w:rsidR="00C7089E">
        <w:rPr>
          <w:lang w:val="fr-FR" w:eastAsia="fr-FR"/>
        </w:rPr>
        <w:t>7.2.4.9</w:t>
      </w:r>
      <w:r w:rsidRPr="00416BBB">
        <w:rPr>
          <w:lang w:val="fr-FR" w:eastAsia="fr-FR"/>
        </w:rPr>
        <w:t xml:space="preserve"> (nouveau </w:t>
      </w:r>
      <w:r w:rsidRPr="005B6C61">
        <w:t>texte</w:t>
      </w:r>
      <w:r w:rsidRPr="00416BBB">
        <w:rPr>
          <w:lang w:val="fr-FR" w:eastAsia="fr-FR"/>
        </w:rPr>
        <w:t xml:space="preserve"> </w:t>
      </w:r>
      <w:r w:rsidRPr="00416BBB">
        <w:rPr>
          <w:u w:val="single"/>
          <w:lang w:val="fr-FR" w:eastAsia="fr-FR"/>
        </w:rPr>
        <w:t>souligné</w:t>
      </w:r>
      <w:r w:rsidRPr="00416BBB">
        <w:rPr>
          <w:lang w:val="fr-FR" w:eastAsia="fr-FR"/>
        </w:rPr>
        <w:t>) :</w:t>
      </w:r>
    </w:p>
    <w:p w:rsidR="00416BBB" w:rsidRPr="00416BBB" w:rsidRDefault="00416BBB" w:rsidP="00416BBB">
      <w:pPr>
        <w:pStyle w:val="SingleTxtG"/>
        <w:rPr>
          <w:lang w:val="fr-FR" w:eastAsia="fr-FR"/>
        </w:rPr>
      </w:pPr>
      <w:r w:rsidRPr="00416BBB">
        <w:rPr>
          <w:lang w:val="fr-FR" w:eastAsia="fr-FR"/>
        </w:rPr>
        <w:t xml:space="preserve">« Le transbordement partiel ou complet de la cargaison </w:t>
      </w:r>
      <w:r w:rsidRPr="00416BBB">
        <w:rPr>
          <w:u w:val="single"/>
          <w:lang w:val="fr-FR" w:eastAsia="fr-FR"/>
        </w:rPr>
        <w:t>sur un autre bateau</w:t>
      </w:r>
      <w:r w:rsidRPr="00416BBB">
        <w:rPr>
          <w:lang w:val="fr-FR" w:eastAsia="fr-FR"/>
        </w:rPr>
        <w:t xml:space="preserve"> est interdit sans l'accord de l'autorité compétente ailleurs que sur les lieux de transbordement agréés à cette fin. »</w:t>
      </w:r>
    </w:p>
    <w:p w:rsidR="00416BBB" w:rsidRPr="00416BBB" w:rsidRDefault="00C7089E" w:rsidP="005B6C61">
      <w:pPr>
        <w:pStyle w:val="HChG"/>
        <w:rPr>
          <w:lang w:val="fr-FR" w:eastAsia="fr-FR"/>
        </w:rPr>
      </w:pPr>
      <w:r>
        <w:rPr>
          <w:lang w:val="fr-FR" w:eastAsia="fr-FR"/>
        </w:rPr>
        <w:tab/>
      </w:r>
      <w:r>
        <w:rPr>
          <w:lang w:val="fr-FR" w:eastAsia="fr-FR"/>
        </w:rPr>
        <w:tab/>
      </w:r>
      <w:r w:rsidR="00416BBB" w:rsidRPr="005B6C61">
        <w:t>Motif</w:t>
      </w:r>
    </w:p>
    <w:p w:rsidR="00416BBB" w:rsidRPr="00416BBB" w:rsidRDefault="00416BBB" w:rsidP="005B6C61">
      <w:pPr>
        <w:pStyle w:val="SingleTxtG"/>
        <w:rPr>
          <w:lang w:val="fr-FR" w:eastAsia="fr-FR"/>
        </w:rPr>
      </w:pPr>
      <w:r w:rsidRPr="00416BBB">
        <w:rPr>
          <w:lang w:val="fr-FR" w:eastAsia="fr-FR"/>
        </w:rPr>
        <w:t>5.</w:t>
      </w:r>
      <w:r w:rsidRPr="00416BBB">
        <w:rPr>
          <w:lang w:val="fr-FR" w:eastAsia="fr-FR"/>
        </w:rPr>
        <w:tab/>
        <w:t>Clarification de ce qui est souhaité par l’autorité règlementaire. Le transbordement entre un bateau et un autre moyen de transport (véhicule routier, wagon-citerne) est un chargement ou un déchargement du bateau-citerne.</w:t>
      </w:r>
    </w:p>
    <w:p w:rsidR="00416BBB" w:rsidRPr="00416BBB" w:rsidRDefault="00C7089E" w:rsidP="005B6C61">
      <w:pPr>
        <w:pStyle w:val="HChG"/>
        <w:rPr>
          <w:lang w:val="fr-FR" w:eastAsia="fr-FR"/>
        </w:rPr>
      </w:pPr>
      <w:r>
        <w:rPr>
          <w:lang w:val="fr-FR" w:eastAsia="fr-FR"/>
        </w:rPr>
        <w:tab/>
      </w:r>
      <w:r>
        <w:rPr>
          <w:lang w:val="fr-FR" w:eastAsia="fr-FR"/>
        </w:rPr>
        <w:tab/>
      </w:r>
      <w:r w:rsidR="00416BBB" w:rsidRPr="005B6C61">
        <w:t>Sécurité</w:t>
      </w:r>
    </w:p>
    <w:p w:rsidR="00416BBB" w:rsidRPr="00416BBB" w:rsidRDefault="00416BBB" w:rsidP="00416BBB">
      <w:pPr>
        <w:pStyle w:val="SingleTxtG"/>
        <w:rPr>
          <w:lang w:val="fr-FR" w:eastAsia="fr-FR"/>
        </w:rPr>
      </w:pPr>
      <w:r w:rsidRPr="00416BBB">
        <w:rPr>
          <w:lang w:val="fr-FR" w:eastAsia="fr-FR"/>
        </w:rPr>
        <w:t>6.</w:t>
      </w:r>
      <w:r w:rsidRPr="00416BBB">
        <w:rPr>
          <w:lang w:val="fr-FR" w:eastAsia="fr-FR"/>
        </w:rPr>
        <w:tab/>
        <w:t>La sécurité n’est pas compromise. Dans le cadre de l’autorisation, l’autorité compétente peut, au cas par cas, imposer les exigences nécessaires.</w:t>
      </w:r>
    </w:p>
    <w:p w:rsidR="00416BBB" w:rsidRPr="00416BBB" w:rsidRDefault="00C7089E" w:rsidP="00C7089E">
      <w:pPr>
        <w:pStyle w:val="HChG"/>
        <w:rPr>
          <w:lang w:val="fr-FR" w:eastAsia="fr-FR"/>
        </w:rPr>
      </w:pPr>
      <w:r>
        <w:rPr>
          <w:lang w:val="fr-FR" w:eastAsia="fr-FR"/>
        </w:rPr>
        <w:tab/>
      </w:r>
      <w:r>
        <w:rPr>
          <w:lang w:val="fr-FR" w:eastAsia="fr-FR"/>
        </w:rPr>
        <w:tab/>
      </w:r>
      <w:r w:rsidR="00416BBB" w:rsidRPr="00416BBB">
        <w:rPr>
          <w:lang w:val="fr-FR" w:eastAsia="fr-FR"/>
        </w:rPr>
        <w:t>Mise en œuvre</w:t>
      </w:r>
    </w:p>
    <w:p w:rsidR="000E10DA" w:rsidRPr="000E10DA" w:rsidRDefault="00416BBB" w:rsidP="00416BBB">
      <w:pPr>
        <w:pStyle w:val="SingleTxtG"/>
        <w:rPr>
          <w:i/>
          <w:lang w:val="de-DE" w:eastAsia="de-DE" w:bidi="fr-FR"/>
        </w:rPr>
      </w:pPr>
      <w:r w:rsidRPr="00416BBB">
        <w:rPr>
          <w:lang w:val="fr-FR" w:eastAsia="fr-FR"/>
        </w:rPr>
        <w:t>7.</w:t>
      </w:r>
      <w:r w:rsidRPr="00416BBB">
        <w:rPr>
          <w:lang w:val="fr-FR" w:eastAsia="fr-FR"/>
        </w:rPr>
        <w:tab/>
        <w:t>On ne s’attend pas à des problèmes de mise en œuvre. Le transbordement de bateau à bateau s’effectue déjà aujourd’hui uniquement avec une autorisation administrative.</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40C" w:rsidRDefault="0056440C"/>
  </w:endnote>
  <w:endnote w:type="continuationSeparator" w:id="0">
    <w:p w:rsidR="0056440C" w:rsidRDefault="0056440C"/>
  </w:endnote>
  <w:endnote w:type="continuationNotice" w:id="1">
    <w:p w:rsidR="0056440C" w:rsidRPr="00BF38EF" w:rsidRDefault="0056440C"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27723">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C7089E">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40C" w:rsidRPr="00D27D5E" w:rsidRDefault="0056440C" w:rsidP="00D27D5E">
      <w:pPr>
        <w:tabs>
          <w:tab w:val="right" w:pos="2155"/>
        </w:tabs>
        <w:spacing w:after="80"/>
        <w:ind w:left="680"/>
        <w:rPr>
          <w:u w:val="single"/>
        </w:rPr>
      </w:pPr>
      <w:r>
        <w:rPr>
          <w:u w:val="single"/>
        </w:rPr>
        <w:tab/>
      </w:r>
    </w:p>
  </w:footnote>
  <w:footnote w:type="continuationSeparator" w:id="0">
    <w:p w:rsidR="0056440C" w:rsidRPr="00836A24" w:rsidRDefault="0056440C" w:rsidP="00836A24">
      <w:pPr>
        <w:tabs>
          <w:tab w:val="right" w:pos="2155"/>
        </w:tabs>
        <w:spacing w:after="80"/>
        <w:ind w:left="680"/>
        <w:rPr>
          <w:u w:val="single"/>
        </w:rPr>
      </w:pPr>
      <w:r w:rsidRPr="00836A24">
        <w:rPr>
          <w:u w:val="single"/>
        </w:rPr>
        <w:tab/>
      </w:r>
    </w:p>
  </w:footnote>
  <w:footnote w:type="continuationNotice" w:id="1">
    <w:p w:rsidR="0056440C" w:rsidRPr="00BF38EF" w:rsidRDefault="0056440C" w:rsidP="00BF38EF">
      <w:pPr>
        <w:spacing w:line="240" w:lineRule="auto"/>
        <w:rPr>
          <w:sz w:val="2"/>
          <w:szCs w:val="2"/>
        </w:rPr>
      </w:pPr>
    </w:p>
  </w:footnote>
  <w:footnote w:id="2">
    <w:p w:rsidR="00416BBB" w:rsidRPr="00EE6A73" w:rsidRDefault="00416BBB" w:rsidP="00416BBB">
      <w:pPr>
        <w:pStyle w:val="FootnoteText"/>
        <w:rPr>
          <w:sz w:val="16"/>
          <w:szCs w:val="24"/>
          <w:lang w:val="fr-FR"/>
        </w:rPr>
      </w:pPr>
      <w:r w:rsidRPr="00EE6A73">
        <w:rPr>
          <w:sz w:val="16"/>
          <w:szCs w:val="24"/>
          <w:lang w:val="fr-FR"/>
        </w:rPr>
        <w:tab/>
      </w:r>
      <w:r w:rsidRPr="00EE6A73">
        <w:rPr>
          <w:rStyle w:val="FootnoteReference"/>
          <w:sz w:val="16"/>
          <w:szCs w:val="24"/>
          <w:lang w:val="de-DE"/>
        </w:rPr>
        <w:footnoteRef/>
      </w:r>
      <w:r w:rsidRPr="00EE6A73">
        <w:rPr>
          <w:sz w:val="16"/>
          <w:szCs w:val="24"/>
          <w:lang w:val="fr-FR"/>
        </w:rPr>
        <w:tab/>
      </w:r>
      <w:r w:rsidRPr="00EE6A73">
        <w:rPr>
          <w:lang w:val="fr-FR"/>
        </w:rPr>
        <w:t>Texte diffusé en langue allemande par la Commission centrale pour la navigation du Rhin sous la cote CCNR/ZKR/ADN/WP.15/AC.2/2016/</w:t>
      </w:r>
      <w:r w:rsidR="00C7089E">
        <w:rPr>
          <w:lang w:val="fr-FR"/>
        </w:rPr>
        <w:t>14</w:t>
      </w:r>
      <w:r w:rsidRPr="00EE6A73">
        <w:rPr>
          <w:noProof/>
          <w:sz w:val="16"/>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7D70C8">
      <w:t>1</w:t>
    </w:r>
    <w:r w:rsidR="00416BBB">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75AF8"/>
    <w:rsid w:val="00090A5D"/>
    <w:rsid w:val="000A0D7D"/>
    <w:rsid w:val="000A55CE"/>
    <w:rsid w:val="000B0D4D"/>
    <w:rsid w:val="000B60CE"/>
    <w:rsid w:val="000D17BF"/>
    <w:rsid w:val="000E10DA"/>
    <w:rsid w:val="000F41F2"/>
    <w:rsid w:val="00103471"/>
    <w:rsid w:val="00111648"/>
    <w:rsid w:val="00114D3F"/>
    <w:rsid w:val="001260A6"/>
    <w:rsid w:val="00133F18"/>
    <w:rsid w:val="00135C0D"/>
    <w:rsid w:val="001542D1"/>
    <w:rsid w:val="00160540"/>
    <w:rsid w:val="001636E0"/>
    <w:rsid w:val="001701DC"/>
    <w:rsid w:val="0017182C"/>
    <w:rsid w:val="0017360A"/>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43103"/>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16BBB"/>
    <w:rsid w:val="0042377E"/>
    <w:rsid w:val="004249E7"/>
    <w:rsid w:val="00426657"/>
    <w:rsid w:val="00427723"/>
    <w:rsid w:val="0043292F"/>
    <w:rsid w:val="00442D65"/>
    <w:rsid w:val="004532CE"/>
    <w:rsid w:val="00460C54"/>
    <w:rsid w:val="004812F5"/>
    <w:rsid w:val="004856F9"/>
    <w:rsid w:val="00493C5D"/>
    <w:rsid w:val="004958E9"/>
    <w:rsid w:val="00497E7A"/>
    <w:rsid w:val="004A5935"/>
    <w:rsid w:val="004D0439"/>
    <w:rsid w:val="004E6373"/>
    <w:rsid w:val="00523538"/>
    <w:rsid w:val="00530F2E"/>
    <w:rsid w:val="00543D5E"/>
    <w:rsid w:val="0056440C"/>
    <w:rsid w:val="00571F41"/>
    <w:rsid w:val="00580744"/>
    <w:rsid w:val="00580EEC"/>
    <w:rsid w:val="00595BE4"/>
    <w:rsid w:val="005A20B5"/>
    <w:rsid w:val="005A69D3"/>
    <w:rsid w:val="005B10BA"/>
    <w:rsid w:val="005B6C61"/>
    <w:rsid w:val="005B76A3"/>
    <w:rsid w:val="005E0BAE"/>
    <w:rsid w:val="005E5D1F"/>
    <w:rsid w:val="00602512"/>
    <w:rsid w:val="00603391"/>
    <w:rsid w:val="00610771"/>
    <w:rsid w:val="00611D43"/>
    <w:rsid w:val="00612D48"/>
    <w:rsid w:val="00616B45"/>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E6519"/>
    <w:rsid w:val="007F55CB"/>
    <w:rsid w:val="00805BAD"/>
    <w:rsid w:val="00812C1A"/>
    <w:rsid w:val="00812C43"/>
    <w:rsid w:val="00830891"/>
    <w:rsid w:val="008317F6"/>
    <w:rsid w:val="00836A24"/>
    <w:rsid w:val="00844750"/>
    <w:rsid w:val="00846C19"/>
    <w:rsid w:val="0086369F"/>
    <w:rsid w:val="008940D7"/>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B7D3D"/>
    <w:rsid w:val="00AC2802"/>
    <w:rsid w:val="00AC67A1"/>
    <w:rsid w:val="00AC7977"/>
    <w:rsid w:val="00AE352C"/>
    <w:rsid w:val="00AF1499"/>
    <w:rsid w:val="00AF4C64"/>
    <w:rsid w:val="00B0221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089E"/>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3AC5"/>
    <w:rsid w:val="00D761E2"/>
    <w:rsid w:val="00D92026"/>
    <w:rsid w:val="00DA4A3C"/>
    <w:rsid w:val="00DA57D4"/>
    <w:rsid w:val="00DB4793"/>
    <w:rsid w:val="00DB6CD1"/>
    <w:rsid w:val="00DC794A"/>
    <w:rsid w:val="00DE01E3"/>
    <w:rsid w:val="00DE45DF"/>
    <w:rsid w:val="00DE56E5"/>
    <w:rsid w:val="00DE6D90"/>
    <w:rsid w:val="00DF002F"/>
    <w:rsid w:val="00E0244D"/>
    <w:rsid w:val="00E0331A"/>
    <w:rsid w:val="00E2484C"/>
    <w:rsid w:val="00E37AE2"/>
    <w:rsid w:val="00E401F2"/>
    <w:rsid w:val="00E413D8"/>
    <w:rsid w:val="00E47862"/>
    <w:rsid w:val="00E50079"/>
    <w:rsid w:val="00E55D71"/>
    <w:rsid w:val="00E56ED3"/>
    <w:rsid w:val="00E75221"/>
    <w:rsid w:val="00E81E94"/>
    <w:rsid w:val="00E82607"/>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EF5EC8A-48B8-4C39-AF2C-100D6A21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E0D3-3FEF-49C8-B100-79F6F67B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2</cp:revision>
  <cp:lastPrinted>2015-04-23T08:25:00Z</cp:lastPrinted>
  <dcterms:created xsi:type="dcterms:W3CDTF">2015-10-23T14:30:00Z</dcterms:created>
  <dcterms:modified xsi:type="dcterms:W3CDTF">2015-10-23T14:30:00Z</dcterms:modified>
</cp:coreProperties>
</file>