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B0A" w:rsidRPr="0088229B" w:rsidRDefault="00185B0A" w:rsidP="00185B0A">
      <w:pPr>
        <w:suppressAutoHyphens w:val="0"/>
        <w:spacing w:line="240" w:lineRule="auto"/>
        <w:ind w:left="5387" w:right="-286"/>
        <w:outlineLvl w:val="0"/>
        <w:rPr>
          <w:rFonts w:ascii="Arial" w:hAnsi="Arial"/>
          <w:snapToGrid w:val="0"/>
          <w:lang w:val="en-US" w:eastAsia="fr-FR" w:bidi="fr-FR"/>
        </w:rPr>
      </w:pPr>
      <w:bookmarkStart w:id="0" w:name="_GoBack"/>
      <w:bookmarkEnd w:id="0"/>
      <w:r w:rsidRPr="0088229B">
        <w:rPr>
          <w:noProof/>
          <w:lang w:eastAsia="en-GB"/>
        </w:rPr>
        <w:drawing>
          <wp:anchor distT="0" distB="0" distL="114300" distR="114300" simplePos="0" relativeHeight="251659264" behindDoc="0" locked="0" layoutInCell="1" allowOverlap="1" wp14:anchorId="5A7BE575" wp14:editId="5E1EB249">
            <wp:simplePos x="0" y="0"/>
            <wp:positionH relativeFrom="column">
              <wp:posOffset>0</wp:posOffset>
            </wp:positionH>
            <wp:positionV relativeFrom="paragraph">
              <wp:posOffset>-68580</wp:posOffset>
            </wp:positionV>
            <wp:extent cx="1713865" cy="604520"/>
            <wp:effectExtent l="0" t="0" r="635" b="5080"/>
            <wp:wrapNone/>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229B">
        <w:rPr>
          <w:rFonts w:ascii="Arial" w:eastAsia="Arial" w:hAnsi="Arial" w:cs="Arial"/>
          <w:bCs/>
          <w:szCs w:val="24"/>
          <w:lang w:val="en-US" w:eastAsia="de-DE"/>
        </w:rPr>
        <w:t>CCNR-ZKR/ADN/WP.15/AC.2/2016/20</w:t>
      </w:r>
    </w:p>
    <w:p w:rsidR="00185B0A" w:rsidRPr="0088229B" w:rsidRDefault="00185B0A" w:rsidP="00185B0A">
      <w:pPr>
        <w:tabs>
          <w:tab w:val="left" w:pos="5670"/>
        </w:tabs>
        <w:suppressAutoHyphens w:val="0"/>
        <w:spacing w:line="240" w:lineRule="auto"/>
        <w:ind w:left="5387"/>
        <w:rPr>
          <w:rFonts w:ascii="Arial" w:hAnsi="Arial" w:cs="Arial"/>
          <w:sz w:val="16"/>
          <w:szCs w:val="24"/>
          <w:lang w:val="de-DE" w:eastAsia="de-DE"/>
        </w:rPr>
      </w:pPr>
      <w:r w:rsidRPr="0088229B">
        <w:rPr>
          <w:rFonts w:ascii="Arial" w:hAnsi="Arial" w:cs="Arial"/>
          <w:sz w:val="16"/>
          <w:szCs w:val="24"/>
          <w:lang w:val="de-DE" w:eastAsia="de-DE"/>
        </w:rPr>
        <w:t>Allgemeine Verteilung</w:t>
      </w:r>
    </w:p>
    <w:p w:rsidR="00185B0A" w:rsidRPr="0088229B" w:rsidRDefault="00185B0A" w:rsidP="00185B0A">
      <w:pPr>
        <w:tabs>
          <w:tab w:val="right" w:pos="3856"/>
          <w:tab w:val="left" w:pos="5670"/>
        </w:tabs>
        <w:suppressAutoHyphens w:val="0"/>
        <w:spacing w:line="240" w:lineRule="auto"/>
        <w:ind w:left="5387"/>
        <w:rPr>
          <w:rFonts w:ascii="Arial" w:eastAsia="Arial" w:hAnsi="Arial" w:cs="Arial"/>
          <w:szCs w:val="24"/>
          <w:lang w:val="de-DE" w:eastAsia="de-DE"/>
        </w:rPr>
      </w:pPr>
      <w:r w:rsidRPr="0088229B">
        <w:rPr>
          <w:rFonts w:ascii="Arial" w:eastAsia="Arial" w:hAnsi="Arial" w:cs="Arial"/>
          <w:szCs w:val="24"/>
          <w:lang w:val="de-DE" w:eastAsia="de-DE"/>
        </w:rPr>
        <w:t>6. November 2015</w:t>
      </w:r>
    </w:p>
    <w:p w:rsidR="00185B0A" w:rsidRPr="0088229B" w:rsidRDefault="00185B0A" w:rsidP="00185B0A">
      <w:pPr>
        <w:tabs>
          <w:tab w:val="right" w:pos="3856"/>
          <w:tab w:val="left" w:pos="5670"/>
        </w:tabs>
        <w:suppressAutoHyphens w:val="0"/>
        <w:spacing w:line="240" w:lineRule="auto"/>
        <w:ind w:left="5387" w:right="565"/>
        <w:rPr>
          <w:rFonts w:ascii="Arial" w:hAnsi="Arial" w:cs="Arial"/>
          <w:snapToGrid w:val="0"/>
          <w:kern w:val="1"/>
          <w:lang w:val="de-DE" w:eastAsia="de-DE"/>
        </w:rPr>
      </w:pPr>
      <w:r w:rsidRPr="0088229B">
        <w:rPr>
          <w:rFonts w:ascii="Arial" w:eastAsia="Arial" w:hAnsi="Arial" w:cs="Arial"/>
          <w:sz w:val="16"/>
          <w:szCs w:val="24"/>
          <w:lang w:val="de-DE" w:eastAsia="de-DE"/>
        </w:rPr>
        <w:t>Or. ENGLISCH und FRANZÖSISCH</w:t>
      </w:r>
    </w:p>
    <w:p w:rsidR="00185B0A" w:rsidRPr="0088229B" w:rsidRDefault="00185B0A" w:rsidP="00185B0A">
      <w:pPr>
        <w:suppressAutoHyphens w:val="0"/>
        <w:spacing w:line="240" w:lineRule="auto"/>
        <w:rPr>
          <w:rFonts w:ascii="Arial" w:hAnsi="Arial" w:cs="Arial"/>
          <w:sz w:val="16"/>
          <w:szCs w:val="24"/>
          <w:lang w:val="de-DE" w:eastAsia="de-DE"/>
        </w:rPr>
      </w:pPr>
    </w:p>
    <w:p w:rsidR="00185B0A" w:rsidRPr="0088229B" w:rsidRDefault="00185B0A" w:rsidP="00185B0A">
      <w:pPr>
        <w:suppressAutoHyphens w:val="0"/>
        <w:spacing w:line="240" w:lineRule="auto"/>
        <w:rPr>
          <w:rFonts w:ascii="Arial" w:hAnsi="Arial" w:cs="Arial"/>
          <w:sz w:val="16"/>
          <w:szCs w:val="24"/>
          <w:lang w:val="de-DE" w:eastAsia="de-DE"/>
        </w:rPr>
      </w:pPr>
    </w:p>
    <w:p w:rsidR="00185B0A" w:rsidRPr="0088229B" w:rsidRDefault="00185B0A" w:rsidP="00185B0A">
      <w:pPr>
        <w:tabs>
          <w:tab w:val="left" w:pos="2977"/>
        </w:tabs>
        <w:suppressAutoHyphens w:val="0"/>
        <w:spacing w:line="240" w:lineRule="auto"/>
        <w:ind w:left="3958"/>
        <w:rPr>
          <w:rFonts w:ascii="Arial" w:hAnsi="Arial"/>
          <w:snapToGrid w:val="0"/>
          <w:sz w:val="16"/>
          <w:szCs w:val="24"/>
          <w:lang w:val="de-DE" w:eastAsia="fr-FR"/>
        </w:rPr>
      </w:pPr>
      <w:r w:rsidRPr="0088229B">
        <w:rPr>
          <w:rFonts w:ascii="Arial" w:hAnsi="Arial"/>
          <w:noProof/>
          <w:snapToGrid w:val="0"/>
          <w:sz w:val="16"/>
          <w:szCs w:val="24"/>
          <w:lang w:val="de-DE" w:eastAsia="fr-FR"/>
        </w:rPr>
        <w:t>GEMEINSAME EXPERTENTAGUNG FÜR DIE DEM</w:t>
      </w:r>
    </w:p>
    <w:p w:rsidR="00185B0A" w:rsidRPr="0088229B" w:rsidRDefault="00185B0A" w:rsidP="00185B0A">
      <w:pPr>
        <w:tabs>
          <w:tab w:val="left" w:pos="2977"/>
        </w:tabs>
        <w:suppressAutoHyphens w:val="0"/>
        <w:spacing w:line="240" w:lineRule="auto"/>
        <w:ind w:left="3958"/>
        <w:rPr>
          <w:rFonts w:ascii="Arial" w:hAnsi="Arial"/>
          <w:snapToGrid w:val="0"/>
          <w:sz w:val="16"/>
          <w:szCs w:val="24"/>
          <w:lang w:val="de-DE" w:eastAsia="fr-FR"/>
        </w:rPr>
      </w:pPr>
      <w:r w:rsidRPr="0088229B">
        <w:rPr>
          <w:rFonts w:ascii="Arial" w:hAnsi="Arial"/>
          <w:noProof/>
          <w:snapToGrid w:val="0"/>
          <w:sz w:val="16"/>
          <w:szCs w:val="24"/>
          <w:lang w:val="de-DE" w:eastAsia="fr-FR"/>
        </w:rPr>
        <w:t>ÜBEREINKOMMEN ÜBER DIE INTERNATIONALE BEFÖRDERUNG</w:t>
      </w:r>
    </w:p>
    <w:p w:rsidR="00185B0A" w:rsidRPr="0088229B" w:rsidRDefault="00185B0A" w:rsidP="00185B0A">
      <w:pPr>
        <w:tabs>
          <w:tab w:val="left" w:pos="2977"/>
        </w:tabs>
        <w:suppressAutoHyphens w:val="0"/>
        <w:spacing w:line="240" w:lineRule="auto"/>
        <w:ind w:left="3958"/>
        <w:rPr>
          <w:rFonts w:ascii="Arial" w:hAnsi="Arial"/>
          <w:snapToGrid w:val="0"/>
          <w:sz w:val="16"/>
          <w:szCs w:val="24"/>
          <w:lang w:val="de-DE" w:eastAsia="fr-FR"/>
        </w:rPr>
      </w:pPr>
      <w:r w:rsidRPr="0088229B">
        <w:rPr>
          <w:rFonts w:ascii="Arial" w:hAnsi="Arial"/>
          <w:noProof/>
          <w:snapToGrid w:val="0"/>
          <w:sz w:val="16"/>
          <w:szCs w:val="24"/>
          <w:lang w:val="de-DE" w:eastAsia="fr-FR"/>
        </w:rPr>
        <w:t>VON GEFÄHRLICHEN GÜTERN AUF BINNENWASSERSTRASSEN</w:t>
      </w:r>
    </w:p>
    <w:p w:rsidR="00185B0A" w:rsidRPr="0088229B" w:rsidRDefault="00185B0A" w:rsidP="00185B0A">
      <w:pPr>
        <w:tabs>
          <w:tab w:val="left" w:pos="2977"/>
        </w:tabs>
        <w:suppressAutoHyphens w:val="0"/>
        <w:spacing w:line="240" w:lineRule="auto"/>
        <w:ind w:left="3958"/>
        <w:rPr>
          <w:rFonts w:ascii="Arial" w:hAnsi="Arial"/>
          <w:snapToGrid w:val="0"/>
          <w:position w:val="2"/>
          <w:sz w:val="16"/>
          <w:szCs w:val="24"/>
          <w:lang w:val="de-DE" w:eastAsia="fr-FR"/>
        </w:rPr>
      </w:pPr>
      <w:r w:rsidRPr="0088229B">
        <w:rPr>
          <w:rFonts w:ascii="Arial" w:hAnsi="Arial"/>
          <w:noProof/>
          <w:snapToGrid w:val="0"/>
          <w:sz w:val="16"/>
          <w:szCs w:val="24"/>
          <w:lang w:val="de-DE" w:eastAsia="fr-FR"/>
        </w:rPr>
        <w:t>BEIGEFÜGTE VERORDNUNG (ADN)</w:t>
      </w:r>
    </w:p>
    <w:p w:rsidR="00185B0A" w:rsidRPr="0088229B" w:rsidRDefault="00185B0A" w:rsidP="00185B0A">
      <w:pPr>
        <w:tabs>
          <w:tab w:val="left" w:pos="2977"/>
        </w:tabs>
        <w:suppressAutoHyphens w:val="0"/>
        <w:spacing w:line="240" w:lineRule="auto"/>
        <w:ind w:left="3958"/>
        <w:rPr>
          <w:rFonts w:ascii="Arial" w:hAnsi="Arial"/>
          <w:snapToGrid w:val="0"/>
          <w:sz w:val="16"/>
          <w:szCs w:val="24"/>
          <w:lang w:val="de-DE" w:eastAsia="fr-FR"/>
        </w:rPr>
      </w:pPr>
      <w:r w:rsidRPr="0088229B">
        <w:rPr>
          <w:rFonts w:ascii="Arial" w:hAnsi="Arial"/>
          <w:noProof/>
          <w:snapToGrid w:val="0"/>
          <w:position w:val="2"/>
          <w:sz w:val="16"/>
          <w:szCs w:val="24"/>
          <w:lang w:val="de-DE" w:eastAsia="fr-FR"/>
        </w:rPr>
        <w:t>(SICHERHEITSAUSSCHUSS)</w:t>
      </w:r>
    </w:p>
    <w:p w:rsidR="00185B0A" w:rsidRPr="0088229B" w:rsidRDefault="00185B0A" w:rsidP="00185B0A">
      <w:pPr>
        <w:tabs>
          <w:tab w:val="left" w:pos="2977"/>
        </w:tabs>
        <w:suppressAutoHyphens w:val="0"/>
        <w:spacing w:line="240" w:lineRule="auto"/>
        <w:ind w:left="3960"/>
        <w:rPr>
          <w:rFonts w:ascii="Arial" w:hAnsi="Arial"/>
          <w:noProof/>
          <w:snapToGrid w:val="0"/>
          <w:sz w:val="16"/>
          <w:szCs w:val="24"/>
          <w:lang w:val="de-DE" w:eastAsia="fr-FR"/>
        </w:rPr>
      </w:pPr>
      <w:r w:rsidRPr="0088229B">
        <w:rPr>
          <w:rFonts w:ascii="Arial" w:hAnsi="Arial"/>
          <w:snapToGrid w:val="0"/>
          <w:sz w:val="16"/>
          <w:szCs w:val="24"/>
          <w:lang w:val="de-DE" w:eastAsia="fr-FR"/>
        </w:rPr>
        <w:t xml:space="preserve">(28. </w:t>
      </w:r>
      <w:r w:rsidRPr="0088229B">
        <w:rPr>
          <w:rFonts w:ascii="Arial" w:hAnsi="Arial"/>
          <w:noProof/>
          <w:snapToGrid w:val="0"/>
          <w:sz w:val="16"/>
          <w:szCs w:val="24"/>
          <w:lang w:val="de-DE" w:eastAsia="fr-FR"/>
        </w:rPr>
        <w:t>Tagung, Genf, 25. bis 29. Januar 2016)</w:t>
      </w:r>
    </w:p>
    <w:p w:rsidR="00185B0A" w:rsidRPr="0088229B" w:rsidRDefault="00185B0A" w:rsidP="00185B0A">
      <w:pPr>
        <w:tabs>
          <w:tab w:val="left" w:pos="2977"/>
        </w:tabs>
        <w:suppressAutoHyphens w:val="0"/>
        <w:spacing w:line="240" w:lineRule="auto"/>
        <w:ind w:left="3960"/>
        <w:rPr>
          <w:rFonts w:ascii="Arial" w:hAnsi="Arial" w:cs="Arial"/>
          <w:sz w:val="16"/>
          <w:szCs w:val="16"/>
          <w:lang w:val="de-DE"/>
        </w:rPr>
      </w:pPr>
      <w:r w:rsidRPr="0088229B">
        <w:rPr>
          <w:rFonts w:ascii="Arial" w:hAnsi="Arial" w:cs="Arial"/>
          <w:sz w:val="16"/>
          <w:szCs w:val="16"/>
          <w:lang w:val="de-DE"/>
        </w:rPr>
        <w:t>Punkt 5 b) zur vorläufigen Tagesordnung</w:t>
      </w:r>
    </w:p>
    <w:p w:rsidR="00185B0A" w:rsidRPr="0088229B" w:rsidRDefault="00185B0A" w:rsidP="00185B0A">
      <w:pPr>
        <w:tabs>
          <w:tab w:val="left" w:pos="2977"/>
        </w:tabs>
        <w:suppressAutoHyphens w:val="0"/>
        <w:spacing w:line="240" w:lineRule="auto"/>
        <w:ind w:left="3960"/>
        <w:rPr>
          <w:rFonts w:ascii="Arial" w:hAnsi="Arial" w:cs="Arial"/>
          <w:b/>
          <w:sz w:val="16"/>
          <w:szCs w:val="16"/>
          <w:lang w:val="de-DE"/>
        </w:rPr>
      </w:pPr>
      <w:r w:rsidRPr="0088229B">
        <w:rPr>
          <w:rFonts w:ascii="Arial" w:hAnsi="Arial" w:cs="Arial"/>
          <w:b/>
          <w:sz w:val="16"/>
          <w:szCs w:val="16"/>
          <w:lang w:val="de-DE"/>
        </w:rPr>
        <w:t>Vorschläge für Änderungen der dem ADN beigefügten Verordnung</w:t>
      </w:r>
    </w:p>
    <w:p w:rsidR="00185B0A" w:rsidRPr="0088229B" w:rsidRDefault="00185B0A" w:rsidP="00185B0A">
      <w:pPr>
        <w:tabs>
          <w:tab w:val="left" w:pos="2977"/>
        </w:tabs>
        <w:suppressAutoHyphens w:val="0"/>
        <w:spacing w:line="240" w:lineRule="auto"/>
        <w:ind w:left="3960"/>
        <w:rPr>
          <w:rFonts w:ascii="Arial" w:hAnsi="Arial" w:cs="Arial"/>
          <w:b/>
          <w:sz w:val="16"/>
          <w:szCs w:val="16"/>
          <w:lang w:val="de-DE"/>
        </w:rPr>
      </w:pPr>
      <w:r w:rsidRPr="0088229B">
        <w:rPr>
          <w:rFonts w:ascii="Arial" w:hAnsi="Arial" w:cs="Arial"/>
          <w:b/>
          <w:sz w:val="16"/>
          <w:szCs w:val="16"/>
          <w:lang w:val="de-DE"/>
        </w:rPr>
        <w:t>Weitere Änderungsvorschläge</w:t>
      </w:r>
    </w:p>
    <w:p w:rsidR="00185B0A" w:rsidRPr="0088229B" w:rsidRDefault="00185B0A" w:rsidP="00185B0A">
      <w:pPr>
        <w:suppressAutoHyphens w:val="0"/>
        <w:spacing w:line="240" w:lineRule="auto"/>
        <w:rPr>
          <w:rFonts w:ascii="Arial" w:hAnsi="Arial"/>
          <w:b/>
          <w:snapToGrid w:val="0"/>
          <w:szCs w:val="24"/>
          <w:lang w:val="de-DE" w:eastAsia="fr-FR"/>
        </w:rPr>
      </w:pPr>
    </w:p>
    <w:p w:rsidR="00185B0A" w:rsidRPr="0088229B" w:rsidRDefault="00185B0A" w:rsidP="00185B0A">
      <w:pPr>
        <w:suppressAutoHyphens w:val="0"/>
        <w:spacing w:line="240" w:lineRule="auto"/>
        <w:rPr>
          <w:rFonts w:ascii="Arial" w:hAnsi="Arial"/>
          <w:b/>
          <w:snapToGrid w:val="0"/>
          <w:szCs w:val="24"/>
          <w:lang w:val="de-DE" w:eastAsia="fr-FR"/>
        </w:rPr>
      </w:pPr>
    </w:p>
    <w:p w:rsidR="00F1616D" w:rsidRPr="0088229B" w:rsidRDefault="00F1616D" w:rsidP="00AD000C">
      <w:pPr>
        <w:pStyle w:val="HChG"/>
        <w:rPr>
          <w:lang w:val="de-DE"/>
        </w:rPr>
      </w:pPr>
      <w:r w:rsidRPr="0088229B">
        <w:rPr>
          <w:lang w:val="de-DE"/>
        </w:rPr>
        <w:tab/>
      </w:r>
      <w:r w:rsidRPr="0088229B">
        <w:rPr>
          <w:lang w:val="de-DE"/>
        </w:rPr>
        <w:tab/>
      </w:r>
      <w:r w:rsidR="00AD000C" w:rsidRPr="0088229B">
        <w:rPr>
          <w:lang w:val="de-DE"/>
        </w:rPr>
        <w:t>Vorschläge zur Änderung des Kapitels 1.16 und des Absatzes</w:t>
      </w:r>
      <w:r w:rsidR="000D6DB2">
        <w:rPr>
          <w:lang w:val="de-DE"/>
        </w:rPr>
        <w:t> </w:t>
      </w:r>
      <w:r w:rsidR="00AD000C" w:rsidRPr="0088229B">
        <w:rPr>
          <w:lang w:val="de-DE"/>
        </w:rPr>
        <w:t>9.3.X.8.1 – Vorschläge für Folge- und zusätzliche Änderungen</w:t>
      </w:r>
    </w:p>
    <w:p w:rsidR="00F1616D" w:rsidRPr="0088229B" w:rsidRDefault="00F1616D" w:rsidP="00AD000C">
      <w:pPr>
        <w:pStyle w:val="H1G"/>
        <w:spacing w:line="280" w:lineRule="exact"/>
        <w:rPr>
          <w:lang w:val="de-DE"/>
        </w:rPr>
      </w:pPr>
      <w:r w:rsidRPr="0088229B">
        <w:rPr>
          <w:lang w:val="de-DE"/>
        </w:rPr>
        <w:tab/>
      </w:r>
      <w:r w:rsidRPr="0088229B">
        <w:rPr>
          <w:lang w:val="de-DE"/>
        </w:rPr>
        <w:tab/>
      </w:r>
      <w:r w:rsidR="00AD000C" w:rsidRPr="0088229B">
        <w:rPr>
          <w:lang w:val="de-DE"/>
        </w:rPr>
        <w:t>Vorgelegt von der Informellen Korrespondenz-Arbeitsgruppe (ICWG)</w:t>
      </w:r>
      <w:r w:rsidR="00185B0A" w:rsidRPr="0088229B">
        <w:rPr>
          <w:lang w:val="de-DE"/>
        </w:rPr>
        <w:t> </w:t>
      </w:r>
      <w:r w:rsidR="00185B0A" w:rsidRPr="0088229B">
        <w:rPr>
          <w:noProof/>
          <w:snapToGrid w:val="0"/>
          <w:sz w:val="18"/>
          <w:szCs w:val="24"/>
          <w:vertAlign w:val="superscript"/>
          <w:lang w:val="de-DE" w:eastAsia="fr-FR"/>
        </w:rPr>
        <w:footnoteReference w:id="2"/>
      </w:r>
    </w:p>
    <w:p w:rsidR="004801A0" w:rsidRPr="0088229B" w:rsidRDefault="004801A0" w:rsidP="004801A0">
      <w:pPr>
        <w:rPr>
          <w:lang w:val="de-DE"/>
        </w:rPr>
      </w:pPr>
    </w:p>
    <w:p w:rsidR="004801A0" w:rsidRPr="0088229B" w:rsidRDefault="004801A0" w:rsidP="004801A0">
      <w:pPr>
        <w:rPr>
          <w:lang w:val="de-DE"/>
        </w:rPr>
      </w:pP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5953"/>
      </w:tblGrid>
      <w:tr w:rsidR="00F1616D" w:rsidRPr="0088229B" w:rsidTr="00AD000C">
        <w:trPr>
          <w:jc w:val="center"/>
        </w:trPr>
        <w:tc>
          <w:tcPr>
            <w:tcW w:w="2552" w:type="dxa"/>
            <w:tcBorders>
              <w:top w:val="single" w:sz="4" w:space="0" w:color="auto"/>
            </w:tcBorders>
          </w:tcPr>
          <w:p w:rsidR="00F1616D" w:rsidRPr="0088229B" w:rsidRDefault="004801A0" w:rsidP="00AD000C">
            <w:pPr>
              <w:tabs>
                <w:tab w:val="left" w:pos="284"/>
              </w:tabs>
              <w:spacing w:before="120" w:after="120"/>
            </w:pPr>
            <w:r w:rsidRPr="0088229B">
              <w:rPr>
                <w:i/>
                <w:sz w:val="24"/>
                <w:lang w:val="de-DE"/>
              </w:rPr>
              <w:t>Zusammenfassung</w:t>
            </w:r>
          </w:p>
        </w:tc>
        <w:tc>
          <w:tcPr>
            <w:tcW w:w="5953" w:type="dxa"/>
            <w:tcBorders>
              <w:top w:val="single" w:sz="4" w:space="0" w:color="auto"/>
            </w:tcBorders>
          </w:tcPr>
          <w:p w:rsidR="00F1616D" w:rsidRPr="0088229B" w:rsidRDefault="00F1616D">
            <w:pPr>
              <w:spacing w:before="120" w:after="120"/>
            </w:pPr>
          </w:p>
        </w:tc>
      </w:tr>
      <w:tr w:rsidR="00F1616D" w:rsidRPr="0088229B" w:rsidTr="00AD000C">
        <w:trPr>
          <w:jc w:val="center"/>
        </w:trPr>
        <w:tc>
          <w:tcPr>
            <w:tcW w:w="2552" w:type="dxa"/>
          </w:tcPr>
          <w:p w:rsidR="00F1616D" w:rsidRPr="0088229B" w:rsidRDefault="004801A0">
            <w:pPr>
              <w:tabs>
                <w:tab w:val="left" w:pos="284"/>
              </w:tabs>
              <w:spacing w:before="120" w:after="120"/>
            </w:pPr>
            <w:r w:rsidRPr="0088229B">
              <w:rPr>
                <w:b/>
                <w:lang w:val="de-DE"/>
              </w:rPr>
              <w:t>Analytische Zusammenfassung:</w:t>
            </w:r>
          </w:p>
        </w:tc>
        <w:tc>
          <w:tcPr>
            <w:tcW w:w="5953" w:type="dxa"/>
          </w:tcPr>
          <w:p w:rsidR="00F1616D" w:rsidRPr="0088229B" w:rsidRDefault="00AD000C" w:rsidP="007907E9">
            <w:pPr>
              <w:spacing w:before="120" w:after="120"/>
              <w:rPr>
                <w:lang w:val="de-DE"/>
              </w:rPr>
            </w:pPr>
            <w:r w:rsidRPr="0088229B">
              <w:rPr>
                <w:bCs/>
                <w:szCs w:val="24"/>
                <w:lang w:val="de-DE"/>
              </w:rPr>
              <w:t>Weiteres Vo</w:t>
            </w:r>
            <w:r w:rsidR="00FD7AA1" w:rsidRPr="0088229B">
              <w:rPr>
                <w:bCs/>
                <w:szCs w:val="24"/>
                <w:lang w:val="de-DE"/>
              </w:rPr>
              <w:t xml:space="preserve">rgehen </w:t>
            </w:r>
            <w:r w:rsidRPr="0088229B">
              <w:rPr>
                <w:bCs/>
                <w:szCs w:val="24"/>
                <w:lang w:val="de-DE"/>
              </w:rPr>
              <w:t xml:space="preserve">hinsichtlich der in der Sitzung des ADN-Sicherheitsausschusses im August </w:t>
            </w:r>
            <w:r w:rsidR="00EA66AE" w:rsidRPr="0088229B">
              <w:rPr>
                <w:bCs/>
                <w:szCs w:val="24"/>
                <w:lang w:val="de-DE"/>
              </w:rPr>
              <w:t xml:space="preserve">2014 und August </w:t>
            </w:r>
            <w:r w:rsidRPr="0088229B">
              <w:rPr>
                <w:bCs/>
                <w:szCs w:val="24"/>
                <w:lang w:val="de-DE"/>
              </w:rPr>
              <w:t>2015 vorgelegten Vorschläge</w:t>
            </w:r>
          </w:p>
        </w:tc>
      </w:tr>
      <w:tr w:rsidR="00F1616D" w:rsidRPr="0088229B" w:rsidTr="00AD000C">
        <w:trPr>
          <w:jc w:val="center"/>
        </w:trPr>
        <w:tc>
          <w:tcPr>
            <w:tcW w:w="2552" w:type="dxa"/>
          </w:tcPr>
          <w:p w:rsidR="00F1616D" w:rsidRPr="0088229B" w:rsidRDefault="004801A0" w:rsidP="00AD000C">
            <w:pPr>
              <w:tabs>
                <w:tab w:val="left" w:pos="284"/>
              </w:tabs>
              <w:spacing w:before="120" w:after="120"/>
              <w:rPr>
                <w:b/>
              </w:rPr>
            </w:pPr>
            <w:r w:rsidRPr="0088229B">
              <w:rPr>
                <w:b/>
                <w:lang w:val="de-DE"/>
              </w:rPr>
              <w:t>Zu ergreifende Maßnahme:</w:t>
            </w:r>
          </w:p>
        </w:tc>
        <w:tc>
          <w:tcPr>
            <w:tcW w:w="5953" w:type="dxa"/>
          </w:tcPr>
          <w:p w:rsidR="00F1616D" w:rsidRPr="0088229B" w:rsidRDefault="00CB562A" w:rsidP="00FD7AA1">
            <w:pPr>
              <w:spacing w:before="120" w:after="120"/>
            </w:pPr>
            <w:r w:rsidRPr="0088229B">
              <w:t>Nr.</w:t>
            </w:r>
            <w:r w:rsidR="00471D7A" w:rsidRPr="0088229B">
              <w:t xml:space="preserve"> </w:t>
            </w:r>
            <w:r w:rsidR="00045FDE" w:rsidRPr="0088229B">
              <w:t>8</w:t>
            </w:r>
            <w:r w:rsidR="005B3EFE" w:rsidRPr="0088229B">
              <w:t xml:space="preserve"> </w:t>
            </w:r>
            <w:r w:rsidRPr="0088229B">
              <w:t>und Anlagen</w:t>
            </w:r>
            <w:r w:rsidR="009B04B9" w:rsidRPr="0088229B">
              <w:t xml:space="preserve"> 1 </w:t>
            </w:r>
            <w:r w:rsidRPr="0088229B">
              <w:t>u</w:t>
            </w:r>
            <w:r w:rsidR="002727DA" w:rsidRPr="0088229B">
              <w:t>nd</w:t>
            </w:r>
            <w:r w:rsidRPr="0088229B">
              <w:t xml:space="preserve"> </w:t>
            </w:r>
            <w:r w:rsidR="009B04B9" w:rsidRPr="0088229B">
              <w:t>2</w:t>
            </w:r>
          </w:p>
        </w:tc>
      </w:tr>
      <w:tr w:rsidR="00F1616D" w:rsidRPr="0088229B" w:rsidTr="00AD000C">
        <w:trPr>
          <w:jc w:val="center"/>
        </w:trPr>
        <w:tc>
          <w:tcPr>
            <w:tcW w:w="2552" w:type="dxa"/>
            <w:tcBorders>
              <w:bottom w:val="single" w:sz="4" w:space="0" w:color="auto"/>
            </w:tcBorders>
          </w:tcPr>
          <w:p w:rsidR="00F1616D" w:rsidRPr="0088229B" w:rsidRDefault="004801A0">
            <w:pPr>
              <w:tabs>
                <w:tab w:val="left" w:pos="284"/>
              </w:tabs>
              <w:spacing w:before="120" w:after="120"/>
              <w:rPr>
                <w:b/>
              </w:rPr>
            </w:pPr>
            <w:r w:rsidRPr="0088229B">
              <w:rPr>
                <w:b/>
                <w:lang w:val="en-US"/>
              </w:rPr>
              <w:t>Verbundene Dokumente:</w:t>
            </w:r>
          </w:p>
        </w:tc>
        <w:tc>
          <w:tcPr>
            <w:tcW w:w="5953" w:type="dxa"/>
            <w:tcBorders>
              <w:bottom w:val="single" w:sz="4" w:space="0" w:color="auto"/>
            </w:tcBorders>
          </w:tcPr>
          <w:p w:rsidR="00253571" w:rsidRPr="0088229B" w:rsidRDefault="002E68A0" w:rsidP="00AD000C">
            <w:pPr>
              <w:spacing w:before="120" w:after="120"/>
            </w:pPr>
            <w:r w:rsidRPr="0088229B">
              <w:t>ECE/TRANS/WP.15/AC.2/2014/43, ECE/TRANS/WP.15/AC.2/2014/44, WP</w:t>
            </w:r>
            <w:r w:rsidR="004819CF" w:rsidRPr="0088229B">
              <w:t>.</w:t>
            </w:r>
            <w:r w:rsidRPr="0088229B">
              <w:t>15/AC.2/25/INF.7, ECE/TRANS/WP.15/AC.2/52 (</w:t>
            </w:r>
            <w:r w:rsidR="00CB562A" w:rsidRPr="0088229B">
              <w:t>Nr.</w:t>
            </w:r>
            <w:r w:rsidR="005C467F" w:rsidRPr="0088229B">
              <w:t xml:space="preserve"> </w:t>
            </w:r>
            <w:r w:rsidRPr="0088229B">
              <w:t xml:space="preserve">44 </w:t>
            </w:r>
            <w:r w:rsidR="00CB562A" w:rsidRPr="0088229B">
              <w:t>und</w:t>
            </w:r>
            <w:r w:rsidRPr="0088229B">
              <w:t xml:space="preserve"> 45)</w:t>
            </w:r>
            <w:r w:rsidR="00253571" w:rsidRPr="0088229B">
              <w:t xml:space="preserve">, </w:t>
            </w:r>
            <w:r w:rsidR="00253571" w:rsidRPr="0088229B">
              <w:br/>
            </w:r>
            <w:r w:rsidR="005C467F" w:rsidRPr="0088229B">
              <w:t>WP</w:t>
            </w:r>
            <w:r w:rsidR="001A752B" w:rsidRPr="0088229B">
              <w:t>.</w:t>
            </w:r>
            <w:r w:rsidR="005C467F" w:rsidRPr="0088229B">
              <w:t>15/AC</w:t>
            </w:r>
            <w:r w:rsidR="001A752B" w:rsidRPr="0088229B">
              <w:t>.</w:t>
            </w:r>
            <w:r w:rsidR="005C467F" w:rsidRPr="0088229B">
              <w:t>2/27/INF.17</w:t>
            </w:r>
            <w:r w:rsidR="005C467F" w:rsidRPr="0088229B">
              <w:br/>
              <w:t>ECE/TRANS/WP.15/AC.2/</w:t>
            </w:r>
            <w:r w:rsidR="00CE1E80" w:rsidRPr="0088229B">
              <w:t>56</w:t>
            </w:r>
            <w:r w:rsidR="005C467F" w:rsidRPr="0088229B">
              <w:t xml:space="preserve"> (</w:t>
            </w:r>
            <w:r w:rsidR="00CB562A" w:rsidRPr="0088229B">
              <w:t>Abschnitt</w:t>
            </w:r>
            <w:r w:rsidR="005553BB" w:rsidRPr="0088229B">
              <w:t xml:space="preserve"> 18</w:t>
            </w:r>
            <w:r w:rsidR="002727DA" w:rsidRPr="0088229B">
              <w:t xml:space="preserve"> – </w:t>
            </w:r>
            <w:r w:rsidR="00CB562A" w:rsidRPr="0088229B">
              <w:t>Nr.</w:t>
            </w:r>
            <w:r w:rsidR="00CE1E80" w:rsidRPr="0088229B">
              <w:t xml:space="preserve"> 62 </w:t>
            </w:r>
            <w:r w:rsidR="00AD000C" w:rsidRPr="0088229B">
              <w:t>bis</w:t>
            </w:r>
            <w:r w:rsidR="00CE1E80" w:rsidRPr="0088229B">
              <w:t xml:space="preserve"> 69</w:t>
            </w:r>
            <w:r w:rsidR="005C467F" w:rsidRPr="0088229B">
              <w:t>)</w:t>
            </w:r>
          </w:p>
        </w:tc>
      </w:tr>
    </w:tbl>
    <w:p w:rsidR="00516856" w:rsidRPr="0088229B" w:rsidRDefault="00516856" w:rsidP="00B37697">
      <w:pPr>
        <w:pStyle w:val="HChG"/>
      </w:pPr>
    </w:p>
    <w:p w:rsidR="00516856" w:rsidRPr="0088229B" w:rsidRDefault="00516856">
      <w:pPr>
        <w:suppressAutoHyphens w:val="0"/>
        <w:spacing w:line="240" w:lineRule="auto"/>
        <w:rPr>
          <w:b/>
          <w:sz w:val="28"/>
        </w:rPr>
      </w:pPr>
      <w:r w:rsidRPr="0088229B">
        <w:br w:type="page"/>
      </w:r>
    </w:p>
    <w:p w:rsidR="00F1616D" w:rsidRPr="0088229B" w:rsidRDefault="00B37697" w:rsidP="00B37697">
      <w:pPr>
        <w:pStyle w:val="HChG"/>
        <w:rPr>
          <w:lang w:val="de-DE"/>
        </w:rPr>
      </w:pPr>
      <w:r w:rsidRPr="0088229B">
        <w:lastRenderedPageBreak/>
        <w:tab/>
      </w:r>
      <w:r w:rsidRPr="0088229B">
        <w:tab/>
      </w:r>
      <w:r w:rsidR="00185B0A" w:rsidRPr="0088229B">
        <w:rPr>
          <w:lang w:val="de-DE"/>
        </w:rPr>
        <w:t>Einleitung</w:t>
      </w:r>
    </w:p>
    <w:p w:rsidR="002E68A0" w:rsidRPr="0088229B" w:rsidRDefault="004E4CC3" w:rsidP="00FD7AA1">
      <w:pPr>
        <w:pStyle w:val="SingleTxtG"/>
        <w:rPr>
          <w:lang w:val="de-DE"/>
        </w:rPr>
      </w:pPr>
      <w:r w:rsidRPr="0088229B">
        <w:rPr>
          <w:lang w:val="de-DE"/>
        </w:rPr>
        <w:t>1.</w:t>
      </w:r>
      <w:r w:rsidRPr="0088229B">
        <w:rPr>
          <w:lang w:val="de-DE"/>
        </w:rPr>
        <w:tab/>
      </w:r>
      <w:r w:rsidR="00AD000C" w:rsidRPr="0088229B">
        <w:rPr>
          <w:lang w:val="de-DE"/>
        </w:rPr>
        <w:t xml:space="preserve">In der fünfundzwanzigsten Sitzung des ADN-Sicherheitsausschusses (August 2014) legte Frankreich einige Änderungsvorschläge zu Abschnitt 1.16.3 (ECE/TRANS/WP.15/AC.2/2014/43) und </w:t>
      </w:r>
      <w:r w:rsidR="00FD7AA1" w:rsidRPr="0088229B">
        <w:rPr>
          <w:lang w:val="de-DE"/>
        </w:rPr>
        <w:t xml:space="preserve">zu Absatz </w:t>
      </w:r>
      <w:r w:rsidR="00AD000C" w:rsidRPr="0088229B">
        <w:rPr>
          <w:lang w:val="de-DE"/>
        </w:rPr>
        <w:t>9.3.X.8.1 (ECE/TRANS/WP.15/AC.2/2014/44) der dem ADN beigefügten Verordnung</w:t>
      </w:r>
      <w:r w:rsidR="00FD7AA1" w:rsidRPr="0088229B">
        <w:rPr>
          <w:lang w:val="de-DE"/>
        </w:rPr>
        <w:t>,</w:t>
      </w:r>
      <w:r w:rsidR="00AD000C" w:rsidRPr="0088229B">
        <w:rPr>
          <w:lang w:val="de-DE"/>
        </w:rPr>
        <w:t xml:space="preserve"> die das „</w:t>
      </w:r>
      <w:r w:rsidR="000F626D" w:rsidRPr="0088229B">
        <w:rPr>
          <w:lang w:val="de-DE"/>
        </w:rPr>
        <w:t>Untersuchungsverfahren</w:t>
      </w:r>
      <w:r w:rsidR="00AD000C" w:rsidRPr="0088229B">
        <w:rPr>
          <w:lang w:val="de-DE"/>
        </w:rPr>
        <w:t>“ bzw. die „Klassi</w:t>
      </w:r>
      <w:r w:rsidR="000F626D" w:rsidRPr="0088229B">
        <w:rPr>
          <w:lang w:val="de-DE"/>
        </w:rPr>
        <w:t>fikation</w:t>
      </w:r>
      <w:r w:rsidR="00AD000C" w:rsidRPr="0088229B">
        <w:rPr>
          <w:lang w:val="de-DE"/>
        </w:rPr>
        <w:t>“ zum Gegenstand haben</w:t>
      </w:r>
      <w:r w:rsidR="00FD7AA1" w:rsidRPr="0088229B">
        <w:rPr>
          <w:lang w:val="de-DE"/>
        </w:rPr>
        <w:t>, zur Prüfung vor</w:t>
      </w:r>
      <w:r w:rsidR="00AD000C" w:rsidRPr="0088229B">
        <w:rPr>
          <w:lang w:val="de-DE"/>
        </w:rPr>
        <w:t>.</w:t>
      </w:r>
      <w:r w:rsidR="005553BB" w:rsidRPr="0088229B">
        <w:rPr>
          <w:lang w:val="de-DE"/>
        </w:rPr>
        <w:t xml:space="preserve"> </w:t>
      </w:r>
      <w:r w:rsidR="000F626D" w:rsidRPr="0088229B">
        <w:rPr>
          <w:lang w:val="de-DE"/>
        </w:rPr>
        <w:t xml:space="preserve">In derselben Sitzung nahm die deutsche Delegation in Dokument WP.15/AC.2/25/INF.7 zu diesen Vorschlägen Stellung und beantragte einige Änderungen. Deutschland schlug ferner </w:t>
      </w:r>
      <w:r w:rsidR="003C704A" w:rsidRPr="0088229B">
        <w:rPr>
          <w:lang w:val="de-DE"/>
        </w:rPr>
        <w:t>vor, de</w:t>
      </w:r>
      <w:r w:rsidR="00FD7AA1" w:rsidRPr="0088229B">
        <w:rPr>
          <w:lang w:val="de-DE"/>
        </w:rPr>
        <w:t>n</w:t>
      </w:r>
      <w:r w:rsidR="003C704A" w:rsidRPr="0088229B">
        <w:rPr>
          <w:lang w:val="de-DE"/>
        </w:rPr>
        <w:t xml:space="preserve"> Umfang der Änderungen des Abschnitts 1.16.5 und der Unterabschnitte 1.16.13.1, 1.16.13.4 und 8.1.2.3 Buchstabe e auszuweiten.</w:t>
      </w:r>
    </w:p>
    <w:p w:rsidR="007D1368" w:rsidRPr="0088229B" w:rsidRDefault="005553BB" w:rsidP="00FD7AA1">
      <w:pPr>
        <w:pStyle w:val="SingleTxtG"/>
        <w:rPr>
          <w:lang w:val="de-DE"/>
        </w:rPr>
      </w:pPr>
      <w:r w:rsidRPr="0088229B">
        <w:rPr>
          <w:lang w:val="de-DE"/>
        </w:rPr>
        <w:t>2</w:t>
      </w:r>
      <w:r w:rsidR="00AB5FE4" w:rsidRPr="0088229B">
        <w:rPr>
          <w:lang w:val="de-DE"/>
        </w:rPr>
        <w:t>.</w:t>
      </w:r>
      <w:r w:rsidR="00AB5FE4" w:rsidRPr="0088229B">
        <w:rPr>
          <w:lang w:val="de-DE"/>
        </w:rPr>
        <w:tab/>
      </w:r>
      <w:r w:rsidR="003C704A" w:rsidRPr="0088229B">
        <w:rPr>
          <w:lang w:val="de-DE"/>
        </w:rPr>
        <w:t xml:space="preserve">In seinem endgültigen Protokoll (ECE/TRANS/WP.15/AC.2/52, Absätze 44 und 45) forderte der Ausschuss Frankreich auf, </w:t>
      </w:r>
      <w:r w:rsidR="00FD7AA1" w:rsidRPr="0088229B">
        <w:rPr>
          <w:lang w:val="de-DE"/>
        </w:rPr>
        <w:t xml:space="preserve">zur Prüfung dieser Fragen </w:t>
      </w:r>
      <w:r w:rsidR="003C704A" w:rsidRPr="0088229B">
        <w:rPr>
          <w:lang w:val="de-DE"/>
        </w:rPr>
        <w:t xml:space="preserve">eine Informelle </w:t>
      </w:r>
      <w:r w:rsidR="00FD7AA1" w:rsidRPr="0088229B">
        <w:rPr>
          <w:lang w:val="de-DE"/>
        </w:rPr>
        <w:t>Korrespondenz-</w:t>
      </w:r>
      <w:r w:rsidR="003C704A" w:rsidRPr="0088229B">
        <w:rPr>
          <w:lang w:val="de-DE"/>
        </w:rPr>
        <w:t>Arbeitsgruppe (ICWG) zu leiten, d</w:t>
      </w:r>
      <w:r w:rsidR="00FD7AA1" w:rsidRPr="0088229B">
        <w:rPr>
          <w:lang w:val="de-DE"/>
        </w:rPr>
        <w:t>ie sich wie folgt zusammensetzt</w:t>
      </w:r>
      <w:r w:rsidR="003C704A" w:rsidRPr="0088229B">
        <w:rPr>
          <w:lang w:val="de-DE"/>
        </w:rPr>
        <w:t>: Deutschland, Niederlande, Österreich, Rumänien, Ukraine und die Empfohlenen ADN-Klassifikationsgesellschaften.</w:t>
      </w:r>
      <w:r w:rsidR="00B37628" w:rsidRPr="0088229B">
        <w:rPr>
          <w:lang w:val="de-DE"/>
        </w:rPr>
        <w:t xml:space="preserve"> </w:t>
      </w:r>
      <w:r w:rsidR="007D1368" w:rsidRPr="0088229B">
        <w:rPr>
          <w:lang w:val="de-DE"/>
        </w:rPr>
        <w:tab/>
      </w:r>
    </w:p>
    <w:p w:rsidR="005553BB" w:rsidRPr="0088229B" w:rsidRDefault="005553BB" w:rsidP="00FD7AA1">
      <w:pPr>
        <w:pStyle w:val="SingleTxtG"/>
        <w:rPr>
          <w:lang w:val="de-DE"/>
        </w:rPr>
      </w:pPr>
      <w:r w:rsidRPr="0088229B">
        <w:rPr>
          <w:lang w:val="de-DE"/>
        </w:rPr>
        <w:t>3.</w:t>
      </w:r>
      <w:r w:rsidRPr="0088229B">
        <w:rPr>
          <w:lang w:val="de-DE"/>
        </w:rPr>
        <w:tab/>
      </w:r>
      <w:r w:rsidR="003C704A" w:rsidRPr="0088229B">
        <w:rPr>
          <w:lang w:val="de-DE"/>
        </w:rPr>
        <w:t>In der siebenundzwanzigsten Sitzung des ADN-Sicherheitsausschusses (August</w:t>
      </w:r>
      <w:r w:rsidR="003574AF">
        <w:rPr>
          <w:lang w:val="de-DE"/>
        </w:rPr>
        <w:t> </w:t>
      </w:r>
      <w:r w:rsidR="003C704A" w:rsidRPr="0088229B">
        <w:rPr>
          <w:lang w:val="de-DE"/>
        </w:rPr>
        <w:t>2015) legte die Informelle Korrespondenz-Arbeitsgruppe das Dokument WP.15/AC.2/27/INF.17 vor, das vom Sicherheitsausschuss geprüft und diskutiert wurde.</w:t>
      </w:r>
    </w:p>
    <w:p w:rsidR="005553BB" w:rsidRPr="0088229B" w:rsidRDefault="005553BB" w:rsidP="00FD7AA1">
      <w:pPr>
        <w:pStyle w:val="SingleTxtG"/>
        <w:rPr>
          <w:lang w:val="de-DE"/>
        </w:rPr>
      </w:pPr>
      <w:r w:rsidRPr="0088229B">
        <w:rPr>
          <w:lang w:val="de-DE"/>
        </w:rPr>
        <w:t>4.</w:t>
      </w:r>
      <w:r w:rsidRPr="0088229B">
        <w:rPr>
          <w:lang w:val="de-DE"/>
        </w:rPr>
        <w:tab/>
      </w:r>
      <w:r w:rsidR="003C704A" w:rsidRPr="0088229B">
        <w:rPr>
          <w:lang w:val="de-DE"/>
        </w:rPr>
        <w:t>Diese Diskussionen sind in Abschnitt 18 (Absätze 62 bis 69) des Dokuments</w:t>
      </w:r>
      <w:r w:rsidR="003A0DC0">
        <w:rPr>
          <w:lang w:val="de-DE"/>
        </w:rPr>
        <w:t> </w:t>
      </w:r>
      <w:r w:rsidR="003C704A" w:rsidRPr="0088229B">
        <w:rPr>
          <w:lang w:val="de-DE"/>
        </w:rPr>
        <w:t>ECE/TRANS/WP.15/AC.2/56 in zusammengefasster Form wiedergegeben.</w:t>
      </w:r>
    </w:p>
    <w:p w:rsidR="007D1368" w:rsidRPr="0088229B" w:rsidRDefault="00B37697" w:rsidP="00FD7AA1">
      <w:pPr>
        <w:pStyle w:val="HChG"/>
        <w:rPr>
          <w:lang w:val="de-DE"/>
        </w:rPr>
      </w:pPr>
      <w:r w:rsidRPr="0088229B">
        <w:rPr>
          <w:lang w:val="de-DE"/>
        </w:rPr>
        <w:tab/>
      </w:r>
      <w:r w:rsidRPr="0088229B">
        <w:rPr>
          <w:lang w:val="de-DE"/>
        </w:rPr>
        <w:tab/>
      </w:r>
      <w:r w:rsidR="003C704A" w:rsidRPr="0088229B">
        <w:rPr>
          <w:lang w:val="de-DE"/>
        </w:rPr>
        <w:t xml:space="preserve">Änderungsvorschläge </w:t>
      </w:r>
      <w:r w:rsidR="00123727" w:rsidRPr="0088229B">
        <w:rPr>
          <w:lang w:val="de-DE"/>
        </w:rPr>
        <w:t>infolge der Prüfung des Dokuments WP.15/AC.2/27/INF.17 und der anschließenden Diskussionen im August 2015 – Zusätzliche Änderungen infolge der Prüfung des Dokuments ECE/TRANS/WP.15/AC.2/56</w:t>
      </w:r>
    </w:p>
    <w:p w:rsidR="007D1368" w:rsidRPr="0088229B" w:rsidRDefault="009B04B9" w:rsidP="00FD7AA1">
      <w:pPr>
        <w:pStyle w:val="SingleTxtG"/>
        <w:rPr>
          <w:lang w:val="de-DE"/>
        </w:rPr>
      </w:pPr>
      <w:r w:rsidRPr="0088229B">
        <w:rPr>
          <w:lang w:val="de-DE"/>
        </w:rPr>
        <w:t>5</w:t>
      </w:r>
      <w:r w:rsidR="00B6345C" w:rsidRPr="0088229B">
        <w:rPr>
          <w:lang w:val="de-DE"/>
        </w:rPr>
        <w:t>.</w:t>
      </w:r>
      <w:r w:rsidR="00B6345C" w:rsidRPr="0088229B">
        <w:rPr>
          <w:lang w:val="de-DE"/>
        </w:rPr>
        <w:tab/>
      </w:r>
      <w:r w:rsidR="00123727" w:rsidRPr="0088229B">
        <w:rPr>
          <w:lang w:val="de-DE"/>
        </w:rPr>
        <w:t>Die Änderungsvorschläge infolge der Prüfung des Dokuments</w:t>
      </w:r>
      <w:r w:rsidR="003A0DC0">
        <w:rPr>
          <w:lang w:val="de-DE"/>
        </w:rPr>
        <w:t> </w:t>
      </w:r>
      <w:r w:rsidR="00123727" w:rsidRPr="0088229B">
        <w:rPr>
          <w:lang w:val="de-DE"/>
        </w:rPr>
        <w:t>WP.15/AC.2/27/INF.17, die Abschnitt 1.2.1, Kapitel 1.6, Kapitel 1.16 und Teil</w:t>
      </w:r>
      <w:r w:rsidR="00F36784">
        <w:rPr>
          <w:lang w:val="de-DE"/>
        </w:rPr>
        <w:t> </w:t>
      </w:r>
      <w:r w:rsidR="00123727" w:rsidRPr="0088229B">
        <w:rPr>
          <w:lang w:val="de-DE"/>
        </w:rPr>
        <w:t xml:space="preserve">9 der dem ADN beigefügten Verordnung zum Gegenstand haben, sind in Anlage 1 </w:t>
      </w:r>
      <w:r w:rsidR="00FD7AA1" w:rsidRPr="0088229B">
        <w:rPr>
          <w:lang w:val="de-DE"/>
        </w:rPr>
        <w:t xml:space="preserve">in </w:t>
      </w:r>
      <w:r w:rsidR="00123727" w:rsidRPr="0088229B">
        <w:rPr>
          <w:lang w:val="de-DE"/>
        </w:rPr>
        <w:t>konsolidiert</w:t>
      </w:r>
      <w:r w:rsidR="00FD7AA1" w:rsidRPr="0088229B">
        <w:rPr>
          <w:lang w:val="de-DE"/>
        </w:rPr>
        <w:t>er Form aufgeführt</w:t>
      </w:r>
      <w:r w:rsidR="00123727" w:rsidRPr="0088229B">
        <w:rPr>
          <w:lang w:val="de-DE"/>
        </w:rPr>
        <w:t>.</w:t>
      </w:r>
    </w:p>
    <w:p w:rsidR="00906FB6" w:rsidRPr="0088229B" w:rsidRDefault="009B04B9" w:rsidP="00FD7AA1">
      <w:pPr>
        <w:pStyle w:val="SingleTxtG"/>
        <w:rPr>
          <w:lang w:val="de-DE"/>
        </w:rPr>
      </w:pPr>
      <w:r w:rsidRPr="0088229B">
        <w:rPr>
          <w:lang w:val="de-DE"/>
        </w:rPr>
        <w:t>6</w:t>
      </w:r>
      <w:r w:rsidR="00820A23" w:rsidRPr="0088229B">
        <w:rPr>
          <w:lang w:val="de-DE"/>
        </w:rPr>
        <w:t>.</w:t>
      </w:r>
      <w:r w:rsidR="00820A23" w:rsidRPr="0088229B">
        <w:rPr>
          <w:lang w:val="de-DE"/>
        </w:rPr>
        <w:tab/>
      </w:r>
      <w:r w:rsidR="00123727" w:rsidRPr="0088229B">
        <w:rPr>
          <w:lang w:val="de-DE"/>
        </w:rPr>
        <w:t>Die zusätzlichen Änderungen infolge der Prüfung des Dokuments ECE/TRANS/WP.15/AC.2/56 sind in Anlage 2 wiedergegeben.</w:t>
      </w:r>
    </w:p>
    <w:p w:rsidR="00906FB6" w:rsidRPr="0088229B" w:rsidRDefault="00906FB6" w:rsidP="00505839">
      <w:pPr>
        <w:pStyle w:val="SingleTxtG"/>
        <w:rPr>
          <w:lang w:val="de-DE"/>
        </w:rPr>
      </w:pPr>
      <w:r w:rsidRPr="0088229B">
        <w:rPr>
          <w:lang w:val="de-DE"/>
        </w:rPr>
        <w:t>7.</w:t>
      </w:r>
      <w:r w:rsidRPr="0088229B">
        <w:rPr>
          <w:lang w:val="de-DE"/>
        </w:rPr>
        <w:tab/>
      </w:r>
      <w:r w:rsidR="00123727" w:rsidRPr="0088229B">
        <w:rPr>
          <w:lang w:val="de-DE"/>
        </w:rPr>
        <w:t xml:space="preserve">Im Hinblick auf Absatz 68 des Dokuments ECE/TRANS/WP.15/AC.2/56 sei darauf hingewiesen, dass durch </w:t>
      </w:r>
      <w:r w:rsidR="00FD7AA1" w:rsidRPr="0088229B">
        <w:rPr>
          <w:lang w:val="de-DE"/>
        </w:rPr>
        <w:t xml:space="preserve">die </w:t>
      </w:r>
      <w:r w:rsidR="00123727" w:rsidRPr="0088229B">
        <w:rPr>
          <w:lang w:val="de-DE"/>
        </w:rPr>
        <w:t xml:space="preserve">Streichung der Vorschläge in Dokument WP.15/AC.2/27/INF.17 zu den Abschnitten 8.1.8 und 8.1.9 </w:t>
      </w:r>
      <w:r w:rsidR="00123727" w:rsidRPr="0088229B">
        <w:rPr>
          <w:u w:val="single"/>
          <w:lang w:val="de-DE"/>
        </w:rPr>
        <w:t xml:space="preserve">die Vorschläge im vorliegenden Dokument </w:t>
      </w:r>
      <w:r w:rsidR="00DD4208" w:rsidRPr="0088229B">
        <w:rPr>
          <w:u w:val="single"/>
          <w:lang w:val="de-DE"/>
        </w:rPr>
        <w:t>mit den</w:t>
      </w:r>
      <w:r w:rsidR="00123727" w:rsidRPr="0088229B">
        <w:rPr>
          <w:u w:val="single"/>
          <w:lang w:val="de-DE"/>
        </w:rPr>
        <w:t xml:space="preserve"> Vorschläge</w:t>
      </w:r>
      <w:r w:rsidR="00DD4208" w:rsidRPr="0088229B">
        <w:rPr>
          <w:u w:val="single"/>
          <w:lang w:val="de-DE"/>
        </w:rPr>
        <w:t>n</w:t>
      </w:r>
      <w:r w:rsidR="00123727" w:rsidRPr="0088229B">
        <w:rPr>
          <w:u w:val="single"/>
          <w:lang w:val="de-DE"/>
        </w:rPr>
        <w:t xml:space="preserve"> in</w:t>
      </w:r>
      <w:r w:rsidR="00DD4208" w:rsidRPr="0088229B">
        <w:rPr>
          <w:u w:val="single"/>
          <w:lang w:val="de-DE"/>
        </w:rPr>
        <w:t xml:space="preserve"> Dokument</w:t>
      </w:r>
      <w:r w:rsidR="00123727" w:rsidRPr="0088229B">
        <w:rPr>
          <w:u w:val="single"/>
          <w:lang w:val="de-DE"/>
        </w:rPr>
        <w:t xml:space="preserve"> ECE/TRANS/WP.15/AC.2/52, Absatz 46 und Anlage III (aus Dokument ECE/TRANS/WP.15/AC.2/2014/45) </w:t>
      </w:r>
      <w:r w:rsidR="00DD4208" w:rsidRPr="0088229B">
        <w:rPr>
          <w:u w:val="single"/>
          <w:lang w:val="de-DE"/>
        </w:rPr>
        <w:t>vollständig in Einklang gebracht werden (und diese ergänzen)</w:t>
      </w:r>
      <w:r w:rsidR="00DD4208" w:rsidRPr="0088229B">
        <w:rPr>
          <w:lang w:val="de-DE"/>
        </w:rPr>
        <w:t>.</w:t>
      </w:r>
    </w:p>
    <w:p w:rsidR="007A30BD" w:rsidRPr="0088229B" w:rsidRDefault="00B37697" w:rsidP="00FD7AA1">
      <w:pPr>
        <w:pStyle w:val="HChG"/>
        <w:rPr>
          <w:lang w:val="de-DE"/>
        </w:rPr>
      </w:pPr>
      <w:r w:rsidRPr="0088229B">
        <w:rPr>
          <w:lang w:val="de-DE"/>
        </w:rPr>
        <w:tab/>
      </w:r>
      <w:r w:rsidRPr="0088229B">
        <w:rPr>
          <w:lang w:val="de-DE"/>
        </w:rPr>
        <w:tab/>
      </w:r>
      <w:r w:rsidR="00113973" w:rsidRPr="0088229B">
        <w:rPr>
          <w:lang w:val="de-DE"/>
        </w:rPr>
        <w:t>Weiteres Vorgehen</w:t>
      </w:r>
    </w:p>
    <w:p w:rsidR="009B04B9" w:rsidRPr="0088229B" w:rsidRDefault="00906FB6" w:rsidP="00113973">
      <w:pPr>
        <w:pStyle w:val="SingleTxtG"/>
        <w:rPr>
          <w:lang w:val="de-DE"/>
        </w:rPr>
      </w:pPr>
      <w:r w:rsidRPr="0088229B">
        <w:rPr>
          <w:lang w:val="de-DE"/>
        </w:rPr>
        <w:t>8</w:t>
      </w:r>
      <w:r w:rsidR="007A30BD" w:rsidRPr="0088229B">
        <w:rPr>
          <w:lang w:val="de-DE"/>
        </w:rPr>
        <w:t xml:space="preserve">. </w:t>
      </w:r>
      <w:r w:rsidR="007A30BD" w:rsidRPr="0088229B">
        <w:rPr>
          <w:lang w:val="de-DE"/>
        </w:rPr>
        <w:tab/>
      </w:r>
      <w:r w:rsidR="00113973" w:rsidRPr="0088229B">
        <w:rPr>
          <w:lang w:val="de-DE"/>
        </w:rPr>
        <w:t>Der Sicherheitsausschuss wird gebeten, die Vorschläge in den Anlagen 1 und 2 zu prüfen und die aus seiner Sicht notwendigen Maßnahmen zu ergreifen.</w:t>
      </w:r>
    </w:p>
    <w:p w:rsidR="00337276" w:rsidRPr="0088229B" w:rsidRDefault="00337276" w:rsidP="00856A9B">
      <w:pPr>
        <w:pStyle w:val="SingleTxtG"/>
        <w:rPr>
          <w:lang w:val="de-DE"/>
        </w:rPr>
        <w:sectPr w:rsidR="00337276" w:rsidRPr="0088229B" w:rsidSect="00B37697">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pgNumType w:start="1"/>
          <w:cols w:space="720"/>
          <w:titlePg/>
          <w:docGrid w:linePitch="272"/>
        </w:sectPr>
      </w:pPr>
    </w:p>
    <w:p w:rsidR="007848CB" w:rsidRPr="0088229B" w:rsidRDefault="004801A0" w:rsidP="00113973">
      <w:pPr>
        <w:pStyle w:val="HChG"/>
        <w:rPr>
          <w:lang w:val="de-DE"/>
        </w:rPr>
      </w:pPr>
      <w:r w:rsidRPr="0088229B">
        <w:rPr>
          <w:lang w:val="de-DE"/>
        </w:rPr>
        <w:lastRenderedPageBreak/>
        <w:t>Anlage</w:t>
      </w:r>
      <w:r w:rsidR="007848CB" w:rsidRPr="0088229B">
        <w:rPr>
          <w:lang w:val="de-DE"/>
        </w:rPr>
        <w:t xml:space="preserve"> 1</w:t>
      </w:r>
    </w:p>
    <w:p w:rsidR="007848CB" w:rsidRPr="0088229B" w:rsidRDefault="00B37697" w:rsidP="00113973">
      <w:pPr>
        <w:pStyle w:val="HChG"/>
        <w:rPr>
          <w:lang w:val="de-DE"/>
        </w:rPr>
      </w:pPr>
      <w:r w:rsidRPr="0088229B">
        <w:rPr>
          <w:lang w:val="de-DE"/>
        </w:rPr>
        <w:tab/>
      </w:r>
      <w:r w:rsidRPr="0088229B">
        <w:rPr>
          <w:lang w:val="de-DE"/>
        </w:rPr>
        <w:tab/>
      </w:r>
      <w:r w:rsidR="00113973" w:rsidRPr="0088229B">
        <w:rPr>
          <w:lang w:val="de-DE"/>
        </w:rPr>
        <w:t>Änderungsvorschläge infolge der Prüfung des Dokuments WP.15/AC.2/27/INF.17 und der anschließenden Diskussionen im August 2015</w:t>
      </w:r>
    </w:p>
    <w:tbl>
      <w:tblPr>
        <w:tblW w:w="12359" w:type="dxa"/>
        <w:tblInd w:w="283"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30"/>
        <w:gridCol w:w="29"/>
        <w:gridCol w:w="4995"/>
        <w:gridCol w:w="941"/>
        <w:gridCol w:w="52"/>
        <w:gridCol w:w="5412"/>
      </w:tblGrid>
      <w:tr w:rsidR="00DF410F" w:rsidRPr="0088229B" w:rsidTr="00C70675">
        <w:trPr>
          <w:cantSplit/>
          <w:tblHeader/>
        </w:trPr>
        <w:tc>
          <w:tcPr>
            <w:tcW w:w="5954" w:type="dxa"/>
            <w:gridSpan w:val="3"/>
            <w:tcBorders>
              <w:top w:val="single" w:sz="4" w:space="0" w:color="auto"/>
              <w:bottom w:val="single" w:sz="12" w:space="0" w:color="auto"/>
            </w:tcBorders>
            <w:shd w:val="clear" w:color="auto" w:fill="auto"/>
            <w:vAlign w:val="bottom"/>
          </w:tcPr>
          <w:p w:rsidR="00DF410F" w:rsidRPr="0088229B" w:rsidRDefault="00DE2CD7" w:rsidP="007907E9">
            <w:pPr>
              <w:pStyle w:val="SingleTxtG"/>
              <w:suppressAutoHyphens w:val="0"/>
              <w:spacing w:before="80" w:after="80" w:line="200" w:lineRule="exact"/>
              <w:ind w:left="0" w:right="113"/>
              <w:jc w:val="left"/>
              <w:rPr>
                <w:i/>
                <w:sz w:val="16"/>
                <w:lang w:val="de-DE"/>
              </w:rPr>
            </w:pPr>
            <w:r w:rsidRPr="0088229B">
              <w:rPr>
                <w:i/>
                <w:sz w:val="16"/>
                <w:lang w:val="de-DE"/>
              </w:rPr>
              <w:t>Derzeitige(r )Wortlaut und Bestimmungen</w:t>
            </w:r>
          </w:p>
        </w:tc>
        <w:tc>
          <w:tcPr>
            <w:tcW w:w="6405" w:type="dxa"/>
            <w:gridSpan w:val="3"/>
            <w:tcBorders>
              <w:top w:val="single" w:sz="4" w:space="0" w:color="auto"/>
              <w:bottom w:val="single" w:sz="12" w:space="0" w:color="auto"/>
            </w:tcBorders>
            <w:shd w:val="clear" w:color="auto" w:fill="auto"/>
            <w:vAlign w:val="bottom"/>
          </w:tcPr>
          <w:p w:rsidR="00DF410F" w:rsidRPr="0088229B" w:rsidRDefault="00DE2CD7" w:rsidP="007907E9">
            <w:pPr>
              <w:pStyle w:val="SingleTxtG"/>
              <w:suppressAutoHyphens w:val="0"/>
              <w:spacing w:before="80" w:after="80" w:line="200" w:lineRule="exact"/>
              <w:ind w:left="0" w:right="113"/>
              <w:jc w:val="left"/>
              <w:rPr>
                <w:i/>
                <w:sz w:val="16"/>
                <w:lang w:val="de-DE"/>
              </w:rPr>
            </w:pPr>
            <w:r w:rsidRPr="0088229B">
              <w:rPr>
                <w:i/>
                <w:sz w:val="16"/>
                <w:lang w:val="de-DE"/>
              </w:rPr>
              <w:t>Ergebnis</w:t>
            </w:r>
            <w:r w:rsidR="00652C53" w:rsidRPr="0088229B">
              <w:rPr>
                <w:i/>
                <w:sz w:val="16"/>
                <w:lang w:val="de-DE"/>
              </w:rPr>
              <w:t>se</w:t>
            </w:r>
            <w:r w:rsidRPr="0088229B">
              <w:rPr>
                <w:i/>
                <w:sz w:val="16"/>
                <w:lang w:val="de-DE"/>
              </w:rPr>
              <w:t xml:space="preserve"> des Dokuments WP.15/AC.2/27/INF.17 </w:t>
            </w:r>
            <w:r w:rsidRPr="0088229B">
              <w:rPr>
                <w:i/>
                <w:sz w:val="16"/>
                <w:lang w:val="de-DE"/>
              </w:rPr>
              <w:br/>
              <w:t>und der Diskussionen im August 2015</w:t>
            </w:r>
          </w:p>
        </w:tc>
      </w:tr>
      <w:tr w:rsidR="00890A31" w:rsidRPr="0088229B" w:rsidTr="00635F8D">
        <w:trPr>
          <w:cantSplit/>
        </w:trPr>
        <w:tc>
          <w:tcPr>
            <w:tcW w:w="959" w:type="dxa"/>
            <w:gridSpan w:val="2"/>
            <w:tcBorders>
              <w:top w:val="single" w:sz="12" w:space="0" w:color="auto"/>
            </w:tcBorders>
            <w:shd w:val="clear" w:color="auto" w:fill="auto"/>
          </w:tcPr>
          <w:p w:rsidR="00890A31" w:rsidRPr="0088229B" w:rsidRDefault="00890A31" w:rsidP="00B37697">
            <w:pPr>
              <w:pStyle w:val="SingleTxtG"/>
              <w:suppressAutoHyphens w:val="0"/>
              <w:spacing w:before="40" w:line="220" w:lineRule="exact"/>
              <w:ind w:left="0" w:right="113"/>
              <w:jc w:val="left"/>
              <w:rPr>
                <w:lang w:val="de-DE"/>
              </w:rPr>
            </w:pPr>
          </w:p>
        </w:tc>
        <w:tc>
          <w:tcPr>
            <w:tcW w:w="4995" w:type="dxa"/>
            <w:tcBorders>
              <w:top w:val="single" w:sz="12" w:space="0" w:color="auto"/>
            </w:tcBorders>
            <w:shd w:val="clear" w:color="auto" w:fill="auto"/>
          </w:tcPr>
          <w:p w:rsidR="00890A31" w:rsidRPr="0088229B" w:rsidRDefault="00890A31" w:rsidP="00B37697">
            <w:pPr>
              <w:pStyle w:val="SingleTxtG"/>
              <w:suppressAutoHyphens w:val="0"/>
              <w:spacing w:before="40" w:line="220" w:lineRule="exact"/>
              <w:ind w:left="0" w:right="113"/>
              <w:jc w:val="left"/>
              <w:rPr>
                <w:lang w:val="de-DE"/>
              </w:rPr>
            </w:pPr>
          </w:p>
        </w:tc>
        <w:tc>
          <w:tcPr>
            <w:tcW w:w="993" w:type="dxa"/>
            <w:gridSpan w:val="2"/>
            <w:tcBorders>
              <w:top w:val="single" w:sz="12" w:space="0" w:color="auto"/>
            </w:tcBorders>
            <w:shd w:val="clear" w:color="auto" w:fill="auto"/>
          </w:tcPr>
          <w:p w:rsidR="00617340" w:rsidRPr="0088229B" w:rsidRDefault="00890A31" w:rsidP="00617340">
            <w:pPr>
              <w:pStyle w:val="SingleTxtG"/>
              <w:suppressAutoHyphens w:val="0"/>
              <w:spacing w:before="40" w:line="220" w:lineRule="exact"/>
              <w:ind w:left="0" w:right="113"/>
              <w:jc w:val="left"/>
              <w:rPr>
                <w:b/>
                <w:u w:val="single"/>
              </w:rPr>
            </w:pPr>
            <w:r w:rsidRPr="0088229B">
              <w:rPr>
                <w:b/>
                <w:u w:val="single"/>
              </w:rPr>
              <w:t>1.2.1</w:t>
            </w:r>
            <w:r w:rsidR="00617340" w:rsidRPr="0088229B">
              <w:rPr>
                <w:b/>
                <w:u w:val="single"/>
              </w:rPr>
              <w:br/>
              <w:t>(Neu)</w:t>
            </w:r>
          </w:p>
        </w:tc>
        <w:tc>
          <w:tcPr>
            <w:tcW w:w="5412" w:type="dxa"/>
            <w:tcBorders>
              <w:top w:val="single" w:sz="12" w:space="0" w:color="auto"/>
            </w:tcBorders>
            <w:shd w:val="clear" w:color="auto" w:fill="auto"/>
          </w:tcPr>
          <w:p w:rsidR="00890A31" w:rsidRPr="0088229B" w:rsidRDefault="0014220F" w:rsidP="007907E9">
            <w:pPr>
              <w:pStyle w:val="SingleTxtG"/>
              <w:suppressAutoHyphens w:val="0"/>
              <w:spacing w:before="40" w:line="220" w:lineRule="exact"/>
              <w:ind w:left="0" w:right="113"/>
              <w:jc w:val="left"/>
              <w:rPr>
                <w:b/>
                <w:bCs/>
                <w:lang w:val="de-DE"/>
              </w:rPr>
            </w:pPr>
            <w:r w:rsidRPr="0088229B">
              <w:rPr>
                <w:b/>
                <w:bCs/>
                <w:i/>
                <w:iCs/>
                <w:u w:val="single"/>
                <w:lang w:val="de-DE"/>
              </w:rPr>
              <w:t>Schiffs</w:t>
            </w:r>
            <w:r w:rsidR="00525493" w:rsidRPr="0088229B">
              <w:rPr>
                <w:b/>
                <w:bCs/>
                <w:i/>
                <w:iCs/>
                <w:u w:val="single"/>
                <w:lang w:val="de-DE"/>
              </w:rPr>
              <w:t>akte</w:t>
            </w:r>
            <w:r w:rsidR="004A1F60" w:rsidRPr="0088229B">
              <w:rPr>
                <w:b/>
                <w:bCs/>
                <w:i/>
                <w:iCs/>
                <w:u w:val="single"/>
                <w:lang w:val="de-DE"/>
              </w:rPr>
              <w:t>:</w:t>
            </w:r>
            <w:r w:rsidRPr="0088229B">
              <w:rPr>
                <w:b/>
                <w:bCs/>
                <w:iCs/>
                <w:u w:val="single"/>
                <w:lang w:val="de-DE"/>
              </w:rPr>
              <w:t xml:space="preserve"> </w:t>
            </w:r>
            <w:r w:rsidR="004A1F60" w:rsidRPr="0088229B">
              <w:rPr>
                <w:b/>
                <w:bCs/>
                <w:iCs/>
                <w:u w:val="single"/>
                <w:lang w:val="de-DE"/>
              </w:rPr>
              <w:t>E</w:t>
            </w:r>
            <w:r w:rsidRPr="0088229B">
              <w:rPr>
                <w:b/>
                <w:bCs/>
                <w:iCs/>
                <w:u w:val="single"/>
                <w:lang w:val="de-DE"/>
              </w:rPr>
              <w:t xml:space="preserve">in </w:t>
            </w:r>
            <w:r w:rsidR="004A1F60" w:rsidRPr="0088229B">
              <w:rPr>
                <w:b/>
                <w:bCs/>
                <w:iCs/>
                <w:u w:val="single"/>
                <w:lang w:val="de-DE"/>
              </w:rPr>
              <w:t>Dokument</w:t>
            </w:r>
            <w:r w:rsidRPr="0088229B">
              <w:rPr>
                <w:b/>
                <w:bCs/>
                <w:iCs/>
                <w:u w:val="single"/>
                <w:lang w:val="de-DE"/>
              </w:rPr>
              <w:t>, d</w:t>
            </w:r>
            <w:r w:rsidR="004A1F60" w:rsidRPr="0088229B">
              <w:rPr>
                <w:b/>
                <w:bCs/>
                <w:iCs/>
                <w:u w:val="single"/>
                <w:lang w:val="de-DE"/>
              </w:rPr>
              <w:t>as</w:t>
            </w:r>
            <w:r w:rsidRPr="0088229B">
              <w:rPr>
                <w:b/>
                <w:bCs/>
                <w:iCs/>
                <w:u w:val="single"/>
                <w:lang w:val="de-DE"/>
              </w:rPr>
              <w:t xml:space="preserve"> alle technisch</w:t>
            </w:r>
            <w:r w:rsidR="004A1F60" w:rsidRPr="0088229B">
              <w:rPr>
                <w:b/>
                <w:bCs/>
                <w:iCs/>
                <w:u w:val="single"/>
                <w:lang w:val="de-DE"/>
              </w:rPr>
              <w:t xml:space="preserve"> relevant</w:t>
            </w:r>
            <w:r w:rsidRPr="0088229B">
              <w:rPr>
                <w:b/>
                <w:bCs/>
                <w:iCs/>
                <w:u w:val="single"/>
                <w:lang w:val="de-DE"/>
              </w:rPr>
              <w:t>en Informationen ein</w:t>
            </w:r>
            <w:r w:rsidR="004A1F60" w:rsidRPr="0088229B">
              <w:rPr>
                <w:b/>
                <w:bCs/>
                <w:iCs/>
                <w:u w:val="single"/>
                <w:lang w:val="de-DE"/>
              </w:rPr>
              <w:t>es</w:t>
            </w:r>
            <w:r w:rsidRPr="0088229B">
              <w:rPr>
                <w:b/>
                <w:bCs/>
                <w:iCs/>
                <w:u w:val="single"/>
                <w:lang w:val="de-DE"/>
              </w:rPr>
              <w:t xml:space="preserve"> Schiff</w:t>
            </w:r>
            <w:r w:rsidR="004A1F60" w:rsidRPr="0088229B">
              <w:rPr>
                <w:b/>
                <w:bCs/>
                <w:iCs/>
                <w:u w:val="single"/>
                <w:lang w:val="de-DE"/>
              </w:rPr>
              <w:t>es</w:t>
            </w:r>
            <w:r w:rsidRPr="0088229B">
              <w:rPr>
                <w:b/>
                <w:bCs/>
                <w:iCs/>
                <w:u w:val="single"/>
                <w:lang w:val="de-DE"/>
              </w:rPr>
              <w:t xml:space="preserve"> oder eine</w:t>
            </w:r>
            <w:r w:rsidR="004A1F60" w:rsidRPr="0088229B">
              <w:rPr>
                <w:b/>
                <w:bCs/>
                <w:iCs/>
                <w:u w:val="single"/>
                <w:lang w:val="de-DE"/>
              </w:rPr>
              <w:t>s</w:t>
            </w:r>
            <w:r w:rsidRPr="0088229B">
              <w:rPr>
                <w:b/>
                <w:bCs/>
                <w:iCs/>
                <w:u w:val="single"/>
                <w:lang w:val="de-DE"/>
              </w:rPr>
              <w:t xml:space="preserve"> Schubleichter</w:t>
            </w:r>
            <w:r w:rsidR="004A1F60" w:rsidRPr="0088229B">
              <w:rPr>
                <w:b/>
                <w:bCs/>
                <w:iCs/>
                <w:u w:val="single"/>
                <w:lang w:val="de-DE"/>
              </w:rPr>
              <w:t>s</w:t>
            </w:r>
            <w:r w:rsidRPr="0088229B">
              <w:rPr>
                <w:b/>
                <w:bCs/>
                <w:iCs/>
                <w:u w:val="single"/>
                <w:lang w:val="de-DE"/>
              </w:rPr>
              <w:t xml:space="preserve"> wie Baupläne und Ausrüstungsunterlagen enthält;</w:t>
            </w:r>
          </w:p>
        </w:tc>
      </w:tr>
      <w:tr w:rsidR="00FA58F8" w:rsidRPr="0088229B" w:rsidTr="00635F8D">
        <w:trPr>
          <w:cantSplit/>
        </w:trPr>
        <w:tc>
          <w:tcPr>
            <w:tcW w:w="959" w:type="dxa"/>
            <w:gridSpan w:val="2"/>
            <w:shd w:val="clear" w:color="auto" w:fill="auto"/>
          </w:tcPr>
          <w:p w:rsidR="00FA58F8" w:rsidRPr="0088229B" w:rsidRDefault="00FA58F8" w:rsidP="00B37697">
            <w:pPr>
              <w:pStyle w:val="SingleTxtG"/>
              <w:suppressAutoHyphens w:val="0"/>
              <w:spacing w:before="40" w:line="220" w:lineRule="exact"/>
              <w:ind w:left="0" w:right="113"/>
              <w:jc w:val="left"/>
              <w:rPr>
                <w:lang w:val="de-DE"/>
              </w:rPr>
            </w:pPr>
          </w:p>
        </w:tc>
        <w:tc>
          <w:tcPr>
            <w:tcW w:w="4995" w:type="dxa"/>
            <w:shd w:val="clear" w:color="auto" w:fill="auto"/>
          </w:tcPr>
          <w:p w:rsidR="00FA58F8" w:rsidRPr="0088229B" w:rsidRDefault="00FA58F8" w:rsidP="00B37697">
            <w:pPr>
              <w:pStyle w:val="SingleTxtG"/>
              <w:suppressAutoHyphens w:val="0"/>
              <w:spacing w:before="40" w:line="220" w:lineRule="exact"/>
              <w:ind w:left="0" w:right="113"/>
              <w:jc w:val="left"/>
              <w:rPr>
                <w:lang w:val="de-DE"/>
              </w:rPr>
            </w:pPr>
          </w:p>
        </w:tc>
        <w:tc>
          <w:tcPr>
            <w:tcW w:w="993" w:type="dxa"/>
            <w:gridSpan w:val="2"/>
            <w:shd w:val="clear" w:color="auto" w:fill="auto"/>
          </w:tcPr>
          <w:p w:rsidR="00FA58F8" w:rsidRPr="0088229B" w:rsidRDefault="00FA58F8" w:rsidP="00617340">
            <w:pPr>
              <w:pStyle w:val="SingleTxtG"/>
              <w:suppressAutoHyphens w:val="0"/>
              <w:spacing w:before="40" w:line="220" w:lineRule="exact"/>
              <w:ind w:left="0" w:right="0"/>
              <w:jc w:val="left"/>
              <w:rPr>
                <w:b/>
              </w:rPr>
            </w:pPr>
            <w:r w:rsidRPr="0088229B">
              <w:rPr>
                <w:b/>
                <w:u w:val="single"/>
              </w:rPr>
              <w:t>1.6.7.2.1.4</w:t>
            </w:r>
            <w:r w:rsidR="00617340" w:rsidRPr="0088229B">
              <w:rPr>
                <w:b/>
                <w:u w:val="single"/>
              </w:rPr>
              <w:br/>
            </w:r>
            <w:r w:rsidRPr="0088229B">
              <w:rPr>
                <w:b/>
              </w:rPr>
              <w:t>(</w:t>
            </w:r>
            <w:r w:rsidR="00E6101D" w:rsidRPr="0088229B">
              <w:rPr>
                <w:b/>
              </w:rPr>
              <w:t>Neu</w:t>
            </w:r>
            <w:r w:rsidRPr="0088229B">
              <w:rPr>
                <w:b/>
              </w:rPr>
              <w:t>)</w:t>
            </w:r>
          </w:p>
        </w:tc>
        <w:tc>
          <w:tcPr>
            <w:tcW w:w="5412" w:type="dxa"/>
            <w:shd w:val="clear" w:color="auto" w:fill="auto"/>
          </w:tcPr>
          <w:p w:rsidR="00FA58F8" w:rsidRPr="0088229B" w:rsidRDefault="00FE59FB" w:rsidP="007907E9">
            <w:pPr>
              <w:pStyle w:val="SingleTxtG"/>
              <w:suppressAutoHyphens w:val="0"/>
              <w:spacing w:before="40" w:line="220" w:lineRule="exact"/>
              <w:ind w:left="0" w:right="113"/>
              <w:jc w:val="left"/>
              <w:rPr>
                <w:b/>
                <w:bCs/>
                <w:u w:val="single"/>
                <w:lang w:val="de-DE"/>
              </w:rPr>
            </w:pPr>
            <w:r w:rsidRPr="0088229B">
              <w:rPr>
                <w:b/>
                <w:bCs/>
                <w:u w:val="single"/>
                <w:lang w:val="de-DE"/>
              </w:rPr>
              <w:t xml:space="preserve">Bei Schiffen oder Schubleichtern, die vor dem 1. Januar 2017 auf Kiel gelegt worden sind und nicht den </w:t>
            </w:r>
            <w:r w:rsidR="004A1F60" w:rsidRPr="0088229B">
              <w:rPr>
                <w:b/>
                <w:bCs/>
                <w:u w:val="single"/>
                <w:lang w:val="de-DE"/>
              </w:rPr>
              <w:t>Vorschriften</w:t>
            </w:r>
            <w:r w:rsidRPr="0088229B">
              <w:rPr>
                <w:b/>
                <w:bCs/>
                <w:u w:val="single"/>
                <w:lang w:val="de-DE"/>
              </w:rPr>
              <w:t xml:space="preserve"> des Unterabschnitts 9.0.X.1 </w:t>
            </w:r>
            <w:r w:rsidR="004A1F60" w:rsidRPr="0088229B">
              <w:rPr>
                <w:b/>
                <w:bCs/>
                <w:u w:val="single"/>
                <w:lang w:val="de-DE"/>
              </w:rPr>
              <w:t>betreffend</w:t>
            </w:r>
            <w:r w:rsidRPr="0088229B">
              <w:rPr>
                <w:b/>
                <w:bCs/>
                <w:u w:val="single"/>
                <w:lang w:val="de-DE"/>
              </w:rPr>
              <w:t xml:space="preserve"> d</w:t>
            </w:r>
            <w:r w:rsidR="004A1F60" w:rsidRPr="0088229B">
              <w:rPr>
                <w:b/>
                <w:bCs/>
                <w:u w:val="single"/>
                <w:lang w:val="de-DE"/>
              </w:rPr>
              <w:t>i</w:t>
            </w:r>
            <w:r w:rsidRPr="0088229B">
              <w:rPr>
                <w:b/>
                <w:bCs/>
                <w:u w:val="single"/>
                <w:lang w:val="de-DE"/>
              </w:rPr>
              <w:t>e Schiffs</w:t>
            </w:r>
            <w:r w:rsidR="004A1F60" w:rsidRPr="0088229B">
              <w:rPr>
                <w:b/>
                <w:bCs/>
                <w:u w:val="single"/>
                <w:lang w:val="de-DE"/>
              </w:rPr>
              <w:t>akte</w:t>
            </w:r>
            <w:r w:rsidRPr="0088229B">
              <w:rPr>
                <w:b/>
                <w:bCs/>
                <w:u w:val="single"/>
                <w:lang w:val="de-DE"/>
              </w:rPr>
              <w:t xml:space="preserve"> entsprechen, </w:t>
            </w:r>
            <w:r w:rsidR="004A1F60" w:rsidRPr="0088229B">
              <w:rPr>
                <w:b/>
                <w:bCs/>
                <w:u w:val="single"/>
                <w:lang w:val="de-DE"/>
              </w:rPr>
              <w:t>muss</w:t>
            </w:r>
            <w:r w:rsidRPr="0088229B">
              <w:rPr>
                <w:b/>
                <w:bCs/>
                <w:u w:val="single"/>
                <w:lang w:val="de-DE"/>
              </w:rPr>
              <w:t xml:space="preserve"> </w:t>
            </w:r>
            <w:r w:rsidR="004A1F60" w:rsidRPr="0088229B">
              <w:rPr>
                <w:b/>
                <w:bCs/>
                <w:u w:val="single"/>
                <w:lang w:val="de-DE"/>
              </w:rPr>
              <w:t>spätestens bei der nächsten Erneuerung des Zulassungszeugnisses mit der</w:t>
            </w:r>
            <w:r w:rsidRPr="0088229B">
              <w:rPr>
                <w:b/>
                <w:bCs/>
                <w:u w:val="single"/>
                <w:lang w:val="de-DE"/>
              </w:rPr>
              <w:t xml:space="preserve"> Aufbewahrung </w:t>
            </w:r>
            <w:r w:rsidR="004A1F60" w:rsidRPr="0088229B">
              <w:rPr>
                <w:b/>
                <w:bCs/>
                <w:u w:val="single"/>
                <w:lang w:val="de-DE"/>
              </w:rPr>
              <w:t>der</w:t>
            </w:r>
            <w:r w:rsidRPr="0088229B">
              <w:rPr>
                <w:b/>
                <w:bCs/>
                <w:u w:val="single"/>
                <w:lang w:val="de-DE"/>
              </w:rPr>
              <w:t xml:space="preserve"> </w:t>
            </w:r>
            <w:r w:rsidR="004A1F60" w:rsidRPr="0088229B">
              <w:rPr>
                <w:b/>
                <w:bCs/>
                <w:u w:val="single"/>
                <w:lang w:val="de-DE"/>
              </w:rPr>
              <w:t>Dokumente</w:t>
            </w:r>
            <w:r w:rsidRPr="0088229B">
              <w:rPr>
                <w:b/>
                <w:bCs/>
                <w:u w:val="single"/>
                <w:lang w:val="de-DE"/>
              </w:rPr>
              <w:t xml:space="preserve"> für d</w:t>
            </w:r>
            <w:r w:rsidR="00525493" w:rsidRPr="0088229B">
              <w:rPr>
                <w:b/>
                <w:bCs/>
                <w:u w:val="single"/>
                <w:lang w:val="de-DE"/>
              </w:rPr>
              <w:t>ie</w:t>
            </w:r>
            <w:r w:rsidRPr="0088229B">
              <w:rPr>
                <w:b/>
                <w:bCs/>
                <w:u w:val="single"/>
                <w:lang w:val="de-DE"/>
              </w:rPr>
              <w:t xml:space="preserve"> Schiffs</w:t>
            </w:r>
            <w:r w:rsidR="00525493" w:rsidRPr="0088229B">
              <w:rPr>
                <w:b/>
                <w:bCs/>
                <w:u w:val="single"/>
                <w:lang w:val="de-DE"/>
              </w:rPr>
              <w:t>akte</w:t>
            </w:r>
            <w:r w:rsidR="004A1F60" w:rsidRPr="0088229B">
              <w:rPr>
                <w:b/>
                <w:bCs/>
                <w:u w:val="single"/>
                <w:lang w:val="de-DE"/>
              </w:rPr>
              <w:t xml:space="preserve"> begonnen werden</w:t>
            </w:r>
            <w:r w:rsidRPr="0088229B">
              <w:rPr>
                <w:b/>
                <w:bCs/>
                <w:u w:val="single"/>
                <w:lang w:val="de-DE"/>
              </w:rPr>
              <w:t>.</w:t>
            </w:r>
          </w:p>
        </w:tc>
      </w:tr>
      <w:tr w:rsidR="00FA58F8" w:rsidRPr="0088229B" w:rsidTr="00635F8D">
        <w:trPr>
          <w:cantSplit/>
        </w:trPr>
        <w:tc>
          <w:tcPr>
            <w:tcW w:w="959" w:type="dxa"/>
            <w:gridSpan w:val="2"/>
            <w:shd w:val="clear" w:color="auto" w:fill="auto"/>
          </w:tcPr>
          <w:p w:rsidR="00FA58F8" w:rsidRPr="0088229B" w:rsidRDefault="00FA58F8" w:rsidP="00B37697">
            <w:pPr>
              <w:pStyle w:val="SingleTxtG"/>
              <w:suppressAutoHyphens w:val="0"/>
              <w:spacing w:before="40" w:line="220" w:lineRule="exact"/>
              <w:ind w:left="0" w:right="113"/>
              <w:jc w:val="left"/>
              <w:rPr>
                <w:lang w:val="de-DE"/>
              </w:rPr>
            </w:pPr>
          </w:p>
        </w:tc>
        <w:tc>
          <w:tcPr>
            <w:tcW w:w="4995" w:type="dxa"/>
            <w:shd w:val="clear" w:color="auto" w:fill="auto"/>
          </w:tcPr>
          <w:p w:rsidR="00FA58F8" w:rsidRPr="0088229B" w:rsidRDefault="00FA58F8" w:rsidP="00B37697">
            <w:pPr>
              <w:pStyle w:val="SingleTxtG"/>
              <w:suppressAutoHyphens w:val="0"/>
              <w:spacing w:before="40" w:line="220" w:lineRule="exact"/>
              <w:ind w:left="0" w:right="113"/>
              <w:jc w:val="left"/>
              <w:rPr>
                <w:lang w:val="de-DE"/>
              </w:rPr>
            </w:pPr>
          </w:p>
        </w:tc>
        <w:tc>
          <w:tcPr>
            <w:tcW w:w="993" w:type="dxa"/>
            <w:gridSpan w:val="2"/>
            <w:shd w:val="clear" w:color="auto" w:fill="auto"/>
          </w:tcPr>
          <w:p w:rsidR="00FA58F8" w:rsidRPr="0088229B" w:rsidRDefault="00FA58F8" w:rsidP="00617340">
            <w:pPr>
              <w:pStyle w:val="SingleTxtG"/>
              <w:suppressAutoHyphens w:val="0"/>
              <w:spacing w:before="40" w:line="220" w:lineRule="exact"/>
              <w:ind w:left="0" w:right="0"/>
              <w:jc w:val="left"/>
              <w:rPr>
                <w:b/>
              </w:rPr>
            </w:pPr>
            <w:r w:rsidRPr="0088229B">
              <w:rPr>
                <w:b/>
                <w:u w:val="single"/>
              </w:rPr>
              <w:t>1.6.7.2.2.5</w:t>
            </w:r>
            <w:r w:rsidR="00617340" w:rsidRPr="0088229B">
              <w:rPr>
                <w:b/>
                <w:u w:val="single"/>
              </w:rPr>
              <w:br/>
            </w:r>
            <w:r w:rsidRPr="0088229B">
              <w:rPr>
                <w:b/>
              </w:rPr>
              <w:t>(</w:t>
            </w:r>
            <w:r w:rsidR="00E6101D" w:rsidRPr="0088229B">
              <w:rPr>
                <w:b/>
              </w:rPr>
              <w:t>Neu</w:t>
            </w:r>
            <w:r w:rsidRPr="0088229B">
              <w:rPr>
                <w:b/>
              </w:rPr>
              <w:t>)</w:t>
            </w:r>
          </w:p>
        </w:tc>
        <w:tc>
          <w:tcPr>
            <w:tcW w:w="5412" w:type="dxa"/>
            <w:shd w:val="clear" w:color="auto" w:fill="auto"/>
          </w:tcPr>
          <w:p w:rsidR="00FA58F8" w:rsidRPr="0088229B" w:rsidRDefault="00505839" w:rsidP="007907E9">
            <w:pPr>
              <w:pStyle w:val="SingleTxtG"/>
              <w:suppressAutoHyphens w:val="0"/>
              <w:spacing w:before="40" w:line="220" w:lineRule="exact"/>
              <w:ind w:left="0" w:right="113"/>
              <w:jc w:val="left"/>
              <w:rPr>
                <w:b/>
                <w:bCs/>
                <w:u w:val="single"/>
                <w:lang w:val="de-DE"/>
              </w:rPr>
            </w:pPr>
            <w:r w:rsidRPr="0088229B">
              <w:rPr>
                <w:b/>
                <w:bCs/>
                <w:u w:val="single"/>
                <w:lang w:val="de-DE"/>
              </w:rPr>
              <w:t>Bei Schiffen oder Schubleichtern, die vor dem 1. Januar 2017 auf Kiel gelegt worden sind und nicht den Vorschriften des Unterabschnitts 9.3.X.1 betreffend die Schiffsakte entsprechen, muss spätestens bei der nächsten Erneuerung des Zulassungszeugnisses mit der Aufbewahrung der Dokumente für die Schiffsakte begonnen werden.</w:t>
            </w:r>
          </w:p>
        </w:tc>
      </w:tr>
      <w:tr w:rsidR="00FA58F8" w:rsidRPr="0088229B" w:rsidTr="00635F8D">
        <w:trPr>
          <w:cantSplit/>
        </w:trPr>
        <w:tc>
          <w:tcPr>
            <w:tcW w:w="959"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bCs/>
                <w:lang w:val="de-DE"/>
              </w:rPr>
            </w:pPr>
          </w:p>
        </w:tc>
        <w:tc>
          <w:tcPr>
            <w:tcW w:w="4995" w:type="dxa"/>
            <w:shd w:val="clear" w:color="auto" w:fill="auto"/>
          </w:tcPr>
          <w:p w:rsidR="00FA58F8" w:rsidRPr="0088229B" w:rsidRDefault="00FA58F8" w:rsidP="00B37697">
            <w:pPr>
              <w:pStyle w:val="SingleTxtG"/>
              <w:suppressAutoHyphens w:val="0"/>
              <w:spacing w:before="40" w:line="220" w:lineRule="exact"/>
              <w:ind w:left="0" w:right="113"/>
              <w:jc w:val="left"/>
              <w:rPr>
                <w:b/>
                <w:bCs/>
                <w:lang w:val="de-DE"/>
              </w:rPr>
            </w:pPr>
          </w:p>
        </w:tc>
        <w:tc>
          <w:tcPr>
            <w:tcW w:w="993" w:type="dxa"/>
            <w:gridSpan w:val="2"/>
            <w:shd w:val="clear" w:color="auto" w:fill="auto"/>
          </w:tcPr>
          <w:p w:rsidR="00FA58F8" w:rsidRPr="0088229B" w:rsidRDefault="00FA58F8" w:rsidP="00617340">
            <w:pPr>
              <w:pStyle w:val="SingleTxtG"/>
              <w:suppressAutoHyphens w:val="0"/>
              <w:spacing w:before="40" w:line="220" w:lineRule="exact"/>
              <w:ind w:left="0" w:right="113"/>
              <w:jc w:val="left"/>
              <w:rPr>
                <w:b/>
                <w:bCs/>
              </w:rPr>
            </w:pPr>
            <w:r w:rsidRPr="0088229B">
              <w:rPr>
                <w:b/>
                <w:bCs/>
                <w:u w:val="single"/>
              </w:rPr>
              <w:t>1.16.0</w:t>
            </w:r>
            <w:r w:rsidR="00617340" w:rsidRPr="0088229B">
              <w:rPr>
                <w:b/>
                <w:bCs/>
                <w:u w:val="single"/>
              </w:rPr>
              <w:br/>
            </w:r>
            <w:r w:rsidRPr="0088229B">
              <w:rPr>
                <w:b/>
                <w:bCs/>
              </w:rPr>
              <w:t>(</w:t>
            </w:r>
            <w:r w:rsidR="00E6101D" w:rsidRPr="0088229B">
              <w:rPr>
                <w:b/>
                <w:bCs/>
              </w:rPr>
              <w:t>Neu</w:t>
            </w:r>
            <w:r w:rsidRPr="0088229B">
              <w:rPr>
                <w:b/>
                <w:bCs/>
              </w:rPr>
              <w:t>)</w:t>
            </w:r>
          </w:p>
        </w:tc>
        <w:tc>
          <w:tcPr>
            <w:tcW w:w="5412" w:type="dxa"/>
            <w:shd w:val="clear" w:color="auto" w:fill="auto"/>
          </w:tcPr>
          <w:p w:rsidR="00FA58F8" w:rsidRPr="0088229B" w:rsidRDefault="00FE59FB" w:rsidP="007907E9">
            <w:pPr>
              <w:pStyle w:val="SingleTxtG"/>
              <w:suppressAutoHyphens w:val="0"/>
              <w:spacing w:before="40" w:line="220" w:lineRule="exact"/>
              <w:ind w:left="0" w:right="113"/>
              <w:jc w:val="left"/>
              <w:rPr>
                <w:b/>
                <w:bCs/>
                <w:u w:val="single"/>
                <w:lang w:val="de-DE"/>
              </w:rPr>
            </w:pPr>
            <w:r w:rsidRPr="0088229B">
              <w:rPr>
                <w:b/>
                <w:u w:val="single"/>
                <w:lang w:val="de-DE"/>
              </w:rPr>
              <w:t xml:space="preserve">Für Zwecke dieses Kapitels versteht man unter „Eigner“ „den Eigner oder dessen Bevollmächtigten oder, </w:t>
            </w:r>
            <w:r w:rsidR="00CC6ED7" w:rsidRPr="0088229B">
              <w:rPr>
                <w:b/>
                <w:u w:val="single"/>
                <w:lang w:val="de-DE"/>
              </w:rPr>
              <w:t>wenn das Schiff von einem Betreiber gechartert wurde, den Betreiber oder dessen Bevollmächtigten“.</w:t>
            </w:r>
          </w:p>
        </w:tc>
      </w:tr>
      <w:tr w:rsidR="00FA58F8" w:rsidRPr="0088229B" w:rsidTr="00635F8D">
        <w:trPr>
          <w:cantSplit/>
        </w:trPr>
        <w:tc>
          <w:tcPr>
            <w:tcW w:w="959"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rPr>
            </w:pPr>
            <w:r w:rsidRPr="0088229B">
              <w:rPr>
                <w:b/>
              </w:rPr>
              <w:t>1.16.1.2</w:t>
            </w:r>
          </w:p>
        </w:tc>
        <w:tc>
          <w:tcPr>
            <w:tcW w:w="4995" w:type="dxa"/>
            <w:shd w:val="clear" w:color="auto" w:fill="auto"/>
          </w:tcPr>
          <w:p w:rsidR="00FA58F8" w:rsidRPr="0088229B" w:rsidRDefault="004801A0" w:rsidP="00CC6ED7">
            <w:pPr>
              <w:pStyle w:val="SingleTxtG"/>
              <w:suppressAutoHyphens w:val="0"/>
              <w:spacing w:before="40" w:line="220" w:lineRule="exact"/>
              <w:ind w:left="0" w:right="113"/>
              <w:jc w:val="left"/>
              <w:rPr>
                <w:b/>
              </w:rPr>
            </w:pPr>
            <w:r w:rsidRPr="0088229B">
              <w:rPr>
                <w:b/>
                <w:bCs/>
                <w:lang w:val="en-US"/>
              </w:rPr>
              <w:t>Form des Zulassungszeugnisses, Eintragungen</w:t>
            </w:r>
          </w:p>
        </w:tc>
        <w:tc>
          <w:tcPr>
            <w:tcW w:w="993"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u w:val="single"/>
              </w:rPr>
            </w:pPr>
            <w:r w:rsidRPr="0088229B">
              <w:rPr>
                <w:b/>
                <w:u w:val="single"/>
              </w:rPr>
              <w:t>1.16.1.2</w:t>
            </w:r>
          </w:p>
        </w:tc>
        <w:tc>
          <w:tcPr>
            <w:tcW w:w="5412" w:type="dxa"/>
            <w:shd w:val="clear" w:color="auto" w:fill="auto"/>
          </w:tcPr>
          <w:p w:rsidR="00FA58F8" w:rsidRPr="0088229B" w:rsidRDefault="004801A0" w:rsidP="00B37697">
            <w:pPr>
              <w:pStyle w:val="SingleTxtG"/>
              <w:suppressAutoHyphens w:val="0"/>
              <w:spacing w:before="40" w:line="220" w:lineRule="exact"/>
              <w:ind w:left="0" w:right="113"/>
              <w:jc w:val="left"/>
              <w:rPr>
                <w:b/>
              </w:rPr>
            </w:pPr>
            <w:r w:rsidRPr="0088229B">
              <w:rPr>
                <w:b/>
                <w:bCs/>
                <w:lang w:val="en-US"/>
              </w:rPr>
              <w:t>Form des Zulassungszeugnisses, Eintragungen</w:t>
            </w:r>
          </w:p>
        </w:tc>
      </w:tr>
      <w:tr w:rsidR="00FA58F8" w:rsidRPr="0088229B" w:rsidTr="00635F8D">
        <w:trPr>
          <w:cantSplit/>
        </w:trPr>
        <w:tc>
          <w:tcPr>
            <w:tcW w:w="959"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rPr>
            </w:pPr>
            <w:r w:rsidRPr="0088229B">
              <w:rPr>
                <w:b/>
              </w:rPr>
              <w:t>1.16.1.2.2</w:t>
            </w:r>
          </w:p>
        </w:tc>
        <w:tc>
          <w:tcPr>
            <w:tcW w:w="4995" w:type="dxa"/>
            <w:shd w:val="clear" w:color="auto" w:fill="auto"/>
          </w:tcPr>
          <w:p w:rsidR="00FA58F8" w:rsidRPr="0088229B" w:rsidRDefault="00E16A8D" w:rsidP="00E16A8D">
            <w:pPr>
              <w:pStyle w:val="SingleTxtG"/>
              <w:spacing w:before="40" w:line="220" w:lineRule="exact"/>
              <w:ind w:left="34" w:right="113"/>
              <w:rPr>
                <w:b/>
                <w:lang w:val="de-DE"/>
              </w:rPr>
            </w:pPr>
            <w:r w:rsidRPr="0088229B">
              <w:rPr>
                <w:rFonts w:eastAsia="TimesNewRomanPSMT"/>
                <w:lang w:val="de-DE" w:eastAsia="fr-FR"/>
              </w:rPr>
              <w:t>Das Zulassungszeugnis muss bestätigen, dass das Schiff untersucht worden ist und dass Bau und Ausrüstung den anwendbaren Vorschriften dieser Verordnung entsprechen.</w:t>
            </w:r>
          </w:p>
        </w:tc>
        <w:tc>
          <w:tcPr>
            <w:tcW w:w="993"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u w:val="single"/>
              </w:rPr>
            </w:pPr>
            <w:r w:rsidRPr="0088229B">
              <w:rPr>
                <w:b/>
                <w:u w:val="single"/>
              </w:rPr>
              <w:t>1.16.1.2.2</w:t>
            </w:r>
          </w:p>
        </w:tc>
        <w:tc>
          <w:tcPr>
            <w:tcW w:w="5412" w:type="dxa"/>
            <w:shd w:val="clear" w:color="auto" w:fill="auto"/>
          </w:tcPr>
          <w:p w:rsidR="00FA58F8" w:rsidRPr="0088229B" w:rsidRDefault="004B5AA9" w:rsidP="007907E9">
            <w:pPr>
              <w:pStyle w:val="SingleTxtG"/>
              <w:suppressAutoHyphens w:val="0"/>
              <w:spacing w:before="40" w:line="220" w:lineRule="exact"/>
              <w:ind w:left="0" w:right="113"/>
              <w:jc w:val="left"/>
              <w:rPr>
                <w:b/>
                <w:lang w:val="de-DE"/>
              </w:rPr>
            </w:pPr>
            <w:r w:rsidRPr="0088229B">
              <w:rPr>
                <w:rFonts w:eastAsia="TimesNewRomanPSMT"/>
                <w:lang w:val="de-DE" w:eastAsia="fr-FR"/>
              </w:rPr>
              <w:t xml:space="preserve">Das Zulassungszeugnis muss bestätigen, dass das Schiff untersucht worden ist und dass Bau und Ausrüstung den anwendbaren Vorschriften dieser Verordnung </w:t>
            </w:r>
            <w:r w:rsidRPr="0088229B">
              <w:rPr>
                <w:rFonts w:eastAsia="TimesNewRomanPSMT"/>
                <w:b/>
                <w:u w:val="single"/>
                <w:lang w:val="de-DE" w:eastAsia="fr-FR"/>
              </w:rPr>
              <w:t>vollständig</w:t>
            </w:r>
            <w:r w:rsidRPr="0088229B">
              <w:rPr>
                <w:rFonts w:eastAsia="TimesNewRomanPSMT"/>
                <w:lang w:val="de-DE" w:eastAsia="fr-FR"/>
              </w:rPr>
              <w:t xml:space="preserve"> entsprechen.</w:t>
            </w:r>
          </w:p>
        </w:tc>
      </w:tr>
      <w:tr w:rsidR="00FA58F8" w:rsidRPr="0088229B" w:rsidTr="00635F8D">
        <w:trPr>
          <w:cantSplit/>
        </w:trPr>
        <w:tc>
          <w:tcPr>
            <w:tcW w:w="959" w:type="dxa"/>
            <w:gridSpan w:val="2"/>
            <w:shd w:val="clear" w:color="auto" w:fill="auto"/>
          </w:tcPr>
          <w:p w:rsidR="00FA58F8" w:rsidRPr="0088229B" w:rsidRDefault="00FA58F8" w:rsidP="000F5C89">
            <w:pPr>
              <w:pStyle w:val="SingleTxtG"/>
              <w:keepNext/>
              <w:keepLines/>
              <w:suppressAutoHyphens w:val="0"/>
              <w:spacing w:before="40" w:line="220" w:lineRule="exact"/>
              <w:ind w:left="0" w:right="113"/>
              <w:jc w:val="left"/>
              <w:rPr>
                <w:b/>
              </w:rPr>
            </w:pPr>
            <w:r w:rsidRPr="0088229B">
              <w:rPr>
                <w:b/>
              </w:rPr>
              <w:lastRenderedPageBreak/>
              <w:t>1.16.1.2.5</w:t>
            </w:r>
          </w:p>
        </w:tc>
        <w:tc>
          <w:tcPr>
            <w:tcW w:w="4995" w:type="dxa"/>
            <w:shd w:val="clear" w:color="auto" w:fill="auto"/>
          </w:tcPr>
          <w:p w:rsidR="00FA58F8" w:rsidRPr="0088229B" w:rsidRDefault="004B5AA9" w:rsidP="004B5AA9">
            <w:pPr>
              <w:pStyle w:val="SingleTxtG"/>
              <w:keepNext/>
              <w:keepLines/>
              <w:suppressAutoHyphens w:val="0"/>
              <w:spacing w:before="40" w:line="220" w:lineRule="exact"/>
              <w:ind w:left="0" w:right="113"/>
              <w:jc w:val="left"/>
              <w:rPr>
                <w:rFonts w:eastAsia="TimesNewRomanPSMT"/>
                <w:i/>
                <w:iCs/>
                <w:lang w:val="de-DE" w:eastAsia="fr-FR"/>
              </w:rPr>
            </w:pPr>
            <w:r w:rsidRPr="0088229B">
              <w:rPr>
                <w:rFonts w:eastAsia="TimesNewRomanPSMT"/>
                <w:i/>
                <w:iCs/>
                <w:lang w:val="de-DE" w:eastAsia="fr-FR"/>
              </w:rPr>
              <w:t xml:space="preserve"> </w:t>
            </w:r>
            <w:r w:rsidR="00A1385B" w:rsidRPr="0088229B">
              <w:rPr>
                <w:rFonts w:eastAsia="TimesNewRomanPSMT"/>
                <w:i/>
                <w:iCs/>
                <w:lang w:val="de-DE" w:eastAsia="fr-FR"/>
              </w:rPr>
              <w:t>(3</w:t>
            </w:r>
            <w:r w:rsidR="004E2028" w:rsidRPr="0088229B">
              <w:rPr>
                <w:rFonts w:eastAsia="TimesNewRomanPSMT"/>
                <w:i/>
                <w:iCs/>
                <w:lang w:val="de-DE" w:eastAsia="fr-FR"/>
              </w:rPr>
              <w:t>. Absatz</w:t>
            </w:r>
            <w:r w:rsidR="00A1385B" w:rsidRPr="0088229B">
              <w:rPr>
                <w:rFonts w:eastAsia="TimesNewRomanPSMT"/>
                <w:i/>
                <w:iCs/>
                <w:lang w:val="de-DE" w:eastAsia="fr-FR"/>
              </w:rPr>
              <w:t xml:space="preserve"> – 3</w:t>
            </w:r>
            <w:r w:rsidR="004E2028" w:rsidRPr="0088229B">
              <w:rPr>
                <w:rFonts w:eastAsia="TimesNewRomanPSMT"/>
                <w:i/>
                <w:iCs/>
                <w:lang w:val="de-DE" w:eastAsia="fr-FR"/>
              </w:rPr>
              <w:t>.</w:t>
            </w:r>
            <w:r w:rsidR="00A1385B" w:rsidRPr="0088229B">
              <w:rPr>
                <w:rFonts w:eastAsia="TimesNewRomanPSMT"/>
                <w:i/>
                <w:iCs/>
                <w:lang w:val="de-DE" w:eastAsia="fr-FR"/>
              </w:rPr>
              <w:t xml:space="preserve"> </w:t>
            </w:r>
            <w:r w:rsidR="004E2028" w:rsidRPr="0088229B">
              <w:rPr>
                <w:rFonts w:eastAsia="TimesNewRomanPSMT"/>
                <w:i/>
                <w:iCs/>
                <w:lang w:val="de-DE" w:eastAsia="fr-FR"/>
              </w:rPr>
              <w:t>Satz</w:t>
            </w:r>
            <w:r w:rsidR="00A1385B" w:rsidRPr="0088229B">
              <w:rPr>
                <w:rFonts w:eastAsia="TimesNewRomanPSMT"/>
                <w:i/>
                <w:iCs/>
                <w:lang w:val="de-DE" w:eastAsia="fr-FR"/>
              </w:rPr>
              <w:t>)</w:t>
            </w:r>
          </w:p>
        </w:tc>
        <w:tc>
          <w:tcPr>
            <w:tcW w:w="993" w:type="dxa"/>
            <w:gridSpan w:val="2"/>
            <w:shd w:val="clear" w:color="auto" w:fill="auto"/>
          </w:tcPr>
          <w:p w:rsidR="00FA58F8" w:rsidRPr="0088229B" w:rsidRDefault="00FA58F8" w:rsidP="000F5C89">
            <w:pPr>
              <w:pStyle w:val="SingleTxtG"/>
              <w:keepNext/>
              <w:keepLines/>
              <w:suppressAutoHyphens w:val="0"/>
              <w:spacing w:before="40" w:line="220" w:lineRule="exact"/>
              <w:ind w:left="0" w:right="113"/>
              <w:jc w:val="left"/>
              <w:rPr>
                <w:b/>
                <w:u w:val="single"/>
                <w:lang w:val="de-DE"/>
              </w:rPr>
            </w:pPr>
            <w:r w:rsidRPr="0088229B">
              <w:rPr>
                <w:b/>
                <w:u w:val="single"/>
                <w:lang w:val="de-DE"/>
              </w:rPr>
              <w:t>1.16.1.2.5</w:t>
            </w:r>
          </w:p>
        </w:tc>
        <w:tc>
          <w:tcPr>
            <w:tcW w:w="5412" w:type="dxa"/>
            <w:shd w:val="clear" w:color="auto" w:fill="auto"/>
          </w:tcPr>
          <w:p w:rsidR="00FA58F8" w:rsidRPr="0088229B" w:rsidRDefault="00A1385B" w:rsidP="00BD1757">
            <w:pPr>
              <w:pStyle w:val="SingleTxtG"/>
              <w:keepNext/>
              <w:keepLines/>
              <w:suppressAutoHyphens w:val="0"/>
              <w:spacing w:before="40" w:line="220" w:lineRule="exact"/>
              <w:ind w:left="0" w:right="113"/>
              <w:jc w:val="left"/>
              <w:rPr>
                <w:rFonts w:eastAsia="TimesNewRomanPSMT"/>
                <w:lang w:val="de-DE" w:eastAsia="fr-FR"/>
              </w:rPr>
            </w:pPr>
            <w:r w:rsidRPr="0088229B">
              <w:rPr>
                <w:rFonts w:eastAsia="TimesNewRomanPSMT"/>
                <w:i/>
                <w:iCs/>
                <w:lang w:val="de-DE" w:eastAsia="fr-FR"/>
              </w:rPr>
              <w:t>(3</w:t>
            </w:r>
            <w:r w:rsidR="00BD1757" w:rsidRPr="0088229B">
              <w:rPr>
                <w:rFonts w:eastAsia="TimesNewRomanPSMT"/>
                <w:i/>
                <w:iCs/>
                <w:lang w:val="de-DE" w:eastAsia="fr-FR"/>
              </w:rPr>
              <w:t>. Absatz</w:t>
            </w:r>
            <w:r w:rsidRPr="0088229B">
              <w:rPr>
                <w:rFonts w:eastAsia="TimesNewRomanPSMT"/>
                <w:i/>
                <w:iCs/>
                <w:lang w:val="de-DE" w:eastAsia="fr-FR"/>
              </w:rPr>
              <w:t xml:space="preserve"> – 3</w:t>
            </w:r>
            <w:r w:rsidR="00BD1757" w:rsidRPr="0088229B">
              <w:rPr>
                <w:rFonts w:eastAsia="TimesNewRomanPSMT"/>
                <w:i/>
                <w:iCs/>
                <w:lang w:val="de-DE" w:eastAsia="fr-FR"/>
              </w:rPr>
              <w:t>. Satz</w:t>
            </w:r>
            <w:r w:rsidRPr="0088229B">
              <w:rPr>
                <w:rFonts w:eastAsia="TimesNewRomanPSMT"/>
                <w:i/>
                <w:iCs/>
                <w:lang w:val="de-DE" w:eastAsia="fr-FR"/>
              </w:rPr>
              <w:t>)</w:t>
            </w:r>
          </w:p>
        </w:tc>
      </w:tr>
      <w:tr w:rsidR="00A1385B" w:rsidRPr="0088229B" w:rsidTr="00635F8D">
        <w:trPr>
          <w:cantSplit/>
        </w:trPr>
        <w:tc>
          <w:tcPr>
            <w:tcW w:w="959" w:type="dxa"/>
            <w:gridSpan w:val="2"/>
            <w:shd w:val="clear" w:color="auto" w:fill="auto"/>
          </w:tcPr>
          <w:p w:rsidR="00A1385B" w:rsidRPr="0088229B" w:rsidRDefault="00A1385B" w:rsidP="000F5C89">
            <w:pPr>
              <w:pStyle w:val="SingleTxtG"/>
              <w:keepNext/>
              <w:keepLines/>
              <w:suppressAutoHyphens w:val="0"/>
              <w:spacing w:before="40" w:line="220" w:lineRule="exact"/>
              <w:ind w:left="0" w:right="113"/>
              <w:jc w:val="left"/>
              <w:rPr>
                <w:b/>
                <w:lang w:val="de-DE"/>
              </w:rPr>
            </w:pPr>
          </w:p>
        </w:tc>
        <w:tc>
          <w:tcPr>
            <w:tcW w:w="4995" w:type="dxa"/>
            <w:shd w:val="clear" w:color="auto" w:fill="auto"/>
          </w:tcPr>
          <w:p w:rsidR="00A1385B" w:rsidRPr="0088229B" w:rsidRDefault="00136DFD" w:rsidP="00136DFD">
            <w:pPr>
              <w:suppressAutoHyphens w:val="0"/>
              <w:autoSpaceDE w:val="0"/>
              <w:autoSpaceDN w:val="0"/>
              <w:adjustRightInd w:val="0"/>
              <w:spacing w:line="240" w:lineRule="auto"/>
              <w:jc w:val="both"/>
              <w:rPr>
                <w:rFonts w:eastAsia="TimesNewRomanPSMT"/>
                <w:lang w:val="de-DE" w:eastAsia="fr-FR"/>
              </w:rPr>
            </w:pPr>
            <w:r w:rsidRPr="0088229B">
              <w:rPr>
                <w:sz w:val="18"/>
                <w:szCs w:val="18"/>
                <w:lang w:val="de-DE" w:eastAsia="en-GB"/>
              </w:rPr>
              <w:t>Wenn diese Änderungen eine Aktualisierung der Schiffsstoffliste notwendig machen, beantragt der Schiffseigner diese bei der Klassifikationsgesellschaft.</w:t>
            </w:r>
          </w:p>
        </w:tc>
        <w:tc>
          <w:tcPr>
            <w:tcW w:w="993" w:type="dxa"/>
            <w:gridSpan w:val="2"/>
            <w:shd w:val="clear" w:color="auto" w:fill="auto"/>
          </w:tcPr>
          <w:p w:rsidR="00A1385B" w:rsidRPr="0088229B" w:rsidRDefault="00A1385B" w:rsidP="000F5C89">
            <w:pPr>
              <w:pStyle w:val="SingleTxtG"/>
              <w:keepNext/>
              <w:keepLines/>
              <w:suppressAutoHyphens w:val="0"/>
              <w:spacing w:before="40" w:line="220" w:lineRule="exact"/>
              <w:ind w:left="0" w:right="113"/>
              <w:jc w:val="left"/>
              <w:rPr>
                <w:b/>
                <w:lang w:val="de-DE"/>
              </w:rPr>
            </w:pPr>
          </w:p>
        </w:tc>
        <w:tc>
          <w:tcPr>
            <w:tcW w:w="5412" w:type="dxa"/>
            <w:shd w:val="clear" w:color="auto" w:fill="auto"/>
          </w:tcPr>
          <w:p w:rsidR="00A1385B" w:rsidRPr="0088229B" w:rsidRDefault="00136DFD" w:rsidP="00AE3611">
            <w:pPr>
              <w:pStyle w:val="SingleTxtG"/>
              <w:keepNext/>
              <w:keepLines/>
              <w:suppressAutoHyphens w:val="0"/>
              <w:spacing w:before="40" w:line="220" w:lineRule="exact"/>
              <w:ind w:left="0" w:right="113"/>
              <w:jc w:val="left"/>
              <w:rPr>
                <w:rFonts w:eastAsia="TimesNewRomanPSMT"/>
                <w:lang w:val="de-DE" w:eastAsia="fr-FR"/>
              </w:rPr>
            </w:pPr>
            <w:r w:rsidRPr="0088229B">
              <w:rPr>
                <w:lang w:val="de-DE"/>
              </w:rPr>
              <w:t xml:space="preserve">Wenn diese Änderungen eine Aktualisierung der Schiffsstoffliste notwendig machen, beantragt der Schiffseigner diese bei der </w:t>
            </w:r>
            <w:r w:rsidRPr="0088229B">
              <w:rPr>
                <w:b/>
                <w:u w:val="single"/>
                <w:lang w:val="de-DE"/>
              </w:rPr>
              <w:t>anerkannten</w:t>
            </w:r>
            <w:r w:rsidRPr="0088229B">
              <w:rPr>
                <w:lang w:val="de-DE"/>
              </w:rPr>
              <w:t xml:space="preserve"> Klassifikationsgesellschaft.</w:t>
            </w:r>
            <w:r w:rsidR="00944BD8" w:rsidRPr="0088229B">
              <w:rPr>
                <w:lang w:val="de-DE"/>
              </w:rPr>
              <w:t xml:space="preserve"> </w:t>
            </w:r>
          </w:p>
        </w:tc>
      </w:tr>
      <w:tr w:rsidR="00EA117D" w:rsidRPr="0088229B" w:rsidTr="00635F8D">
        <w:trPr>
          <w:cantSplit/>
        </w:trPr>
        <w:tc>
          <w:tcPr>
            <w:tcW w:w="959" w:type="dxa"/>
            <w:gridSpan w:val="2"/>
            <w:vMerge w:val="restart"/>
            <w:shd w:val="clear" w:color="auto" w:fill="auto"/>
          </w:tcPr>
          <w:p w:rsidR="00EA117D" w:rsidRPr="0088229B" w:rsidRDefault="00EA117D" w:rsidP="00B37697">
            <w:pPr>
              <w:pStyle w:val="SingleTxtG"/>
              <w:suppressAutoHyphens w:val="0"/>
              <w:spacing w:before="40" w:line="220" w:lineRule="exact"/>
              <w:ind w:left="0" w:right="113"/>
              <w:jc w:val="left"/>
              <w:rPr>
                <w:bCs/>
                <w:lang w:val="de-DE"/>
              </w:rPr>
            </w:pPr>
          </w:p>
        </w:tc>
        <w:tc>
          <w:tcPr>
            <w:tcW w:w="4995" w:type="dxa"/>
            <w:shd w:val="clear" w:color="auto" w:fill="auto"/>
          </w:tcPr>
          <w:p w:rsidR="00EA117D" w:rsidRPr="0088229B" w:rsidRDefault="00EA117D" w:rsidP="00B2208E">
            <w:pPr>
              <w:pStyle w:val="SingleTxtG"/>
              <w:suppressAutoHyphens w:val="0"/>
              <w:spacing w:before="40" w:line="220" w:lineRule="exact"/>
              <w:ind w:left="0" w:right="113"/>
              <w:jc w:val="left"/>
              <w:rPr>
                <w:rFonts w:eastAsia="TimesNewRomanPSMT"/>
                <w:lang w:val="de-DE" w:eastAsia="fr-FR"/>
              </w:rPr>
            </w:pPr>
            <w:r w:rsidRPr="0088229B">
              <w:rPr>
                <w:rFonts w:eastAsia="TimesNewRomanPSMT"/>
                <w:i/>
                <w:iCs/>
                <w:lang w:val="de-DE" w:eastAsia="fr-FR"/>
              </w:rPr>
              <w:t>(</w:t>
            </w:r>
            <w:r w:rsidR="00B2208E" w:rsidRPr="0088229B">
              <w:rPr>
                <w:rFonts w:eastAsia="TimesNewRomanPSMT"/>
                <w:i/>
                <w:iCs/>
                <w:lang w:val="de-DE" w:eastAsia="fr-FR"/>
              </w:rPr>
              <w:t>Absatz vor der Bemerkung</w:t>
            </w:r>
            <w:r w:rsidRPr="0088229B">
              <w:rPr>
                <w:rFonts w:eastAsia="TimesNewRomanPSMT"/>
                <w:i/>
                <w:iCs/>
                <w:lang w:val="de-DE" w:eastAsia="fr-FR"/>
              </w:rPr>
              <w:t>):</w:t>
            </w:r>
          </w:p>
        </w:tc>
        <w:tc>
          <w:tcPr>
            <w:tcW w:w="993" w:type="dxa"/>
            <w:gridSpan w:val="2"/>
            <w:vMerge w:val="restart"/>
            <w:shd w:val="clear" w:color="auto" w:fill="auto"/>
          </w:tcPr>
          <w:p w:rsidR="00EA117D" w:rsidRPr="0088229B" w:rsidRDefault="00EA117D" w:rsidP="00B37697">
            <w:pPr>
              <w:pStyle w:val="SingleTxtG"/>
              <w:suppressAutoHyphens w:val="0"/>
              <w:spacing w:before="40" w:line="220" w:lineRule="exact"/>
              <w:ind w:left="0" w:right="113"/>
              <w:jc w:val="left"/>
              <w:rPr>
                <w:b/>
                <w:lang w:val="de-DE"/>
              </w:rPr>
            </w:pPr>
          </w:p>
        </w:tc>
        <w:tc>
          <w:tcPr>
            <w:tcW w:w="5412" w:type="dxa"/>
            <w:shd w:val="clear" w:color="auto" w:fill="auto"/>
          </w:tcPr>
          <w:p w:rsidR="00EA117D" w:rsidRPr="0088229B" w:rsidRDefault="00B2208E" w:rsidP="00B37697">
            <w:pPr>
              <w:pStyle w:val="SingleTxtG"/>
              <w:suppressAutoHyphens w:val="0"/>
              <w:spacing w:before="40" w:line="220" w:lineRule="exact"/>
              <w:ind w:left="0" w:right="113"/>
              <w:jc w:val="left"/>
              <w:rPr>
                <w:rFonts w:eastAsia="TimesNewRomanPSMT"/>
                <w:lang w:val="de-DE" w:eastAsia="fr-FR"/>
              </w:rPr>
            </w:pPr>
            <w:r w:rsidRPr="0088229B">
              <w:rPr>
                <w:rFonts w:eastAsia="TimesNewRomanPSMT"/>
                <w:i/>
                <w:iCs/>
                <w:lang w:val="de-DE" w:eastAsia="fr-FR"/>
              </w:rPr>
              <w:t>(Absatz vor der Bemerkung):</w:t>
            </w:r>
          </w:p>
        </w:tc>
      </w:tr>
      <w:tr w:rsidR="00EA117D" w:rsidRPr="0088229B" w:rsidTr="00635F8D">
        <w:trPr>
          <w:cantSplit/>
        </w:trPr>
        <w:tc>
          <w:tcPr>
            <w:tcW w:w="959" w:type="dxa"/>
            <w:gridSpan w:val="2"/>
            <w:vMerge/>
            <w:shd w:val="clear" w:color="auto" w:fill="auto"/>
          </w:tcPr>
          <w:p w:rsidR="00EA117D" w:rsidRPr="0088229B" w:rsidRDefault="00EA117D" w:rsidP="00B37697">
            <w:pPr>
              <w:pStyle w:val="SingleTxtG"/>
              <w:suppressAutoHyphens w:val="0"/>
              <w:spacing w:before="40" w:line="220" w:lineRule="exact"/>
              <w:ind w:left="0" w:right="113"/>
              <w:jc w:val="left"/>
              <w:rPr>
                <w:b/>
                <w:lang w:val="de-DE"/>
              </w:rPr>
            </w:pPr>
          </w:p>
        </w:tc>
        <w:tc>
          <w:tcPr>
            <w:tcW w:w="4995" w:type="dxa"/>
            <w:shd w:val="clear" w:color="auto" w:fill="auto"/>
          </w:tcPr>
          <w:p w:rsidR="00EA117D" w:rsidRPr="0088229B" w:rsidRDefault="00AE3611" w:rsidP="005B34D6">
            <w:pPr>
              <w:pStyle w:val="SingleTxtG"/>
              <w:suppressAutoHyphens w:val="0"/>
              <w:spacing w:before="40" w:line="220" w:lineRule="exact"/>
              <w:ind w:left="0" w:right="113"/>
              <w:rPr>
                <w:rFonts w:eastAsia="TimesNewRomanPSMT"/>
                <w:lang w:val="de-DE" w:eastAsia="fr-FR"/>
              </w:rPr>
            </w:pPr>
            <w:r w:rsidRPr="0088229B">
              <w:rPr>
                <w:rFonts w:eastAsia="TimesNewRomanPSMT"/>
                <w:lang w:val="de-DE" w:eastAsia="fr-FR"/>
              </w:rPr>
              <w:t>Die anerkannte Klassifikationsgesellschaft übermittelt der für die Erteilung des Zulassungszeugnisses zuständigen Behörde unverzüglich eine Ausfertigung der Schiffsstoffliste und unterrichtet sie unverzüglich über Änderungen oder einen Widerruf.</w:t>
            </w:r>
          </w:p>
        </w:tc>
        <w:tc>
          <w:tcPr>
            <w:tcW w:w="993" w:type="dxa"/>
            <w:gridSpan w:val="2"/>
            <w:vMerge/>
            <w:shd w:val="clear" w:color="auto" w:fill="auto"/>
          </w:tcPr>
          <w:p w:rsidR="00EA117D" w:rsidRPr="0088229B" w:rsidRDefault="00EA117D" w:rsidP="00B37697">
            <w:pPr>
              <w:pStyle w:val="SingleTxtG"/>
              <w:suppressAutoHyphens w:val="0"/>
              <w:spacing w:before="40" w:line="220" w:lineRule="exact"/>
              <w:ind w:left="0" w:right="113"/>
              <w:jc w:val="left"/>
              <w:rPr>
                <w:b/>
                <w:lang w:val="de-DE"/>
              </w:rPr>
            </w:pPr>
          </w:p>
        </w:tc>
        <w:tc>
          <w:tcPr>
            <w:tcW w:w="5412" w:type="dxa"/>
            <w:shd w:val="clear" w:color="auto" w:fill="auto"/>
          </w:tcPr>
          <w:p w:rsidR="00EA117D" w:rsidRPr="0088229B" w:rsidRDefault="004B5AA9" w:rsidP="007907E9">
            <w:pPr>
              <w:pStyle w:val="SingleTxtG"/>
              <w:suppressAutoHyphens w:val="0"/>
              <w:spacing w:before="40" w:line="220" w:lineRule="exact"/>
              <w:ind w:left="0" w:right="113"/>
              <w:jc w:val="left"/>
              <w:rPr>
                <w:rFonts w:eastAsia="TimesNewRomanPSMT"/>
                <w:lang w:val="de-DE" w:eastAsia="fr-FR"/>
              </w:rPr>
            </w:pPr>
            <w:r w:rsidRPr="0088229B">
              <w:rPr>
                <w:rFonts w:eastAsia="TimesNewRomanPSMT"/>
                <w:lang w:val="de-DE" w:eastAsia="fr-FR"/>
              </w:rPr>
              <w:t xml:space="preserve">Die anerkannte Klassifikationsgesellschaft übermittelt </w:t>
            </w:r>
            <w:r w:rsidR="006C6784" w:rsidRPr="0088229B">
              <w:rPr>
                <w:rFonts w:eastAsia="TimesNewRomanPSMT"/>
                <w:lang w:val="de-DE" w:eastAsia="fr-FR"/>
              </w:rPr>
              <w:t xml:space="preserve">der für die Erteilung des Zulassungszeugnisses zuständigen Behörde </w:t>
            </w:r>
            <w:r w:rsidRPr="0088229B">
              <w:rPr>
                <w:rFonts w:eastAsia="TimesNewRomanPSMT"/>
                <w:b/>
                <w:u w:val="single"/>
                <w:lang w:val="de-DE" w:eastAsia="fr-FR"/>
              </w:rPr>
              <w:t xml:space="preserve">nach Aushändigung an den Inhaber des </w:t>
            </w:r>
            <w:r w:rsidR="006C6784" w:rsidRPr="0088229B">
              <w:rPr>
                <w:rFonts w:eastAsia="TimesNewRomanPSMT"/>
                <w:b/>
                <w:u w:val="single"/>
                <w:lang w:val="de-DE" w:eastAsia="fr-FR"/>
              </w:rPr>
              <w:t>Zulassungszeugnisses</w:t>
            </w:r>
            <w:r w:rsidR="006C6784" w:rsidRPr="0088229B">
              <w:rPr>
                <w:rFonts w:eastAsia="TimesNewRomanPSMT"/>
                <w:lang w:val="de-DE" w:eastAsia="fr-FR"/>
              </w:rPr>
              <w:t xml:space="preserve"> unverzüglich eine Ausfertigung der Schiffsstoffliste und unterrichtet sie unverzüglich über Änderungen oder einen Widerruf.</w:t>
            </w:r>
          </w:p>
        </w:tc>
      </w:tr>
      <w:tr w:rsidR="00FA58F8" w:rsidRPr="0088229B" w:rsidTr="00635F8D">
        <w:trPr>
          <w:cantSplit/>
        </w:trPr>
        <w:tc>
          <w:tcPr>
            <w:tcW w:w="959"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rPr>
            </w:pPr>
            <w:r w:rsidRPr="0088229B">
              <w:rPr>
                <w:b/>
              </w:rPr>
              <w:t>1.16.1.3</w:t>
            </w:r>
          </w:p>
        </w:tc>
        <w:tc>
          <w:tcPr>
            <w:tcW w:w="4995" w:type="dxa"/>
            <w:shd w:val="clear" w:color="auto" w:fill="auto"/>
          </w:tcPr>
          <w:p w:rsidR="00FA58F8" w:rsidRPr="0088229B" w:rsidRDefault="004E2028" w:rsidP="006C6784">
            <w:pPr>
              <w:pStyle w:val="SingleTxtG"/>
              <w:suppressAutoHyphens w:val="0"/>
              <w:spacing w:before="40" w:line="220" w:lineRule="exact"/>
              <w:ind w:left="0" w:right="113"/>
              <w:jc w:val="left"/>
              <w:rPr>
                <w:b/>
              </w:rPr>
            </w:pPr>
            <w:r w:rsidRPr="0088229B">
              <w:rPr>
                <w:b/>
                <w:bCs/>
                <w:lang w:val="fr-FR"/>
              </w:rPr>
              <w:t>Vorläufige Zulassungszeugnisse</w:t>
            </w:r>
          </w:p>
        </w:tc>
        <w:tc>
          <w:tcPr>
            <w:tcW w:w="993"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u w:val="single"/>
              </w:rPr>
            </w:pPr>
            <w:r w:rsidRPr="0088229B">
              <w:rPr>
                <w:b/>
                <w:u w:val="single"/>
              </w:rPr>
              <w:t>1.16.1.3</w:t>
            </w:r>
          </w:p>
        </w:tc>
        <w:tc>
          <w:tcPr>
            <w:tcW w:w="5412" w:type="dxa"/>
            <w:shd w:val="clear" w:color="auto" w:fill="auto"/>
          </w:tcPr>
          <w:p w:rsidR="00FA58F8" w:rsidRPr="0088229B" w:rsidRDefault="004E2028" w:rsidP="00B37697">
            <w:pPr>
              <w:pStyle w:val="SingleTxtG"/>
              <w:suppressAutoHyphens w:val="0"/>
              <w:spacing w:before="40" w:line="220" w:lineRule="exact"/>
              <w:ind w:left="0" w:right="113"/>
              <w:jc w:val="left"/>
              <w:rPr>
                <w:b/>
              </w:rPr>
            </w:pPr>
            <w:r w:rsidRPr="0088229B">
              <w:rPr>
                <w:b/>
                <w:bCs/>
                <w:lang w:val="fr-FR"/>
              </w:rPr>
              <w:t>Vorläufige Zulassungszeugnisse</w:t>
            </w:r>
          </w:p>
        </w:tc>
      </w:tr>
      <w:tr w:rsidR="00FA58F8" w:rsidRPr="0088229B" w:rsidTr="00635F8D">
        <w:trPr>
          <w:cantSplit/>
        </w:trPr>
        <w:tc>
          <w:tcPr>
            <w:tcW w:w="959"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rPr>
            </w:pPr>
            <w:r w:rsidRPr="0088229B">
              <w:rPr>
                <w:b/>
              </w:rPr>
              <w:lastRenderedPageBreak/>
              <w:t>1.16.1.3.1</w:t>
            </w:r>
          </w:p>
        </w:tc>
        <w:tc>
          <w:tcPr>
            <w:tcW w:w="4995" w:type="dxa"/>
            <w:shd w:val="clear" w:color="auto" w:fill="auto"/>
          </w:tcPr>
          <w:p w:rsidR="00BD1757" w:rsidRPr="0088229B" w:rsidRDefault="00BD1757" w:rsidP="00BD1757">
            <w:pPr>
              <w:pStyle w:val="SingleTxtG"/>
              <w:suppressAutoHyphens w:val="0"/>
              <w:spacing w:before="40" w:line="220" w:lineRule="exact"/>
              <w:ind w:left="0" w:right="113"/>
              <w:jc w:val="left"/>
              <w:rPr>
                <w:rFonts w:eastAsia="TimesNewRomanPSMT"/>
                <w:lang w:val="de-DE" w:eastAsia="fr-FR"/>
              </w:rPr>
            </w:pPr>
            <w:r w:rsidRPr="0088229B">
              <w:rPr>
                <w:rFonts w:eastAsia="TimesNewRomanPSMT"/>
                <w:lang w:val="de-DE" w:eastAsia="fr-FR"/>
              </w:rPr>
              <w:t>Für ein Schiff, das nicht mit einem Zulassungszeugnis versehen ist, kann ein vorläufiges Zulassungszeugnis von begrenzter Gültigkeitsdauer in folgenden Fällen und unter folgenden Bedingungen ausgestellt werden:</w:t>
            </w:r>
          </w:p>
          <w:p w:rsidR="00BD1757" w:rsidRPr="0088229B" w:rsidRDefault="00BD1757" w:rsidP="00BD1757">
            <w:pPr>
              <w:pStyle w:val="SingleTxtG"/>
              <w:suppressAutoHyphens w:val="0"/>
              <w:spacing w:before="40" w:line="220" w:lineRule="exact"/>
              <w:ind w:left="318" w:right="113" w:hanging="318"/>
              <w:jc w:val="left"/>
              <w:rPr>
                <w:rFonts w:eastAsia="TimesNewRomanPSMT"/>
                <w:lang w:val="de-DE" w:eastAsia="fr-FR"/>
              </w:rPr>
            </w:pPr>
            <w:r w:rsidRPr="0088229B">
              <w:rPr>
                <w:rFonts w:eastAsia="TimesNewRomanPSMT"/>
                <w:lang w:val="de-DE" w:eastAsia="fr-FR"/>
              </w:rPr>
              <w:t>a)</w:t>
            </w:r>
            <w:r w:rsidRPr="0088229B">
              <w:rPr>
                <w:rFonts w:eastAsia="TimesNewRomanPSMT"/>
                <w:lang w:val="de-DE" w:eastAsia="fr-FR"/>
              </w:rPr>
              <w:tab/>
              <w:t>Das Schiff entspricht den anwendbaren Vorschriften dieser Verordnung, aber das Zulassungszeugnis konnte nicht rechtzeitig ausgestellt werden. Die Gültigkeitsdauer des vorläufigen Zulassungszeugnisses darf einen angemessenen Zeitraum, höchstens aber drei Monate, nicht überschreiten.</w:t>
            </w:r>
          </w:p>
          <w:p w:rsidR="00FA58F8" w:rsidRPr="0088229B" w:rsidRDefault="00BD1757" w:rsidP="00BD1757">
            <w:pPr>
              <w:pStyle w:val="SingleTxtG"/>
              <w:suppressAutoHyphens w:val="0"/>
              <w:spacing w:before="40" w:line="220" w:lineRule="exact"/>
              <w:ind w:left="318" w:right="113" w:hanging="318"/>
              <w:jc w:val="left"/>
              <w:rPr>
                <w:rFonts w:eastAsia="TimesNewRomanPSMT"/>
                <w:lang w:eastAsia="fr-FR"/>
              </w:rPr>
            </w:pPr>
            <w:r w:rsidRPr="0088229B">
              <w:rPr>
                <w:rFonts w:eastAsia="TimesNewRomanPSMT"/>
                <w:lang w:val="de-DE" w:eastAsia="fr-FR"/>
              </w:rPr>
              <w:t>b)</w:t>
            </w:r>
            <w:r w:rsidRPr="0088229B">
              <w:rPr>
                <w:rFonts w:eastAsia="TimesNewRomanPSMT"/>
                <w:lang w:val="de-DE" w:eastAsia="fr-FR"/>
              </w:rPr>
              <w:tab/>
              <w:t xml:space="preserve">Das Schiff entspricht nach einem Havariefall nicht allen anwendbaren Vorschriften dieser Verordnung. In diesem Fall gilt das vorläufige Zulassungszeugnis nur für eine einzige Fahrt und für eine bestimmte Ladung. </w:t>
            </w:r>
            <w:r w:rsidRPr="0088229B">
              <w:rPr>
                <w:rFonts w:eastAsia="TimesNewRomanPSMT"/>
                <w:lang w:eastAsia="fr-FR"/>
              </w:rPr>
              <w:t>Die zuständige Behörde kann zusätzliche Bedingungen auferlegen.</w:t>
            </w:r>
          </w:p>
          <w:p w:rsidR="00635F8D" w:rsidRPr="0088229B" w:rsidRDefault="00635F8D" w:rsidP="00BD1757">
            <w:pPr>
              <w:pStyle w:val="SingleTxtG"/>
              <w:suppressAutoHyphens w:val="0"/>
              <w:spacing w:before="40" w:line="220" w:lineRule="exact"/>
              <w:ind w:left="318" w:right="113" w:hanging="318"/>
              <w:jc w:val="left"/>
              <w:rPr>
                <w:rFonts w:eastAsia="TimesNewRomanPSMT"/>
                <w:lang w:eastAsia="fr-FR"/>
              </w:rPr>
            </w:pPr>
          </w:p>
          <w:p w:rsidR="00635F8D" w:rsidRPr="0088229B" w:rsidRDefault="00635F8D" w:rsidP="00BD1757">
            <w:pPr>
              <w:pStyle w:val="SingleTxtG"/>
              <w:suppressAutoHyphens w:val="0"/>
              <w:spacing w:before="40" w:line="220" w:lineRule="exact"/>
              <w:ind w:left="318" w:right="113" w:hanging="318"/>
              <w:jc w:val="left"/>
              <w:rPr>
                <w:rFonts w:eastAsia="TimesNewRomanPSMT"/>
                <w:lang w:eastAsia="fr-FR"/>
              </w:rPr>
            </w:pPr>
          </w:p>
          <w:p w:rsidR="00635F8D" w:rsidRPr="0088229B" w:rsidRDefault="00635F8D" w:rsidP="00BD1757">
            <w:pPr>
              <w:pStyle w:val="SingleTxtG"/>
              <w:suppressAutoHyphens w:val="0"/>
              <w:spacing w:before="40" w:line="220" w:lineRule="exact"/>
              <w:ind w:left="318" w:right="113" w:hanging="318"/>
              <w:jc w:val="left"/>
              <w:rPr>
                <w:rFonts w:eastAsia="TimesNewRomanPSMT"/>
                <w:lang w:eastAsia="fr-FR"/>
              </w:rPr>
            </w:pPr>
          </w:p>
        </w:tc>
        <w:tc>
          <w:tcPr>
            <w:tcW w:w="993"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u w:val="single"/>
              </w:rPr>
            </w:pPr>
            <w:r w:rsidRPr="0088229B">
              <w:rPr>
                <w:b/>
                <w:u w:val="single"/>
              </w:rPr>
              <w:t>1.16.1.3.1</w:t>
            </w:r>
          </w:p>
        </w:tc>
        <w:tc>
          <w:tcPr>
            <w:tcW w:w="5412" w:type="dxa"/>
            <w:shd w:val="clear" w:color="auto" w:fill="auto"/>
          </w:tcPr>
          <w:p w:rsidR="00BD1757" w:rsidRPr="0088229B" w:rsidRDefault="00BD1757" w:rsidP="00BD1757">
            <w:pPr>
              <w:pStyle w:val="SingleTxtG"/>
              <w:suppressAutoHyphens w:val="0"/>
              <w:spacing w:before="40" w:line="220" w:lineRule="exact"/>
              <w:ind w:left="0" w:right="113"/>
              <w:jc w:val="left"/>
              <w:rPr>
                <w:rFonts w:eastAsia="TimesNewRomanPSMT"/>
                <w:lang w:val="de-DE" w:eastAsia="fr-FR"/>
              </w:rPr>
            </w:pPr>
            <w:r w:rsidRPr="0088229B">
              <w:rPr>
                <w:rFonts w:eastAsia="TimesNewRomanPSMT"/>
                <w:lang w:val="de-DE" w:eastAsia="fr-FR"/>
              </w:rPr>
              <w:t>Für ein Schiff, das nicht mit einem Zulassungszeugnis versehen ist, kann ein vorläufiges Zulassungszeugnis von begrenzter Gültigkeitsdauer in folgenden Fällen und unter folgenden Bedingungen ausgestellt werden:</w:t>
            </w:r>
          </w:p>
          <w:p w:rsidR="00BD1757" w:rsidRPr="0088229B" w:rsidRDefault="006C6784" w:rsidP="000D63C6">
            <w:pPr>
              <w:pStyle w:val="SingleTxtG"/>
              <w:numPr>
                <w:ilvl w:val="0"/>
                <w:numId w:val="23"/>
              </w:numPr>
              <w:suppressAutoHyphens w:val="0"/>
              <w:spacing w:before="40" w:line="220" w:lineRule="exact"/>
              <w:ind w:left="567" w:right="113" w:hanging="567"/>
              <w:jc w:val="left"/>
              <w:rPr>
                <w:rFonts w:eastAsia="TimesNewRomanPSMT"/>
                <w:lang w:val="de-DE" w:eastAsia="fr-FR"/>
              </w:rPr>
            </w:pPr>
            <w:r w:rsidRPr="0088229B">
              <w:rPr>
                <w:rFonts w:eastAsia="TimesNewRomanPSMT"/>
                <w:lang w:val="de-DE" w:eastAsia="fr-FR"/>
              </w:rPr>
              <w:t>Das Schiff entspricht den anwendbaren Vorschriften dieser Verordnung, aber das Zulassungszeugnis konnte nicht rechtzeitig ausgestellt werden.</w:t>
            </w:r>
            <w:r w:rsidR="00FA58F8" w:rsidRPr="0088229B">
              <w:rPr>
                <w:rFonts w:eastAsia="TimesNewRomanPSMT"/>
                <w:lang w:val="de-DE" w:eastAsia="fr-FR"/>
              </w:rPr>
              <w:t xml:space="preserve"> </w:t>
            </w:r>
            <w:r w:rsidR="00BD1757" w:rsidRPr="0088229B">
              <w:rPr>
                <w:rFonts w:eastAsia="TimesNewRomanPSMT"/>
                <w:lang w:val="de-DE" w:eastAsia="fr-FR"/>
              </w:rPr>
              <w:t>Die Gültigkeitsdauer des vorläufigen Zulassungszeugnisses darf einen angemessenen Zeitraum, höchstens aber drei Monate, nicht überschreiten.</w:t>
            </w:r>
          </w:p>
          <w:p w:rsidR="00FA58F8" w:rsidRPr="0088229B" w:rsidRDefault="006C6784" w:rsidP="004A1F60">
            <w:pPr>
              <w:pStyle w:val="SingleTxtG"/>
              <w:suppressAutoHyphens w:val="0"/>
              <w:spacing w:before="40" w:line="220" w:lineRule="exact"/>
              <w:ind w:left="0" w:right="113"/>
              <w:jc w:val="left"/>
              <w:rPr>
                <w:rFonts w:eastAsia="TimesNewRomanPSMT"/>
                <w:b/>
                <w:bCs/>
                <w:u w:val="single"/>
                <w:lang w:val="de-DE" w:eastAsia="fr-FR"/>
              </w:rPr>
            </w:pPr>
            <w:r w:rsidRPr="0088229B">
              <w:rPr>
                <w:rFonts w:eastAsia="TimesNewRomanPSMT"/>
                <w:b/>
                <w:bCs/>
                <w:u w:val="single"/>
                <w:lang w:val="de-DE" w:eastAsia="fr-FR"/>
              </w:rPr>
              <w:t>b)</w:t>
            </w:r>
            <w:r w:rsidR="00FA58F8" w:rsidRPr="0088229B">
              <w:rPr>
                <w:rFonts w:eastAsia="TimesNewRomanPSMT"/>
                <w:b/>
                <w:bCs/>
                <w:u w:val="single"/>
                <w:lang w:val="de-DE" w:eastAsia="fr-FR"/>
              </w:rPr>
              <w:tab/>
            </w:r>
            <w:r w:rsidRPr="0088229B">
              <w:rPr>
                <w:rFonts w:eastAsia="TimesNewRomanPSMT"/>
                <w:b/>
                <w:bCs/>
                <w:u w:val="single"/>
                <w:lang w:val="de-DE" w:eastAsia="fr-FR"/>
              </w:rPr>
              <w:t>Das Schiff entspricht nicht allen anwendbaren Vorschriften dieser Verordnung,</w:t>
            </w:r>
            <w:r w:rsidR="004A1F60" w:rsidRPr="0088229B">
              <w:rPr>
                <w:rFonts w:eastAsia="TimesNewRomanPSMT"/>
                <w:b/>
                <w:bCs/>
                <w:u w:val="single"/>
                <w:lang w:val="de-DE" w:eastAsia="fr-FR"/>
              </w:rPr>
              <w:t xml:space="preserve"> aber</w:t>
            </w:r>
            <w:r w:rsidRPr="0088229B">
              <w:rPr>
                <w:rFonts w:eastAsia="TimesNewRomanPSMT"/>
                <w:b/>
                <w:bCs/>
                <w:u w:val="single"/>
                <w:lang w:val="de-DE" w:eastAsia="fr-FR"/>
              </w:rPr>
              <w:t xml:space="preserve"> die Sicherheit der Beförderung ist nach </w:t>
            </w:r>
            <w:r w:rsidR="003E65EC" w:rsidRPr="0088229B">
              <w:rPr>
                <w:rFonts w:eastAsia="TimesNewRomanPSMT"/>
                <w:b/>
                <w:bCs/>
                <w:u w:val="single"/>
                <w:lang w:val="de-DE" w:eastAsia="fr-FR"/>
              </w:rPr>
              <w:t xml:space="preserve">Einschätzung </w:t>
            </w:r>
            <w:r w:rsidRPr="0088229B">
              <w:rPr>
                <w:rFonts w:eastAsia="TimesNewRomanPSMT"/>
                <w:b/>
                <w:bCs/>
                <w:u w:val="single"/>
                <w:lang w:val="de-DE" w:eastAsia="fr-FR"/>
              </w:rPr>
              <w:t>der zuständigen Behörde nicht beeinträchtigt.</w:t>
            </w:r>
          </w:p>
          <w:p w:rsidR="00FA58F8" w:rsidRPr="0088229B" w:rsidRDefault="00FA58F8" w:rsidP="004A1F60">
            <w:pPr>
              <w:pStyle w:val="SingleTxtG"/>
              <w:suppressAutoHyphens w:val="0"/>
              <w:spacing w:before="40" w:line="220" w:lineRule="exact"/>
              <w:ind w:left="0" w:right="113"/>
              <w:jc w:val="left"/>
              <w:rPr>
                <w:rFonts w:eastAsia="TimesNewRomanPSMT"/>
                <w:b/>
                <w:bCs/>
                <w:u w:val="single"/>
                <w:lang w:val="de-DE" w:eastAsia="fr-FR"/>
              </w:rPr>
            </w:pPr>
            <w:r w:rsidRPr="0088229B">
              <w:rPr>
                <w:rFonts w:eastAsia="TimesNewRomanPSMT"/>
                <w:b/>
                <w:bCs/>
                <w:lang w:val="de-DE" w:eastAsia="fr-FR"/>
              </w:rPr>
              <w:tab/>
            </w:r>
            <w:r w:rsidR="003E65EC" w:rsidRPr="0088229B">
              <w:rPr>
                <w:rFonts w:eastAsia="TimesNewRomanPSMT"/>
                <w:b/>
                <w:bCs/>
                <w:u w:val="single"/>
                <w:lang w:val="de-DE" w:eastAsia="fr-FR"/>
              </w:rPr>
              <w:t>Die Gültigkeitsdauer des vorläufigen Zulassungszeugnisses darf einen angemessenen Zeitraum, um das Schiff mit den anwendbaren Vorschriften in Übereinstimmung zu bringen, höchstens aber drei Monate, nicht überschreiten.</w:t>
            </w:r>
          </w:p>
          <w:p w:rsidR="00FA58F8" w:rsidRPr="0088229B" w:rsidRDefault="00FA58F8" w:rsidP="004A1F60">
            <w:pPr>
              <w:pStyle w:val="SingleTxtG"/>
              <w:suppressAutoHyphens w:val="0"/>
              <w:spacing w:before="40" w:line="220" w:lineRule="exact"/>
              <w:ind w:left="0" w:right="113"/>
              <w:jc w:val="left"/>
              <w:rPr>
                <w:rFonts w:eastAsia="TimesNewRomanPSMT"/>
                <w:b/>
                <w:bCs/>
                <w:u w:val="single"/>
                <w:lang w:val="de-DE" w:eastAsia="fr-FR"/>
              </w:rPr>
            </w:pPr>
            <w:r w:rsidRPr="0088229B">
              <w:rPr>
                <w:rFonts w:eastAsia="TimesNewRomanPSMT"/>
                <w:b/>
                <w:bCs/>
                <w:lang w:val="de-DE" w:eastAsia="fr-FR"/>
              </w:rPr>
              <w:tab/>
            </w:r>
            <w:r w:rsidR="003E65EC" w:rsidRPr="0088229B">
              <w:rPr>
                <w:rFonts w:eastAsia="TimesNewRomanPSMT"/>
                <w:b/>
                <w:bCs/>
                <w:u w:val="single"/>
                <w:lang w:val="de-DE" w:eastAsia="fr-FR"/>
              </w:rPr>
              <w:t xml:space="preserve">Die zuständige Behörde kann </w:t>
            </w:r>
            <w:r w:rsidR="001A74D2" w:rsidRPr="0088229B">
              <w:rPr>
                <w:rFonts w:eastAsia="TimesNewRomanPSMT"/>
                <w:b/>
                <w:bCs/>
                <w:u w:val="single"/>
                <w:lang w:val="de-DE" w:eastAsia="fr-FR"/>
              </w:rPr>
              <w:t>zusätzlich zu</w:t>
            </w:r>
            <w:r w:rsidR="003E65EC" w:rsidRPr="0088229B">
              <w:rPr>
                <w:rFonts w:eastAsia="TimesNewRomanPSMT"/>
                <w:b/>
                <w:bCs/>
                <w:u w:val="single"/>
                <w:lang w:val="de-DE" w:eastAsia="fr-FR"/>
              </w:rPr>
              <w:t xml:space="preserve"> dem </w:t>
            </w:r>
            <w:r w:rsidR="001A74D2" w:rsidRPr="0088229B">
              <w:rPr>
                <w:rFonts w:eastAsia="TimesNewRomanPSMT"/>
                <w:b/>
                <w:bCs/>
                <w:u w:val="single"/>
                <w:lang w:val="de-DE" w:eastAsia="fr-FR"/>
              </w:rPr>
              <w:t>Untersuchungsbericht weitere</w:t>
            </w:r>
            <w:r w:rsidR="003E65EC" w:rsidRPr="0088229B">
              <w:rPr>
                <w:rFonts w:eastAsia="TimesNewRomanPSMT"/>
                <w:b/>
                <w:bCs/>
                <w:u w:val="single"/>
                <w:lang w:val="de-DE" w:eastAsia="fr-FR"/>
              </w:rPr>
              <w:t xml:space="preserve"> Berichte </w:t>
            </w:r>
            <w:r w:rsidR="001A74D2" w:rsidRPr="0088229B">
              <w:rPr>
                <w:rFonts w:eastAsia="TimesNewRomanPSMT"/>
                <w:b/>
                <w:bCs/>
                <w:u w:val="single"/>
                <w:lang w:val="de-DE" w:eastAsia="fr-FR"/>
              </w:rPr>
              <w:t>verlangen und zusätzliche Bedingungen vorsehen.</w:t>
            </w:r>
          </w:p>
          <w:p w:rsidR="00FA58F8" w:rsidRPr="0088229B" w:rsidRDefault="00FA58F8" w:rsidP="00D02E0F">
            <w:pPr>
              <w:pStyle w:val="SingleTxtG"/>
              <w:suppressAutoHyphens w:val="0"/>
              <w:spacing w:before="40" w:line="220" w:lineRule="exact"/>
              <w:ind w:left="0" w:right="113"/>
              <w:jc w:val="left"/>
              <w:rPr>
                <w:rFonts w:eastAsia="TimesNewRomanPSMT"/>
                <w:b/>
                <w:bCs/>
                <w:i/>
                <w:u w:val="single"/>
                <w:lang w:val="de-DE" w:eastAsia="fr-FR"/>
              </w:rPr>
            </w:pPr>
            <w:r w:rsidRPr="0088229B">
              <w:rPr>
                <w:rFonts w:eastAsia="TimesNewRomanPSMT"/>
                <w:b/>
                <w:bCs/>
                <w:lang w:val="de-DE" w:eastAsia="fr-FR"/>
              </w:rPr>
              <w:tab/>
            </w:r>
            <w:r w:rsidR="001A74D2" w:rsidRPr="0088229B">
              <w:rPr>
                <w:rFonts w:eastAsia="TimesNewRomanPSMT"/>
                <w:b/>
                <w:bCs/>
                <w:i/>
                <w:u w:val="single"/>
                <w:lang w:val="de-DE" w:eastAsia="fr-FR"/>
              </w:rPr>
              <w:t>Bem.:</w:t>
            </w:r>
            <w:r w:rsidRPr="0088229B">
              <w:rPr>
                <w:rFonts w:eastAsia="TimesNewRomanPSMT"/>
                <w:b/>
                <w:bCs/>
                <w:i/>
                <w:u w:val="single"/>
                <w:lang w:val="de-DE" w:eastAsia="fr-FR"/>
              </w:rPr>
              <w:t xml:space="preserve"> </w:t>
            </w:r>
            <w:r w:rsidR="001A74D2" w:rsidRPr="0088229B">
              <w:rPr>
                <w:rFonts w:eastAsia="TimesNewRomanPSMT"/>
                <w:b/>
                <w:bCs/>
                <w:i/>
                <w:u w:val="single"/>
                <w:lang w:val="de-DE" w:eastAsia="fr-FR"/>
              </w:rPr>
              <w:t xml:space="preserve">Für die Ausstellung des endgültigen Zulassungszeugnisses nach Unterabschnitt 1.16.1.2 muss ein neuer Untersuchungsbericht nach Unterabschnitt 1.16.3.1 erstellt werden, der die </w:t>
            </w:r>
            <w:r w:rsidR="00D02E0F" w:rsidRPr="0088229B">
              <w:rPr>
                <w:rFonts w:eastAsia="TimesNewRomanPSMT"/>
                <w:b/>
                <w:bCs/>
                <w:i/>
                <w:u w:val="single"/>
                <w:lang w:val="de-DE" w:eastAsia="fr-FR"/>
              </w:rPr>
              <w:t>Konformität</w:t>
            </w:r>
            <w:r w:rsidR="001A74D2" w:rsidRPr="0088229B">
              <w:rPr>
                <w:rFonts w:eastAsia="TimesNewRomanPSMT"/>
                <w:b/>
                <w:bCs/>
                <w:i/>
                <w:u w:val="single"/>
                <w:lang w:val="de-DE" w:eastAsia="fr-FR"/>
              </w:rPr>
              <w:t xml:space="preserve"> auch mit </w:t>
            </w:r>
            <w:r w:rsidR="005A181A" w:rsidRPr="0088229B">
              <w:rPr>
                <w:rFonts w:eastAsia="TimesNewRomanPSMT"/>
                <w:b/>
                <w:bCs/>
                <w:i/>
                <w:u w:val="single"/>
                <w:lang w:val="de-DE" w:eastAsia="fr-FR"/>
              </w:rPr>
              <w:t>allen bisher nicht eingehaltenen</w:t>
            </w:r>
            <w:r w:rsidR="001A74D2" w:rsidRPr="0088229B">
              <w:rPr>
                <w:rFonts w:eastAsia="TimesNewRomanPSMT"/>
                <w:b/>
                <w:bCs/>
                <w:i/>
                <w:u w:val="single"/>
                <w:lang w:val="de-DE" w:eastAsia="fr-FR"/>
              </w:rPr>
              <w:t xml:space="preserve"> Vorschriften dieser Verordnung </w:t>
            </w:r>
            <w:r w:rsidR="005A181A" w:rsidRPr="0088229B">
              <w:rPr>
                <w:rFonts w:eastAsia="TimesNewRomanPSMT"/>
                <w:b/>
                <w:bCs/>
                <w:i/>
                <w:u w:val="single"/>
                <w:lang w:val="de-DE" w:eastAsia="fr-FR"/>
              </w:rPr>
              <w:t>bescheinigt</w:t>
            </w:r>
            <w:r w:rsidR="001A74D2" w:rsidRPr="0088229B">
              <w:rPr>
                <w:rFonts w:eastAsia="TimesNewRomanPSMT"/>
                <w:b/>
                <w:bCs/>
                <w:i/>
                <w:u w:val="single"/>
                <w:lang w:val="de-DE" w:eastAsia="fr-FR"/>
              </w:rPr>
              <w:t>.</w:t>
            </w:r>
          </w:p>
          <w:p w:rsidR="00FA58F8" w:rsidRPr="0088229B" w:rsidRDefault="005A181A" w:rsidP="007907E9">
            <w:pPr>
              <w:pStyle w:val="SingleTxtG"/>
              <w:suppressAutoHyphens w:val="0"/>
              <w:spacing w:before="40" w:line="220" w:lineRule="exact"/>
              <w:ind w:left="0" w:right="113"/>
              <w:jc w:val="left"/>
              <w:rPr>
                <w:rFonts w:eastAsia="TimesNewRomanPSMT"/>
                <w:lang w:eastAsia="fr-FR"/>
              </w:rPr>
            </w:pPr>
            <w:r w:rsidRPr="0088229B">
              <w:rPr>
                <w:rFonts w:eastAsia="TimesNewRomanPSMT"/>
                <w:b/>
                <w:bCs/>
                <w:u w:val="single"/>
                <w:lang w:val="de-DE" w:eastAsia="fr-FR"/>
              </w:rPr>
              <w:t>c)</w:t>
            </w:r>
            <w:r w:rsidR="00FA58F8" w:rsidRPr="0088229B">
              <w:rPr>
                <w:rFonts w:eastAsia="TimesNewRomanPSMT"/>
                <w:lang w:val="de-DE" w:eastAsia="fr-FR"/>
              </w:rPr>
              <w:t xml:space="preserve"> </w:t>
            </w:r>
            <w:r w:rsidR="00FA58F8" w:rsidRPr="0088229B">
              <w:rPr>
                <w:rFonts w:eastAsia="TimesNewRomanPSMT"/>
                <w:lang w:val="de-DE" w:eastAsia="fr-FR"/>
              </w:rPr>
              <w:tab/>
            </w:r>
            <w:r w:rsidR="00BD1757" w:rsidRPr="0088229B">
              <w:rPr>
                <w:rFonts w:eastAsia="TimesNewRomanPSMT"/>
                <w:lang w:val="de-DE" w:eastAsia="fr-FR"/>
              </w:rPr>
              <w:t xml:space="preserve">Das Schiff entspricht nach einem Havariefall nicht allen anwendbaren Vorschriften dieser Verordnung. In diesem Fall gilt das vorläufige Zulassungszeugnis nur für eine einzige Fahrt und für eine bestimmte Ladung. </w:t>
            </w:r>
            <w:r w:rsidR="00BD1757" w:rsidRPr="0088229B">
              <w:rPr>
                <w:rFonts w:eastAsia="TimesNewRomanPSMT"/>
                <w:lang w:eastAsia="fr-FR"/>
              </w:rPr>
              <w:t>Die zuständige Behörde kann zusätzliche Bedingungen auferlegen.</w:t>
            </w:r>
          </w:p>
        </w:tc>
      </w:tr>
      <w:tr w:rsidR="00FA58F8" w:rsidRPr="0088229B" w:rsidTr="00635F8D">
        <w:trPr>
          <w:cantSplit/>
        </w:trPr>
        <w:tc>
          <w:tcPr>
            <w:tcW w:w="959"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bCs/>
              </w:rPr>
            </w:pPr>
          </w:p>
        </w:tc>
        <w:tc>
          <w:tcPr>
            <w:tcW w:w="4995" w:type="dxa"/>
            <w:shd w:val="clear" w:color="auto" w:fill="auto"/>
          </w:tcPr>
          <w:p w:rsidR="00FA58F8" w:rsidRPr="0088229B" w:rsidRDefault="00FA58F8" w:rsidP="00B37697">
            <w:pPr>
              <w:pStyle w:val="SingleTxtG"/>
              <w:suppressAutoHyphens w:val="0"/>
              <w:spacing w:before="40" w:line="220" w:lineRule="exact"/>
              <w:ind w:left="0" w:right="113"/>
              <w:jc w:val="left"/>
            </w:pPr>
          </w:p>
        </w:tc>
        <w:tc>
          <w:tcPr>
            <w:tcW w:w="993" w:type="dxa"/>
            <w:gridSpan w:val="2"/>
            <w:shd w:val="clear" w:color="auto" w:fill="auto"/>
          </w:tcPr>
          <w:p w:rsidR="00FA58F8" w:rsidRPr="0088229B" w:rsidRDefault="00FA58F8" w:rsidP="00FA687B">
            <w:pPr>
              <w:pStyle w:val="SingleTxtG"/>
              <w:suppressAutoHyphens w:val="0"/>
              <w:spacing w:before="40" w:line="220" w:lineRule="exact"/>
              <w:ind w:left="0" w:right="113"/>
              <w:jc w:val="left"/>
              <w:rPr>
                <w:b/>
                <w:bCs/>
              </w:rPr>
            </w:pPr>
            <w:r w:rsidRPr="0088229B">
              <w:rPr>
                <w:b/>
                <w:bCs/>
                <w:u w:val="single"/>
              </w:rPr>
              <w:t>1.16.1.3.3</w:t>
            </w:r>
            <w:r w:rsidR="00FA687B" w:rsidRPr="0088229B">
              <w:rPr>
                <w:b/>
                <w:bCs/>
                <w:u w:val="single"/>
              </w:rPr>
              <w:br/>
            </w:r>
            <w:r w:rsidRPr="0088229B">
              <w:rPr>
                <w:b/>
                <w:bCs/>
              </w:rPr>
              <w:t>(</w:t>
            </w:r>
            <w:r w:rsidR="00E6101D" w:rsidRPr="0088229B">
              <w:rPr>
                <w:b/>
                <w:bCs/>
              </w:rPr>
              <w:t>Neu</w:t>
            </w:r>
            <w:r w:rsidRPr="0088229B">
              <w:rPr>
                <w:b/>
                <w:bCs/>
              </w:rPr>
              <w:t>)</w:t>
            </w:r>
          </w:p>
        </w:tc>
        <w:tc>
          <w:tcPr>
            <w:tcW w:w="5412" w:type="dxa"/>
            <w:shd w:val="clear" w:color="auto" w:fill="auto"/>
          </w:tcPr>
          <w:p w:rsidR="00FA58F8" w:rsidRPr="0088229B" w:rsidRDefault="005A181A" w:rsidP="004305EF">
            <w:pPr>
              <w:pStyle w:val="SingleTxtG"/>
              <w:suppressAutoHyphens w:val="0"/>
              <w:spacing w:before="40" w:line="220" w:lineRule="exact"/>
              <w:ind w:left="0" w:right="113"/>
              <w:jc w:val="left"/>
              <w:rPr>
                <w:rFonts w:eastAsia="TimesNewRomanPSMT"/>
                <w:b/>
                <w:bCs/>
                <w:u w:val="single"/>
                <w:lang w:val="de-DE" w:eastAsia="fr-FR"/>
              </w:rPr>
            </w:pPr>
            <w:r w:rsidRPr="0088229B">
              <w:rPr>
                <w:rFonts w:eastAsia="TimesNewRomanPSMT"/>
                <w:b/>
                <w:bCs/>
                <w:u w:val="single"/>
                <w:lang w:val="de-DE" w:eastAsia="fr-FR"/>
              </w:rPr>
              <w:t xml:space="preserve">Bei Tankschiffen muss der Öffnungsdruck der Sicherheitsventile oder Hochgeschwindigkeitsventile im Zulassungszeugnis vermerkt </w:t>
            </w:r>
            <w:r w:rsidR="004305EF" w:rsidRPr="0088229B">
              <w:rPr>
                <w:rFonts w:eastAsia="TimesNewRomanPSMT"/>
                <w:b/>
                <w:bCs/>
                <w:u w:val="single"/>
                <w:lang w:val="de-DE" w:eastAsia="fr-FR"/>
              </w:rPr>
              <w:t>sein</w:t>
            </w:r>
            <w:r w:rsidRPr="0088229B">
              <w:rPr>
                <w:rFonts w:eastAsia="TimesNewRomanPSMT"/>
                <w:b/>
                <w:bCs/>
                <w:u w:val="single"/>
                <w:lang w:val="de-DE" w:eastAsia="fr-FR"/>
              </w:rPr>
              <w:t>.</w:t>
            </w:r>
          </w:p>
          <w:p w:rsidR="00FA58F8" w:rsidRPr="0088229B" w:rsidRDefault="00D02E0F" w:rsidP="007907E9">
            <w:pPr>
              <w:pStyle w:val="SingleTxtG"/>
              <w:suppressAutoHyphens w:val="0"/>
              <w:spacing w:before="40" w:line="220" w:lineRule="exact"/>
              <w:ind w:left="0" w:right="113"/>
              <w:jc w:val="left"/>
              <w:rPr>
                <w:b/>
                <w:bCs/>
                <w:lang w:val="de-DE"/>
              </w:rPr>
            </w:pPr>
            <w:r w:rsidRPr="0088229B">
              <w:rPr>
                <w:rFonts w:eastAsia="TimesNewRomanPSMT"/>
                <w:b/>
                <w:bCs/>
                <w:u w:val="single"/>
                <w:lang w:val="de-DE" w:eastAsia="fr-FR"/>
              </w:rPr>
              <w:t>Hat</w:t>
            </w:r>
            <w:r w:rsidR="005A181A" w:rsidRPr="0088229B">
              <w:rPr>
                <w:rFonts w:eastAsia="TimesNewRomanPSMT"/>
                <w:b/>
                <w:bCs/>
                <w:u w:val="single"/>
                <w:lang w:val="de-DE" w:eastAsia="fr-FR"/>
              </w:rPr>
              <w:t xml:space="preserve"> ein Schiff Ladetanks mit verschiedenen </w:t>
            </w:r>
            <w:r w:rsidRPr="0088229B">
              <w:rPr>
                <w:rFonts w:eastAsia="TimesNewRomanPSMT"/>
                <w:b/>
                <w:bCs/>
                <w:u w:val="single"/>
                <w:lang w:val="de-DE" w:eastAsia="fr-FR"/>
              </w:rPr>
              <w:t>Ö</w:t>
            </w:r>
            <w:r w:rsidR="005A181A" w:rsidRPr="0088229B">
              <w:rPr>
                <w:rFonts w:eastAsia="TimesNewRomanPSMT"/>
                <w:b/>
                <w:bCs/>
                <w:u w:val="single"/>
                <w:lang w:val="de-DE" w:eastAsia="fr-FR"/>
              </w:rPr>
              <w:t>ffnungsdrücken</w:t>
            </w:r>
            <w:r w:rsidRPr="0088229B">
              <w:rPr>
                <w:rFonts w:eastAsia="TimesNewRomanPSMT"/>
                <w:b/>
                <w:bCs/>
                <w:u w:val="single"/>
                <w:lang w:val="de-DE" w:eastAsia="fr-FR"/>
              </w:rPr>
              <w:t xml:space="preserve"> der Ventile</w:t>
            </w:r>
            <w:r w:rsidR="005A181A" w:rsidRPr="0088229B">
              <w:rPr>
                <w:rFonts w:eastAsia="TimesNewRomanPSMT"/>
                <w:b/>
                <w:bCs/>
                <w:u w:val="single"/>
                <w:lang w:val="de-DE" w:eastAsia="fr-FR"/>
              </w:rPr>
              <w:t xml:space="preserve">, muss der Öffnungsdruck jedes </w:t>
            </w:r>
            <w:r w:rsidRPr="0088229B">
              <w:rPr>
                <w:rFonts w:eastAsia="TimesNewRomanPSMT"/>
                <w:b/>
                <w:bCs/>
                <w:u w:val="single"/>
                <w:lang w:val="de-DE" w:eastAsia="fr-FR"/>
              </w:rPr>
              <w:t>Ladet</w:t>
            </w:r>
            <w:r w:rsidR="005A181A" w:rsidRPr="0088229B">
              <w:rPr>
                <w:rFonts w:eastAsia="TimesNewRomanPSMT"/>
                <w:b/>
                <w:bCs/>
                <w:u w:val="single"/>
                <w:lang w:val="de-DE" w:eastAsia="fr-FR"/>
              </w:rPr>
              <w:t xml:space="preserve">anks im Zulassungszeugnis vermerkt </w:t>
            </w:r>
            <w:r w:rsidRPr="0088229B">
              <w:rPr>
                <w:rFonts w:eastAsia="TimesNewRomanPSMT"/>
                <w:b/>
                <w:bCs/>
                <w:u w:val="single"/>
                <w:lang w:val="de-DE" w:eastAsia="fr-FR"/>
              </w:rPr>
              <w:t>sein</w:t>
            </w:r>
            <w:r w:rsidR="005A181A" w:rsidRPr="0088229B">
              <w:rPr>
                <w:rFonts w:eastAsia="TimesNewRomanPSMT"/>
                <w:b/>
                <w:bCs/>
                <w:u w:val="single"/>
                <w:lang w:val="de-DE" w:eastAsia="fr-FR"/>
              </w:rPr>
              <w:t>.</w:t>
            </w:r>
          </w:p>
        </w:tc>
      </w:tr>
      <w:tr w:rsidR="00FA58F8" w:rsidRPr="0088229B" w:rsidTr="00635F8D">
        <w:trPr>
          <w:cantSplit/>
        </w:trPr>
        <w:tc>
          <w:tcPr>
            <w:tcW w:w="959"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bCs/>
              </w:rPr>
            </w:pPr>
            <w:r w:rsidRPr="0088229B">
              <w:rPr>
                <w:b/>
                <w:bCs/>
              </w:rPr>
              <w:t>1.16.2</w:t>
            </w:r>
          </w:p>
        </w:tc>
        <w:tc>
          <w:tcPr>
            <w:tcW w:w="4995" w:type="dxa"/>
            <w:shd w:val="clear" w:color="auto" w:fill="auto"/>
          </w:tcPr>
          <w:p w:rsidR="00FA58F8" w:rsidRPr="0088229B" w:rsidRDefault="000E0446" w:rsidP="00D02E0F">
            <w:pPr>
              <w:pStyle w:val="SingleTxtG"/>
              <w:suppressAutoHyphens w:val="0"/>
              <w:spacing w:before="40" w:line="220" w:lineRule="exact"/>
              <w:ind w:left="0" w:right="113"/>
              <w:jc w:val="left"/>
              <w:rPr>
                <w:b/>
                <w:bCs/>
                <w:lang w:val="de-DE"/>
              </w:rPr>
            </w:pPr>
            <w:r w:rsidRPr="0088229B">
              <w:rPr>
                <w:b/>
                <w:bCs/>
                <w:lang w:val="de-DE"/>
              </w:rPr>
              <w:t>Erteilung und Anerkennung der Zulassungszeugnisse</w:t>
            </w:r>
          </w:p>
        </w:tc>
        <w:tc>
          <w:tcPr>
            <w:tcW w:w="993"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bCs/>
                <w:u w:val="single"/>
              </w:rPr>
            </w:pPr>
            <w:r w:rsidRPr="0088229B">
              <w:rPr>
                <w:b/>
                <w:bCs/>
                <w:u w:val="single"/>
              </w:rPr>
              <w:t>1.16.2</w:t>
            </w:r>
          </w:p>
        </w:tc>
        <w:tc>
          <w:tcPr>
            <w:tcW w:w="5412" w:type="dxa"/>
            <w:shd w:val="clear" w:color="auto" w:fill="auto"/>
          </w:tcPr>
          <w:p w:rsidR="00FA58F8" w:rsidRPr="0088229B" w:rsidRDefault="000E0446" w:rsidP="00B37697">
            <w:pPr>
              <w:pStyle w:val="SingleTxtG"/>
              <w:suppressAutoHyphens w:val="0"/>
              <w:spacing w:before="40" w:line="220" w:lineRule="exact"/>
              <w:ind w:left="0" w:right="113"/>
              <w:jc w:val="left"/>
              <w:rPr>
                <w:b/>
                <w:bCs/>
                <w:lang w:val="de-DE"/>
              </w:rPr>
            </w:pPr>
            <w:r w:rsidRPr="0088229B">
              <w:rPr>
                <w:b/>
                <w:bCs/>
                <w:lang w:val="de-DE"/>
              </w:rPr>
              <w:t>Erteilung und Anerkennung der Zulassungszeugnisse</w:t>
            </w:r>
          </w:p>
        </w:tc>
      </w:tr>
      <w:tr w:rsidR="00FA58F8" w:rsidRPr="0088229B" w:rsidTr="00635F8D">
        <w:trPr>
          <w:cantSplit/>
        </w:trPr>
        <w:tc>
          <w:tcPr>
            <w:tcW w:w="959"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bCs/>
              </w:rPr>
            </w:pPr>
            <w:r w:rsidRPr="0088229B">
              <w:rPr>
                <w:b/>
                <w:bCs/>
              </w:rPr>
              <w:t>1.16.2.1</w:t>
            </w:r>
          </w:p>
        </w:tc>
        <w:tc>
          <w:tcPr>
            <w:tcW w:w="4995" w:type="dxa"/>
            <w:shd w:val="clear" w:color="auto" w:fill="auto"/>
          </w:tcPr>
          <w:p w:rsidR="00F16614" w:rsidRPr="0088229B" w:rsidRDefault="00F16614" w:rsidP="00F16614">
            <w:pPr>
              <w:suppressAutoHyphens w:val="0"/>
              <w:autoSpaceDE w:val="0"/>
              <w:autoSpaceDN w:val="0"/>
              <w:adjustRightInd w:val="0"/>
              <w:spacing w:line="240" w:lineRule="auto"/>
              <w:rPr>
                <w:lang w:val="de-DE"/>
              </w:rPr>
            </w:pPr>
            <w:r w:rsidRPr="0088229B">
              <w:rPr>
                <w:lang w:val="de-DE"/>
              </w:rPr>
              <w:t>Das Zulassungszeugnis nach Abschnitt 1.16.1 wird von der zuständigen Behörde der Vertragspartei erteilt, bei der das Schiff eingetragen ist oder, wenn eine solche Eintragung nicht besteht, der Vertragspartei, in der es seinen Heimathafen hat; trifft keiner dieser beiden Fälle zu, so wird es von der Vertragspartei erteilt, in der der Eigner des Schiffes ansässig ist oder trifft dies nicht zu, von der zuständigen Behörde, die der Eigner oder sein Bevollmächtigter gewählt hat.</w:t>
            </w:r>
          </w:p>
          <w:p w:rsidR="00FA58F8" w:rsidRPr="0088229B" w:rsidRDefault="00FA58F8" w:rsidP="00B37697">
            <w:pPr>
              <w:pStyle w:val="SingleTxtG"/>
              <w:suppressAutoHyphens w:val="0"/>
              <w:spacing w:before="40" w:line="220" w:lineRule="exact"/>
              <w:ind w:left="0" w:right="113"/>
              <w:jc w:val="left"/>
              <w:rPr>
                <w:i/>
                <w:iCs/>
              </w:rPr>
            </w:pPr>
            <w:r w:rsidRPr="0088229B">
              <w:rPr>
                <w:i/>
                <w:iCs/>
              </w:rPr>
              <w:t>…(</w:t>
            </w:r>
            <w:r w:rsidR="00F16614" w:rsidRPr="0088229B">
              <w:rPr>
                <w:i/>
                <w:iCs/>
              </w:rPr>
              <w:t>Unverändert</w:t>
            </w:r>
            <w:r w:rsidRPr="0088229B">
              <w:rPr>
                <w:i/>
                <w:iCs/>
              </w:rPr>
              <w:t>)</w:t>
            </w:r>
          </w:p>
          <w:p w:rsidR="000E0446" w:rsidRPr="0088229B" w:rsidRDefault="000E0446" w:rsidP="00F16614">
            <w:pPr>
              <w:suppressAutoHyphens w:val="0"/>
              <w:autoSpaceDE w:val="0"/>
              <w:autoSpaceDN w:val="0"/>
              <w:adjustRightInd w:val="0"/>
              <w:spacing w:line="240" w:lineRule="auto"/>
              <w:rPr>
                <w:i/>
                <w:iCs/>
              </w:rPr>
            </w:pPr>
          </w:p>
        </w:tc>
        <w:tc>
          <w:tcPr>
            <w:tcW w:w="993"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bCs/>
                <w:u w:val="single"/>
              </w:rPr>
            </w:pPr>
            <w:r w:rsidRPr="0088229B">
              <w:rPr>
                <w:b/>
                <w:bCs/>
                <w:u w:val="single"/>
              </w:rPr>
              <w:t>1.16.2.1</w:t>
            </w:r>
          </w:p>
        </w:tc>
        <w:tc>
          <w:tcPr>
            <w:tcW w:w="5412" w:type="dxa"/>
            <w:shd w:val="clear" w:color="auto" w:fill="auto"/>
          </w:tcPr>
          <w:p w:rsidR="00F16614" w:rsidRPr="0088229B" w:rsidRDefault="00F16614" w:rsidP="00F16614">
            <w:pPr>
              <w:suppressAutoHyphens w:val="0"/>
              <w:autoSpaceDE w:val="0"/>
              <w:autoSpaceDN w:val="0"/>
              <w:adjustRightInd w:val="0"/>
              <w:spacing w:line="240" w:lineRule="auto"/>
              <w:rPr>
                <w:lang w:val="de-DE"/>
              </w:rPr>
            </w:pPr>
            <w:r w:rsidRPr="0088229B">
              <w:rPr>
                <w:lang w:val="de-DE"/>
              </w:rPr>
              <w:t xml:space="preserve">Das Zulassungszeugnis nach Abschnitt 1.16.1 wird von der zuständigen Behörde der Vertragspartei erteilt, bei der das Schiff eingetragen ist oder, wenn eine solche Eintragung nicht besteht, der Vertragspartei, in der es seinen Heimathafen hat; trifft keiner dieser beiden Fälle zu, so wird es von der Vertragspartei erteilt, in der der Eigner des Schiffes ansässig ist oder trifft dies nicht zu, von der zuständigen Behörde, die der Eigner </w:t>
            </w:r>
            <w:r w:rsidRPr="0088229B">
              <w:rPr>
                <w:b/>
                <w:strike/>
                <w:u w:val="single"/>
                <w:lang w:val="de-DE"/>
              </w:rPr>
              <w:t>oder sein Bevollmächtigter</w:t>
            </w:r>
            <w:r w:rsidRPr="0088229B">
              <w:rPr>
                <w:lang w:val="de-DE"/>
              </w:rPr>
              <w:t xml:space="preserve"> gewählt hat.</w:t>
            </w:r>
          </w:p>
          <w:p w:rsidR="002A4805" w:rsidRPr="0088229B" w:rsidRDefault="002A4805" w:rsidP="002A4805">
            <w:pPr>
              <w:pStyle w:val="SingleTxtG"/>
              <w:suppressAutoHyphens w:val="0"/>
              <w:spacing w:before="40" w:line="220" w:lineRule="exact"/>
              <w:ind w:left="0" w:right="113"/>
              <w:jc w:val="left"/>
              <w:rPr>
                <w:i/>
                <w:iCs/>
              </w:rPr>
            </w:pPr>
            <w:r w:rsidRPr="0088229B">
              <w:rPr>
                <w:i/>
                <w:iCs/>
              </w:rPr>
              <w:t>…(Unverändert)</w:t>
            </w:r>
          </w:p>
          <w:p w:rsidR="00FA58F8" w:rsidRPr="0088229B" w:rsidRDefault="00FA58F8" w:rsidP="00B37697">
            <w:pPr>
              <w:pStyle w:val="SingleTxtG"/>
              <w:suppressAutoHyphens w:val="0"/>
              <w:spacing w:before="40" w:line="220" w:lineRule="exact"/>
              <w:ind w:left="0" w:right="113"/>
              <w:jc w:val="left"/>
              <w:rPr>
                <w:lang w:val="de-DE"/>
              </w:rPr>
            </w:pPr>
          </w:p>
        </w:tc>
      </w:tr>
      <w:tr w:rsidR="00FA58F8" w:rsidRPr="0088229B" w:rsidTr="00635F8D">
        <w:trPr>
          <w:cantSplit/>
        </w:trPr>
        <w:tc>
          <w:tcPr>
            <w:tcW w:w="959"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bCs/>
              </w:rPr>
            </w:pPr>
            <w:r w:rsidRPr="0088229B">
              <w:rPr>
                <w:b/>
                <w:bCs/>
              </w:rPr>
              <w:t>1.16.3</w:t>
            </w:r>
          </w:p>
        </w:tc>
        <w:tc>
          <w:tcPr>
            <w:tcW w:w="4995" w:type="dxa"/>
            <w:shd w:val="clear" w:color="auto" w:fill="auto"/>
          </w:tcPr>
          <w:p w:rsidR="00FA58F8" w:rsidRPr="0088229B" w:rsidRDefault="003B0890" w:rsidP="00B37697">
            <w:pPr>
              <w:pStyle w:val="SingleTxtG"/>
              <w:suppressAutoHyphens w:val="0"/>
              <w:spacing w:before="40" w:line="220" w:lineRule="exact"/>
              <w:ind w:left="0" w:right="113"/>
              <w:jc w:val="left"/>
              <w:rPr>
                <w:b/>
                <w:bCs/>
              </w:rPr>
            </w:pPr>
            <w:r w:rsidRPr="0088229B">
              <w:rPr>
                <w:b/>
                <w:bCs/>
                <w:lang w:val="fr-FR"/>
              </w:rPr>
              <w:t>Untersuchungsverfahren</w:t>
            </w:r>
          </w:p>
        </w:tc>
        <w:tc>
          <w:tcPr>
            <w:tcW w:w="993"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bCs/>
              </w:rPr>
            </w:pPr>
            <w:r w:rsidRPr="0088229B">
              <w:rPr>
                <w:b/>
                <w:bCs/>
              </w:rPr>
              <w:t>1.16.3</w:t>
            </w:r>
          </w:p>
        </w:tc>
        <w:tc>
          <w:tcPr>
            <w:tcW w:w="5412" w:type="dxa"/>
            <w:shd w:val="clear" w:color="auto" w:fill="auto"/>
          </w:tcPr>
          <w:p w:rsidR="00FA58F8" w:rsidRPr="0088229B" w:rsidRDefault="003B0890" w:rsidP="00B37697">
            <w:pPr>
              <w:pStyle w:val="SingleTxtG"/>
              <w:suppressAutoHyphens w:val="0"/>
              <w:spacing w:before="40" w:line="220" w:lineRule="exact"/>
              <w:ind w:left="0" w:right="113"/>
              <w:jc w:val="left"/>
              <w:rPr>
                <w:b/>
                <w:bCs/>
              </w:rPr>
            </w:pPr>
            <w:r w:rsidRPr="0088229B">
              <w:rPr>
                <w:b/>
                <w:bCs/>
                <w:lang w:val="fr-FR"/>
              </w:rPr>
              <w:t>Untersuchungsverfahren</w:t>
            </w:r>
          </w:p>
        </w:tc>
      </w:tr>
      <w:tr w:rsidR="00FA58F8" w:rsidRPr="0088229B" w:rsidTr="00635F8D">
        <w:trPr>
          <w:cantSplit/>
        </w:trPr>
        <w:tc>
          <w:tcPr>
            <w:tcW w:w="959" w:type="dxa"/>
            <w:gridSpan w:val="2"/>
            <w:shd w:val="clear" w:color="auto" w:fill="auto"/>
          </w:tcPr>
          <w:p w:rsidR="00FA58F8" w:rsidRPr="0088229B" w:rsidRDefault="00FA58F8" w:rsidP="00B37697">
            <w:pPr>
              <w:pStyle w:val="SingleTxtG"/>
              <w:suppressAutoHyphens w:val="0"/>
              <w:spacing w:before="40" w:line="220" w:lineRule="exact"/>
              <w:ind w:left="0" w:right="113"/>
              <w:jc w:val="left"/>
            </w:pPr>
            <w:r w:rsidRPr="0088229B">
              <w:t>1.16.3.1</w:t>
            </w:r>
          </w:p>
        </w:tc>
        <w:tc>
          <w:tcPr>
            <w:tcW w:w="4995" w:type="dxa"/>
            <w:shd w:val="clear" w:color="auto" w:fill="auto"/>
          </w:tcPr>
          <w:p w:rsidR="00FA58F8" w:rsidRPr="0088229B" w:rsidRDefault="003B0890" w:rsidP="003B0890">
            <w:pPr>
              <w:pStyle w:val="SingleTxtG"/>
              <w:suppressAutoHyphens w:val="0"/>
              <w:spacing w:before="40" w:line="220" w:lineRule="exact"/>
              <w:ind w:left="0" w:right="113"/>
              <w:jc w:val="left"/>
              <w:rPr>
                <w:lang w:val="de-DE"/>
              </w:rPr>
            </w:pPr>
            <w:r w:rsidRPr="0088229B">
              <w:rPr>
                <w:rFonts w:eastAsia="TimesNewRomanPSMT"/>
                <w:lang w:val="de-DE" w:eastAsia="fr-FR"/>
              </w:rPr>
              <w:t>Die Untersuchung des Schiffes wird unter der Aufsicht der zuständigen Behörde einer Vertragspartei durchgeführt. Unter diesem Verfahren kann die Untersuchung durch eine von der Vertragspartei benannte Untersuchungsstelle oder durch eine anerkannte Klassifikationsgesellschaft durchgeführt werden. Die Untersuchungsstelle oder die anerkannte Klassifikationsgesellschaft erstellt einen Untersuchungsbericht, in dem sie die teilweise oder völlige Konformität des Schiffes mit den Bestimmungen dieser Verordnung bescheinigt.</w:t>
            </w:r>
          </w:p>
        </w:tc>
        <w:tc>
          <w:tcPr>
            <w:tcW w:w="993"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u w:val="single"/>
              </w:rPr>
            </w:pPr>
            <w:r w:rsidRPr="0088229B">
              <w:rPr>
                <w:b/>
                <w:u w:val="single"/>
              </w:rPr>
              <w:t>1.16.3.1</w:t>
            </w:r>
          </w:p>
        </w:tc>
        <w:tc>
          <w:tcPr>
            <w:tcW w:w="5412" w:type="dxa"/>
            <w:shd w:val="clear" w:color="auto" w:fill="auto"/>
          </w:tcPr>
          <w:p w:rsidR="00FA58F8" w:rsidRPr="0088229B" w:rsidRDefault="003B0890" w:rsidP="00B32EEA">
            <w:pPr>
              <w:suppressAutoHyphens w:val="0"/>
              <w:spacing w:before="40" w:after="120" w:line="220" w:lineRule="exact"/>
              <w:ind w:right="113"/>
              <w:rPr>
                <w:lang w:val="de-DE"/>
              </w:rPr>
            </w:pPr>
            <w:r w:rsidRPr="0088229B">
              <w:rPr>
                <w:rFonts w:eastAsia="TimesNewRomanPSMT"/>
                <w:lang w:val="de-DE" w:eastAsia="fr-FR"/>
              </w:rPr>
              <w:t xml:space="preserve">Die Untersuchung des Schiffes wird unter der Aufsicht der zuständigen Behörde einer Vertragspartei durchgeführt. Unter diesem Verfahren kann die Untersuchung durch eine von der Vertragspartei benannte Untersuchungsstelle oder durch eine anerkannte Klassifikationsgesellschaft </w:t>
            </w:r>
            <w:r w:rsidR="00D02E0F" w:rsidRPr="0088229B">
              <w:rPr>
                <w:rFonts w:eastAsia="TimesNewRomanPSMT"/>
                <w:b/>
                <w:u w:val="single"/>
                <w:lang w:val="de-DE" w:eastAsia="fr-FR"/>
              </w:rPr>
              <w:t>nach Kapitel 1.15</w:t>
            </w:r>
            <w:r w:rsidR="00D02E0F" w:rsidRPr="0088229B">
              <w:rPr>
                <w:rFonts w:eastAsia="TimesNewRomanPSMT"/>
                <w:lang w:val="de-DE" w:eastAsia="fr-FR"/>
              </w:rPr>
              <w:t xml:space="preserve"> </w:t>
            </w:r>
            <w:r w:rsidRPr="0088229B">
              <w:rPr>
                <w:rFonts w:eastAsia="TimesNewRomanPSMT"/>
                <w:lang w:val="de-DE" w:eastAsia="fr-FR"/>
              </w:rPr>
              <w:t>durchgeführt werden</w:t>
            </w:r>
            <w:r w:rsidR="00FA58F8" w:rsidRPr="0088229B">
              <w:rPr>
                <w:rFonts w:eastAsia="TimesNewRomanPSMT"/>
                <w:lang w:val="de-DE" w:eastAsia="fr-FR"/>
              </w:rPr>
              <w:t xml:space="preserve">. </w:t>
            </w:r>
            <w:r w:rsidR="00D02E0F" w:rsidRPr="0088229B">
              <w:rPr>
                <w:rFonts w:eastAsia="TimesNewRomanPSMT"/>
                <w:lang w:val="de-DE" w:eastAsia="fr-FR"/>
              </w:rPr>
              <w:t xml:space="preserve">Die Untersuchungsstelle oder die anerkannte Klassifikationsgesellschaft erstellt einen Untersuchungsbericht, in dem sie die teilweise oder völlige Konformität des Schiffes mit den </w:t>
            </w:r>
            <w:r w:rsidR="00D02E0F" w:rsidRPr="0088229B">
              <w:rPr>
                <w:rFonts w:eastAsia="TimesNewRomanPSMT"/>
                <w:b/>
                <w:u w:val="single"/>
                <w:lang w:val="de-DE" w:eastAsia="fr-FR"/>
              </w:rPr>
              <w:t>anwendbaren Vorschriften</w:t>
            </w:r>
            <w:r w:rsidR="00D02E0F" w:rsidRPr="0088229B">
              <w:rPr>
                <w:rFonts w:eastAsia="TimesNewRomanPSMT"/>
                <w:b/>
                <w:strike/>
                <w:lang w:val="de-DE" w:eastAsia="fr-FR"/>
              </w:rPr>
              <w:t xml:space="preserve"> Bestimmungen </w:t>
            </w:r>
            <w:r w:rsidR="00D02E0F" w:rsidRPr="0088229B">
              <w:rPr>
                <w:rFonts w:eastAsia="TimesNewRomanPSMT"/>
                <w:lang w:val="de-DE" w:eastAsia="fr-FR"/>
              </w:rPr>
              <w:t xml:space="preserve">dieser Verordnung </w:t>
            </w:r>
            <w:r w:rsidR="00B32EEA" w:rsidRPr="0088229B">
              <w:rPr>
                <w:rFonts w:eastAsia="TimesNewRomanPSMT"/>
                <w:b/>
                <w:u w:val="single"/>
                <w:lang w:val="de-DE" w:eastAsia="fr-FR"/>
              </w:rPr>
              <w:t>hinsichtlich</w:t>
            </w:r>
            <w:r w:rsidR="00D02E0F" w:rsidRPr="0088229B">
              <w:rPr>
                <w:rFonts w:eastAsia="TimesNewRomanPSMT"/>
                <w:b/>
                <w:u w:val="single"/>
                <w:lang w:val="de-DE" w:eastAsia="fr-FR"/>
              </w:rPr>
              <w:t xml:space="preserve"> Bau und Ausrüstung des Schiffes</w:t>
            </w:r>
            <w:r w:rsidR="00D02E0F" w:rsidRPr="0088229B">
              <w:rPr>
                <w:rFonts w:eastAsia="TimesNewRomanPSMT"/>
                <w:lang w:val="de-DE" w:eastAsia="fr-FR"/>
              </w:rPr>
              <w:t xml:space="preserve"> </w:t>
            </w:r>
            <w:r w:rsidR="00B32EEA" w:rsidRPr="0088229B">
              <w:rPr>
                <w:rFonts w:eastAsia="TimesNewRomanPSMT"/>
                <w:lang w:val="de-DE" w:eastAsia="fr-FR"/>
              </w:rPr>
              <w:t>bescheinigt</w:t>
            </w:r>
            <w:r w:rsidR="00FA58F8" w:rsidRPr="0088229B">
              <w:rPr>
                <w:rFonts w:eastAsia="TimesNewRomanPSMT"/>
                <w:lang w:val="de-DE" w:eastAsia="fr-FR"/>
              </w:rPr>
              <w:t>.</w:t>
            </w:r>
          </w:p>
        </w:tc>
      </w:tr>
      <w:tr w:rsidR="00FA58F8" w:rsidRPr="0088229B" w:rsidTr="00635F8D">
        <w:trPr>
          <w:cantSplit/>
        </w:trPr>
        <w:tc>
          <w:tcPr>
            <w:tcW w:w="959" w:type="dxa"/>
            <w:gridSpan w:val="2"/>
            <w:shd w:val="clear" w:color="auto" w:fill="auto"/>
          </w:tcPr>
          <w:p w:rsidR="00FA58F8" w:rsidRPr="0088229B" w:rsidRDefault="00FA58F8" w:rsidP="00B37697">
            <w:pPr>
              <w:pStyle w:val="SingleTxtG"/>
              <w:suppressAutoHyphens w:val="0"/>
              <w:spacing w:before="40" w:line="220" w:lineRule="exact"/>
              <w:ind w:left="0" w:right="113"/>
              <w:jc w:val="left"/>
            </w:pPr>
            <w:r w:rsidRPr="0088229B">
              <w:lastRenderedPageBreak/>
              <w:t>1.16.3.2</w:t>
            </w:r>
          </w:p>
        </w:tc>
        <w:tc>
          <w:tcPr>
            <w:tcW w:w="4995" w:type="dxa"/>
            <w:shd w:val="clear" w:color="auto" w:fill="auto"/>
          </w:tcPr>
          <w:p w:rsidR="00FA58F8" w:rsidRPr="0088229B" w:rsidRDefault="00B2080A" w:rsidP="00196EF4">
            <w:pPr>
              <w:pStyle w:val="SingleTxtG"/>
              <w:suppressAutoHyphens w:val="0"/>
              <w:spacing w:before="40" w:line="220" w:lineRule="exact"/>
              <w:ind w:left="0" w:right="113"/>
              <w:jc w:val="left"/>
              <w:rPr>
                <w:lang w:val="de-DE"/>
              </w:rPr>
            </w:pPr>
            <w:r w:rsidRPr="0088229B">
              <w:rPr>
                <w:rFonts w:eastAsia="TimesNewRomanPSMT"/>
                <w:lang w:val="de-DE" w:eastAsia="fr-FR"/>
              </w:rPr>
              <w:t>Dieser Bericht ist in einer für die zuständige Behörde akzeptierten Sprache abzufassen und muss alle für die Ausstellung des Zeugnisses erforderlichen Angaben enthalten.</w:t>
            </w:r>
          </w:p>
        </w:tc>
        <w:tc>
          <w:tcPr>
            <w:tcW w:w="993"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bCs/>
                <w:u w:val="single"/>
              </w:rPr>
            </w:pPr>
            <w:r w:rsidRPr="0088229B">
              <w:rPr>
                <w:b/>
                <w:bCs/>
                <w:u w:val="single"/>
              </w:rPr>
              <w:t>1.16.3.2</w:t>
            </w:r>
          </w:p>
        </w:tc>
        <w:tc>
          <w:tcPr>
            <w:tcW w:w="5412" w:type="dxa"/>
            <w:shd w:val="clear" w:color="auto" w:fill="auto"/>
          </w:tcPr>
          <w:p w:rsidR="00FA58F8" w:rsidRPr="0088229B" w:rsidRDefault="00647C6D" w:rsidP="00647C6D">
            <w:pPr>
              <w:pStyle w:val="SingleTxtG"/>
              <w:suppressAutoHyphens w:val="0"/>
              <w:spacing w:before="40" w:line="220" w:lineRule="exact"/>
              <w:ind w:left="0" w:right="113"/>
              <w:jc w:val="left"/>
              <w:rPr>
                <w:rFonts w:eastAsia="TimesNewRomanPSMT"/>
                <w:b/>
                <w:bCs/>
                <w:u w:val="single"/>
                <w:lang w:val="de-DE" w:eastAsia="fr-FR"/>
              </w:rPr>
            </w:pPr>
            <w:r w:rsidRPr="0088229B">
              <w:rPr>
                <w:rFonts w:eastAsia="TimesNewRomanPSMT"/>
                <w:b/>
                <w:bCs/>
                <w:u w:val="single"/>
                <w:lang w:val="de-DE" w:eastAsia="fr-FR"/>
              </w:rPr>
              <w:t>In d</w:t>
            </w:r>
            <w:r w:rsidR="008129E4" w:rsidRPr="0088229B">
              <w:rPr>
                <w:rFonts w:eastAsia="TimesNewRomanPSMT"/>
                <w:b/>
                <w:bCs/>
                <w:u w:val="single"/>
                <w:lang w:val="de-DE" w:eastAsia="fr-FR"/>
              </w:rPr>
              <w:t>iese</w:t>
            </w:r>
            <w:r w:rsidRPr="0088229B">
              <w:rPr>
                <w:rFonts w:eastAsia="TimesNewRomanPSMT"/>
                <w:b/>
                <w:bCs/>
                <w:u w:val="single"/>
                <w:lang w:val="de-DE" w:eastAsia="fr-FR"/>
              </w:rPr>
              <w:t>m</w:t>
            </w:r>
            <w:r w:rsidR="008129E4" w:rsidRPr="0088229B">
              <w:rPr>
                <w:rFonts w:eastAsia="TimesNewRomanPSMT"/>
                <w:b/>
                <w:bCs/>
                <w:u w:val="single"/>
                <w:lang w:val="de-DE" w:eastAsia="fr-FR"/>
              </w:rPr>
              <w:t xml:space="preserve"> Bericht </w:t>
            </w:r>
            <w:r w:rsidRPr="0088229B">
              <w:rPr>
                <w:rFonts w:eastAsia="TimesNewRomanPSMT"/>
                <w:b/>
                <w:bCs/>
                <w:u w:val="single"/>
                <w:lang w:val="de-DE" w:eastAsia="fr-FR"/>
              </w:rPr>
              <w:t>sind etwaige</w:t>
            </w:r>
            <w:r w:rsidR="008129E4" w:rsidRPr="0088229B">
              <w:rPr>
                <w:rFonts w:eastAsia="TimesNewRomanPSMT"/>
                <w:b/>
                <w:bCs/>
                <w:u w:val="single"/>
                <w:lang w:val="de-DE" w:eastAsia="fr-FR"/>
              </w:rPr>
              <w:t xml:space="preserve"> </w:t>
            </w:r>
            <w:r w:rsidRPr="0088229B">
              <w:rPr>
                <w:rFonts w:eastAsia="TimesNewRomanPSMT"/>
                <w:b/>
                <w:bCs/>
                <w:u w:val="single"/>
                <w:lang w:val="de-DE" w:eastAsia="fr-FR"/>
              </w:rPr>
              <w:t>Nichtkonformitäten</w:t>
            </w:r>
            <w:r w:rsidR="008129E4" w:rsidRPr="0088229B">
              <w:rPr>
                <w:rFonts w:eastAsia="TimesNewRomanPSMT"/>
                <w:b/>
                <w:bCs/>
                <w:u w:val="single"/>
                <w:lang w:val="de-DE" w:eastAsia="fr-FR"/>
              </w:rPr>
              <w:t xml:space="preserve">, Übergangsvorschriften, </w:t>
            </w:r>
            <w:r w:rsidRPr="0088229B">
              <w:rPr>
                <w:rFonts w:eastAsia="TimesNewRomanPSMT"/>
                <w:b/>
                <w:bCs/>
                <w:u w:val="single"/>
                <w:lang w:val="de-DE" w:eastAsia="fr-FR"/>
              </w:rPr>
              <w:t>Gleichwertigkeiten und Abweichungen von den auf das Schiff anwendbaren Vorschriften anzugeben.</w:t>
            </w:r>
            <w:r w:rsidR="00FA58F8" w:rsidRPr="0088229B">
              <w:rPr>
                <w:rFonts w:eastAsia="TimesNewRomanPSMT"/>
                <w:b/>
                <w:bCs/>
                <w:u w:val="single"/>
                <w:lang w:val="de-DE" w:eastAsia="fr-FR"/>
              </w:rPr>
              <w:t xml:space="preserve"> </w:t>
            </w:r>
          </w:p>
          <w:p w:rsidR="00FA58F8" w:rsidRPr="0088229B" w:rsidRDefault="006B2957" w:rsidP="007907E9">
            <w:pPr>
              <w:pStyle w:val="SingleTxtG"/>
              <w:suppressAutoHyphens w:val="0"/>
              <w:spacing w:before="40" w:line="220" w:lineRule="exact"/>
              <w:ind w:left="0" w:right="113"/>
              <w:jc w:val="left"/>
              <w:rPr>
                <w:lang w:val="de-DE"/>
              </w:rPr>
            </w:pPr>
            <w:r w:rsidRPr="0088229B">
              <w:rPr>
                <w:rFonts w:eastAsia="TimesNewRomanPSMT"/>
                <w:b/>
                <w:bCs/>
                <w:u w:val="single"/>
                <w:lang w:val="de-DE" w:eastAsia="fr-FR"/>
              </w:rPr>
              <w:t>Ist durch</w:t>
            </w:r>
            <w:r w:rsidR="00647C6D" w:rsidRPr="0088229B">
              <w:rPr>
                <w:rFonts w:eastAsia="TimesNewRomanPSMT"/>
                <w:b/>
                <w:bCs/>
                <w:u w:val="single"/>
                <w:lang w:val="de-DE" w:eastAsia="fr-FR"/>
              </w:rPr>
              <w:t xml:space="preserve"> de</w:t>
            </w:r>
            <w:r w:rsidRPr="0088229B">
              <w:rPr>
                <w:rFonts w:eastAsia="TimesNewRomanPSMT"/>
                <w:b/>
                <w:bCs/>
                <w:u w:val="single"/>
                <w:lang w:val="de-DE" w:eastAsia="fr-FR"/>
              </w:rPr>
              <w:t>n</w:t>
            </w:r>
            <w:r w:rsidR="00647C6D" w:rsidRPr="0088229B">
              <w:rPr>
                <w:rFonts w:eastAsia="TimesNewRomanPSMT"/>
                <w:b/>
                <w:bCs/>
                <w:u w:val="single"/>
                <w:lang w:val="de-DE" w:eastAsia="fr-FR"/>
              </w:rPr>
              <w:t xml:space="preserve"> Untersuchungsbericht nicht sicherstellt, dass alle in Unterabschnitt 1.16.3.1</w:t>
            </w:r>
            <w:r w:rsidR="004305EF" w:rsidRPr="0088229B">
              <w:rPr>
                <w:rFonts w:eastAsia="TimesNewRomanPSMT"/>
                <w:b/>
                <w:bCs/>
                <w:u w:val="single"/>
                <w:lang w:val="de-DE" w:eastAsia="fr-FR"/>
              </w:rPr>
              <w:t xml:space="preserve"> </w:t>
            </w:r>
            <w:r w:rsidR="00647C6D" w:rsidRPr="0088229B">
              <w:rPr>
                <w:rFonts w:eastAsia="TimesNewRomanPSMT"/>
                <w:b/>
                <w:bCs/>
                <w:u w:val="single"/>
                <w:lang w:val="de-DE" w:eastAsia="fr-FR"/>
              </w:rPr>
              <w:t>genannten anwendbaren Vorschriften erfüllt sind, kann die zuständige Behörde zusätzliche Informationen verlangen, um ein vorläufiges Zulassungszeugnis nach Absatz 1.16.1.3.1 Buchstabe b auszustellen.</w:t>
            </w:r>
          </w:p>
        </w:tc>
      </w:tr>
      <w:tr w:rsidR="00FA58F8" w:rsidRPr="0088229B" w:rsidTr="00635F8D">
        <w:trPr>
          <w:cantSplit/>
        </w:trPr>
        <w:tc>
          <w:tcPr>
            <w:tcW w:w="959" w:type="dxa"/>
            <w:gridSpan w:val="2"/>
            <w:shd w:val="clear" w:color="auto" w:fill="auto"/>
          </w:tcPr>
          <w:p w:rsidR="00FA58F8" w:rsidRPr="0088229B" w:rsidRDefault="00FA58F8" w:rsidP="00B37697">
            <w:pPr>
              <w:pStyle w:val="SingleTxtG"/>
              <w:suppressAutoHyphens w:val="0"/>
              <w:spacing w:before="40" w:line="220" w:lineRule="exact"/>
              <w:ind w:left="0" w:right="113"/>
              <w:jc w:val="left"/>
              <w:rPr>
                <w:lang w:val="de-DE"/>
              </w:rPr>
            </w:pPr>
          </w:p>
        </w:tc>
        <w:tc>
          <w:tcPr>
            <w:tcW w:w="4995" w:type="dxa"/>
            <w:shd w:val="clear" w:color="auto" w:fill="auto"/>
          </w:tcPr>
          <w:p w:rsidR="00FA58F8" w:rsidRPr="0088229B" w:rsidRDefault="00FA58F8" w:rsidP="00B37697">
            <w:pPr>
              <w:pStyle w:val="SingleTxtG"/>
              <w:suppressAutoHyphens w:val="0"/>
              <w:spacing w:before="40" w:line="220" w:lineRule="exact"/>
              <w:ind w:left="0" w:right="113"/>
              <w:jc w:val="left"/>
              <w:rPr>
                <w:lang w:val="de-DE"/>
              </w:rPr>
            </w:pPr>
          </w:p>
        </w:tc>
        <w:tc>
          <w:tcPr>
            <w:tcW w:w="993" w:type="dxa"/>
            <w:gridSpan w:val="2"/>
            <w:shd w:val="clear" w:color="auto" w:fill="auto"/>
          </w:tcPr>
          <w:p w:rsidR="00FA58F8" w:rsidRPr="0088229B" w:rsidRDefault="00FA58F8" w:rsidP="009D7966">
            <w:pPr>
              <w:pStyle w:val="SingleTxtG"/>
              <w:suppressAutoHyphens w:val="0"/>
              <w:spacing w:before="40" w:line="220" w:lineRule="exact"/>
              <w:ind w:left="0" w:right="113"/>
              <w:jc w:val="left"/>
              <w:rPr>
                <w:b/>
              </w:rPr>
            </w:pPr>
            <w:r w:rsidRPr="0088229B">
              <w:rPr>
                <w:b/>
                <w:u w:val="single"/>
              </w:rPr>
              <w:t>1.16.3.3</w:t>
            </w:r>
            <w:r w:rsidR="009D7966" w:rsidRPr="0088229B">
              <w:rPr>
                <w:b/>
                <w:u w:val="single"/>
              </w:rPr>
              <w:br/>
            </w:r>
            <w:r w:rsidRPr="0088229B">
              <w:rPr>
                <w:b/>
              </w:rPr>
              <w:t>(</w:t>
            </w:r>
            <w:r w:rsidR="00196EF4" w:rsidRPr="0088229B">
              <w:rPr>
                <w:b/>
              </w:rPr>
              <w:t>Neu</w:t>
            </w:r>
            <w:r w:rsidRPr="0088229B">
              <w:rPr>
                <w:b/>
              </w:rPr>
              <w:t>)</w:t>
            </w:r>
          </w:p>
        </w:tc>
        <w:tc>
          <w:tcPr>
            <w:tcW w:w="5412" w:type="dxa"/>
            <w:shd w:val="clear" w:color="auto" w:fill="auto"/>
          </w:tcPr>
          <w:p w:rsidR="00FA58F8" w:rsidRPr="0088229B" w:rsidRDefault="00196EF4" w:rsidP="00196EF4">
            <w:pPr>
              <w:pStyle w:val="SingleTxtG"/>
              <w:suppressAutoHyphens w:val="0"/>
              <w:spacing w:before="40" w:line="220" w:lineRule="exact"/>
              <w:ind w:left="0" w:right="113"/>
              <w:rPr>
                <w:b/>
                <w:bCs/>
                <w:u w:val="single"/>
                <w:lang w:val="de-DE"/>
              </w:rPr>
            </w:pPr>
            <w:r w:rsidRPr="0088229B">
              <w:rPr>
                <w:rFonts w:eastAsia="TimesNewRomanPSMT"/>
                <w:b/>
                <w:u w:val="single"/>
                <w:lang w:val="de-DE" w:eastAsia="fr-FR"/>
              </w:rPr>
              <w:t>Der</w:t>
            </w:r>
            <w:r w:rsidRPr="0088229B">
              <w:rPr>
                <w:rFonts w:eastAsia="TimesNewRomanPSMT"/>
                <w:lang w:val="de-DE" w:eastAsia="fr-FR"/>
              </w:rPr>
              <w:t xml:space="preserve"> Bericht ist in einer für die zuständige Behörde akzeptierten Sprache abzufassen und muss alle für die Ausstellung des Zeugnisses erforderlichen Angaben enthalten.</w:t>
            </w:r>
          </w:p>
        </w:tc>
      </w:tr>
      <w:tr w:rsidR="00FA58F8" w:rsidRPr="0088229B" w:rsidTr="00635F8D">
        <w:trPr>
          <w:cantSplit/>
        </w:trPr>
        <w:tc>
          <w:tcPr>
            <w:tcW w:w="959" w:type="dxa"/>
            <w:gridSpan w:val="2"/>
            <w:shd w:val="clear" w:color="auto" w:fill="auto"/>
          </w:tcPr>
          <w:p w:rsidR="00FA58F8" w:rsidRPr="0088229B" w:rsidRDefault="00FA58F8" w:rsidP="00B37697">
            <w:pPr>
              <w:pStyle w:val="SingleTxtG"/>
              <w:suppressAutoHyphens w:val="0"/>
              <w:spacing w:before="40" w:line="220" w:lineRule="exact"/>
              <w:ind w:left="0" w:right="113"/>
              <w:jc w:val="left"/>
              <w:rPr>
                <w:lang w:val="de-DE"/>
              </w:rPr>
            </w:pPr>
          </w:p>
        </w:tc>
        <w:tc>
          <w:tcPr>
            <w:tcW w:w="4995" w:type="dxa"/>
            <w:shd w:val="clear" w:color="auto" w:fill="auto"/>
          </w:tcPr>
          <w:p w:rsidR="00FA58F8" w:rsidRPr="0088229B" w:rsidRDefault="00FA58F8" w:rsidP="00B37697">
            <w:pPr>
              <w:pStyle w:val="SingleTxtG"/>
              <w:suppressAutoHyphens w:val="0"/>
              <w:spacing w:before="40" w:line="220" w:lineRule="exact"/>
              <w:ind w:left="0" w:right="113"/>
              <w:jc w:val="left"/>
              <w:rPr>
                <w:lang w:val="de-DE"/>
              </w:rPr>
            </w:pPr>
          </w:p>
        </w:tc>
        <w:tc>
          <w:tcPr>
            <w:tcW w:w="993" w:type="dxa"/>
            <w:gridSpan w:val="2"/>
            <w:shd w:val="clear" w:color="auto" w:fill="auto"/>
          </w:tcPr>
          <w:p w:rsidR="00FA58F8" w:rsidRPr="0088229B" w:rsidRDefault="00FA58F8" w:rsidP="009D7966">
            <w:pPr>
              <w:pStyle w:val="SingleTxtG"/>
              <w:suppressAutoHyphens w:val="0"/>
              <w:spacing w:before="40" w:line="220" w:lineRule="exact"/>
              <w:ind w:left="0" w:right="113"/>
              <w:jc w:val="left"/>
              <w:rPr>
                <w:b/>
              </w:rPr>
            </w:pPr>
            <w:r w:rsidRPr="0088229B">
              <w:rPr>
                <w:b/>
                <w:u w:val="single"/>
              </w:rPr>
              <w:t>1.16.3.4</w:t>
            </w:r>
            <w:r w:rsidR="009D7966" w:rsidRPr="0088229B">
              <w:rPr>
                <w:b/>
                <w:u w:val="single"/>
              </w:rPr>
              <w:br/>
            </w:r>
            <w:r w:rsidRPr="0088229B">
              <w:rPr>
                <w:b/>
              </w:rPr>
              <w:t>(</w:t>
            </w:r>
            <w:r w:rsidR="00E6101D" w:rsidRPr="0088229B">
              <w:rPr>
                <w:b/>
              </w:rPr>
              <w:t>Neu</w:t>
            </w:r>
            <w:r w:rsidRPr="0088229B">
              <w:rPr>
                <w:b/>
              </w:rPr>
              <w:t>)</w:t>
            </w:r>
          </w:p>
        </w:tc>
        <w:tc>
          <w:tcPr>
            <w:tcW w:w="5412" w:type="dxa"/>
            <w:shd w:val="clear" w:color="auto" w:fill="auto"/>
          </w:tcPr>
          <w:p w:rsidR="00FA58F8" w:rsidRPr="0088229B" w:rsidRDefault="006B2957" w:rsidP="007907E9">
            <w:pPr>
              <w:pStyle w:val="SingleTxtG"/>
              <w:suppressAutoHyphens w:val="0"/>
              <w:spacing w:before="40" w:line="220" w:lineRule="exact"/>
              <w:ind w:left="0" w:right="113"/>
              <w:jc w:val="left"/>
              <w:rPr>
                <w:lang w:val="de-DE"/>
              </w:rPr>
            </w:pPr>
            <w:r w:rsidRPr="0088229B">
              <w:rPr>
                <w:b/>
                <w:bCs/>
                <w:u w:val="single"/>
                <w:lang w:val="de-DE"/>
              </w:rPr>
              <w:t>Die Bestimmungen der Unterabschnitte 1.16.3.1, 1.16.3.2 und 1.16.3.3 gelten für die Erstuntersuchung nach Abschnitt 1.16.8, die Sonderuntersuchung nach 1.16.9 und die Wiederholungsuntersuchung nach 1.16.10.</w:t>
            </w:r>
          </w:p>
        </w:tc>
      </w:tr>
      <w:tr w:rsidR="00FA58F8" w:rsidRPr="0088229B" w:rsidTr="00635F8D">
        <w:trPr>
          <w:cantSplit/>
        </w:trPr>
        <w:tc>
          <w:tcPr>
            <w:tcW w:w="959" w:type="dxa"/>
            <w:gridSpan w:val="2"/>
            <w:shd w:val="clear" w:color="auto" w:fill="auto"/>
          </w:tcPr>
          <w:p w:rsidR="00FA58F8" w:rsidRPr="0088229B" w:rsidRDefault="00FA58F8" w:rsidP="00B37697">
            <w:pPr>
              <w:pStyle w:val="SingleTxtG"/>
              <w:suppressAutoHyphens w:val="0"/>
              <w:spacing w:before="40" w:line="220" w:lineRule="exact"/>
              <w:ind w:left="0" w:right="113"/>
              <w:jc w:val="left"/>
              <w:rPr>
                <w:lang w:val="de-DE"/>
              </w:rPr>
            </w:pPr>
          </w:p>
        </w:tc>
        <w:tc>
          <w:tcPr>
            <w:tcW w:w="4995" w:type="dxa"/>
            <w:shd w:val="clear" w:color="auto" w:fill="auto"/>
          </w:tcPr>
          <w:p w:rsidR="00FA58F8" w:rsidRPr="0088229B" w:rsidRDefault="00FA58F8" w:rsidP="00B37697">
            <w:pPr>
              <w:pStyle w:val="SingleTxtG"/>
              <w:suppressAutoHyphens w:val="0"/>
              <w:spacing w:before="40" w:line="220" w:lineRule="exact"/>
              <w:ind w:left="0" w:right="113"/>
              <w:jc w:val="left"/>
              <w:rPr>
                <w:lang w:val="de-DE"/>
              </w:rPr>
            </w:pPr>
          </w:p>
        </w:tc>
        <w:tc>
          <w:tcPr>
            <w:tcW w:w="993" w:type="dxa"/>
            <w:gridSpan w:val="2"/>
            <w:shd w:val="clear" w:color="auto" w:fill="auto"/>
          </w:tcPr>
          <w:p w:rsidR="00FA58F8" w:rsidRPr="0088229B" w:rsidRDefault="00FA58F8" w:rsidP="009D7966">
            <w:pPr>
              <w:pStyle w:val="SingleTxtG"/>
              <w:suppressAutoHyphens w:val="0"/>
              <w:spacing w:before="40" w:line="220" w:lineRule="exact"/>
              <w:ind w:left="0" w:right="113"/>
              <w:jc w:val="left"/>
              <w:rPr>
                <w:b/>
              </w:rPr>
            </w:pPr>
            <w:r w:rsidRPr="0088229B">
              <w:rPr>
                <w:b/>
                <w:u w:val="single"/>
              </w:rPr>
              <w:t>1.16.3.5</w:t>
            </w:r>
            <w:r w:rsidR="009D7966" w:rsidRPr="0088229B">
              <w:rPr>
                <w:b/>
                <w:u w:val="single"/>
              </w:rPr>
              <w:br/>
            </w:r>
            <w:r w:rsidRPr="0088229B">
              <w:rPr>
                <w:b/>
              </w:rPr>
              <w:t>(</w:t>
            </w:r>
            <w:r w:rsidR="00E6101D" w:rsidRPr="0088229B">
              <w:rPr>
                <w:b/>
              </w:rPr>
              <w:t>Neu</w:t>
            </w:r>
            <w:r w:rsidRPr="0088229B">
              <w:rPr>
                <w:b/>
              </w:rPr>
              <w:t>)</w:t>
            </w:r>
          </w:p>
        </w:tc>
        <w:tc>
          <w:tcPr>
            <w:tcW w:w="5412" w:type="dxa"/>
            <w:shd w:val="clear" w:color="auto" w:fill="auto"/>
          </w:tcPr>
          <w:p w:rsidR="00FA58F8" w:rsidRPr="0088229B" w:rsidRDefault="006B2957" w:rsidP="006B2957">
            <w:pPr>
              <w:pStyle w:val="SingleTxtG"/>
              <w:suppressAutoHyphens w:val="0"/>
              <w:spacing w:before="40" w:line="220" w:lineRule="exact"/>
              <w:ind w:left="0" w:right="113"/>
              <w:jc w:val="left"/>
              <w:rPr>
                <w:b/>
                <w:bCs/>
                <w:u w:val="single"/>
                <w:lang w:val="de-DE"/>
              </w:rPr>
            </w:pPr>
            <w:r w:rsidRPr="0088229B">
              <w:rPr>
                <w:b/>
                <w:bCs/>
                <w:u w:val="single"/>
                <w:lang w:val="de-DE"/>
              </w:rPr>
              <w:t>Wird der Untersuchungsbericht von einer anerkannten Klassifikationsgesellschaft erstellt, kann der Bericht die in den Absätzen 9.1.0.88.1, 9.2.0.88.1, 9.3.1.8.1, 9.3.2.8.1 oder 9.3.3.8.1 genannten Bescheinigungen enthalten.</w:t>
            </w:r>
          </w:p>
          <w:p w:rsidR="00FA58F8" w:rsidRPr="0088229B" w:rsidRDefault="006B2957" w:rsidP="007907E9">
            <w:pPr>
              <w:pStyle w:val="SingleTxtG"/>
              <w:suppressAutoHyphens w:val="0"/>
              <w:spacing w:before="40" w:line="220" w:lineRule="exact"/>
              <w:ind w:left="0" w:right="113"/>
              <w:jc w:val="left"/>
              <w:rPr>
                <w:b/>
                <w:bCs/>
                <w:u w:val="single"/>
                <w:lang w:val="de-DE"/>
              </w:rPr>
            </w:pPr>
            <w:r w:rsidRPr="0088229B">
              <w:rPr>
                <w:b/>
                <w:bCs/>
                <w:u w:val="single"/>
                <w:lang w:val="de-DE"/>
              </w:rPr>
              <w:t xml:space="preserve">Das Mitführen der von der Klassifikationsgesellschaft </w:t>
            </w:r>
            <w:r w:rsidR="00AC5440" w:rsidRPr="0088229B">
              <w:rPr>
                <w:b/>
                <w:bCs/>
                <w:u w:val="single"/>
                <w:lang w:val="de-DE"/>
              </w:rPr>
              <w:t xml:space="preserve">für </w:t>
            </w:r>
            <w:r w:rsidRPr="0088229B">
              <w:rPr>
                <w:b/>
                <w:bCs/>
                <w:u w:val="single"/>
                <w:lang w:val="de-DE"/>
              </w:rPr>
              <w:t xml:space="preserve">Zwecke der Unterabschnitte 8.1.2.3 Buchstabe f und 8.1.2.3 Buchstabe o </w:t>
            </w:r>
            <w:r w:rsidR="00AC5440" w:rsidRPr="0088229B">
              <w:rPr>
                <w:b/>
                <w:bCs/>
                <w:u w:val="single"/>
                <w:lang w:val="de-DE"/>
              </w:rPr>
              <w:t>erteilten Bescheinigungen an Bord ist weiterhin verpflichtend.</w:t>
            </w:r>
          </w:p>
          <w:p w:rsidR="008D17B4" w:rsidRPr="0088229B" w:rsidRDefault="008D17B4" w:rsidP="007907E9">
            <w:pPr>
              <w:pStyle w:val="SingleTxtG"/>
              <w:suppressAutoHyphens w:val="0"/>
              <w:spacing w:before="40" w:line="220" w:lineRule="exact"/>
              <w:ind w:left="0" w:right="113"/>
              <w:jc w:val="left"/>
              <w:rPr>
                <w:b/>
                <w:bCs/>
                <w:u w:val="single"/>
                <w:lang w:val="de-DE"/>
              </w:rPr>
            </w:pPr>
          </w:p>
          <w:p w:rsidR="008D17B4" w:rsidRPr="0088229B" w:rsidRDefault="008D17B4" w:rsidP="007907E9">
            <w:pPr>
              <w:pStyle w:val="SingleTxtG"/>
              <w:suppressAutoHyphens w:val="0"/>
              <w:spacing w:before="40" w:line="220" w:lineRule="exact"/>
              <w:ind w:left="0" w:right="113"/>
              <w:jc w:val="left"/>
              <w:rPr>
                <w:b/>
                <w:bCs/>
                <w:u w:val="single"/>
                <w:lang w:val="de-DE"/>
              </w:rPr>
            </w:pPr>
          </w:p>
          <w:p w:rsidR="008D17B4" w:rsidRPr="0088229B" w:rsidRDefault="008D17B4" w:rsidP="007907E9">
            <w:pPr>
              <w:pStyle w:val="SingleTxtG"/>
              <w:suppressAutoHyphens w:val="0"/>
              <w:spacing w:before="40" w:line="220" w:lineRule="exact"/>
              <w:ind w:left="0" w:right="113"/>
              <w:jc w:val="left"/>
              <w:rPr>
                <w:b/>
                <w:bCs/>
                <w:u w:val="single"/>
                <w:lang w:val="de-DE"/>
              </w:rPr>
            </w:pPr>
          </w:p>
          <w:p w:rsidR="008D17B4" w:rsidRPr="0088229B" w:rsidRDefault="008D17B4" w:rsidP="007907E9">
            <w:pPr>
              <w:pStyle w:val="SingleTxtG"/>
              <w:suppressAutoHyphens w:val="0"/>
              <w:spacing w:before="40" w:line="220" w:lineRule="exact"/>
              <w:ind w:left="0" w:right="113"/>
              <w:jc w:val="left"/>
              <w:rPr>
                <w:b/>
                <w:bCs/>
                <w:u w:val="single"/>
                <w:lang w:val="de-DE"/>
              </w:rPr>
            </w:pPr>
          </w:p>
          <w:p w:rsidR="008D17B4" w:rsidRPr="0088229B" w:rsidRDefault="008D17B4" w:rsidP="007907E9">
            <w:pPr>
              <w:pStyle w:val="SingleTxtG"/>
              <w:suppressAutoHyphens w:val="0"/>
              <w:spacing w:before="40" w:line="220" w:lineRule="exact"/>
              <w:ind w:left="0" w:right="113"/>
              <w:jc w:val="left"/>
              <w:rPr>
                <w:b/>
                <w:bCs/>
                <w:u w:val="single"/>
                <w:lang w:val="de-DE"/>
              </w:rPr>
            </w:pPr>
          </w:p>
          <w:p w:rsidR="008D17B4" w:rsidRPr="0088229B" w:rsidRDefault="008D17B4" w:rsidP="007907E9">
            <w:pPr>
              <w:pStyle w:val="SingleTxtG"/>
              <w:suppressAutoHyphens w:val="0"/>
              <w:spacing w:before="40" w:line="220" w:lineRule="exact"/>
              <w:ind w:left="0" w:right="113"/>
              <w:jc w:val="left"/>
              <w:rPr>
                <w:lang w:val="de-DE"/>
              </w:rPr>
            </w:pPr>
          </w:p>
        </w:tc>
      </w:tr>
      <w:tr w:rsidR="00FA58F8" w:rsidRPr="0088229B" w:rsidTr="00635F8D">
        <w:trPr>
          <w:cantSplit/>
        </w:trPr>
        <w:tc>
          <w:tcPr>
            <w:tcW w:w="959"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rPr>
            </w:pPr>
            <w:r w:rsidRPr="0088229B">
              <w:rPr>
                <w:b/>
              </w:rPr>
              <w:lastRenderedPageBreak/>
              <w:t>1.16.5</w:t>
            </w:r>
          </w:p>
        </w:tc>
        <w:tc>
          <w:tcPr>
            <w:tcW w:w="4995" w:type="dxa"/>
            <w:shd w:val="clear" w:color="auto" w:fill="auto"/>
          </w:tcPr>
          <w:p w:rsidR="00FA58F8" w:rsidRPr="0088229B" w:rsidRDefault="00196EF4" w:rsidP="00AC5440">
            <w:pPr>
              <w:pStyle w:val="SingleTxtG"/>
              <w:ind w:left="34"/>
              <w:rPr>
                <w:lang w:val="de-DE"/>
              </w:rPr>
            </w:pPr>
            <w:r w:rsidRPr="0088229B">
              <w:rPr>
                <w:b/>
                <w:lang w:val="de-DE"/>
              </w:rPr>
              <w:t>Antrag auf Erteilung eines Zulassungszeugnisses</w:t>
            </w:r>
          </w:p>
        </w:tc>
        <w:tc>
          <w:tcPr>
            <w:tcW w:w="993"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u w:val="single"/>
              </w:rPr>
            </w:pPr>
            <w:r w:rsidRPr="0088229B">
              <w:rPr>
                <w:b/>
                <w:u w:val="single"/>
              </w:rPr>
              <w:t>1.16.5</w:t>
            </w:r>
          </w:p>
        </w:tc>
        <w:tc>
          <w:tcPr>
            <w:tcW w:w="5412" w:type="dxa"/>
            <w:shd w:val="clear" w:color="auto" w:fill="auto"/>
          </w:tcPr>
          <w:p w:rsidR="00FA58F8" w:rsidRPr="0088229B" w:rsidRDefault="00196EF4" w:rsidP="00B37697">
            <w:pPr>
              <w:pStyle w:val="SingleTxtG"/>
              <w:suppressAutoHyphens w:val="0"/>
              <w:spacing w:before="40" w:line="220" w:lineRule="exact"/>
              <w:ind w:left="0" w:right="113"/>
              <w:jc w:val="left"/>
              <w:rPr>
                <w:lang w:val="de-DE"/>
              </w:rPr>
            </w:pPr>
            <w:r w:rsidRPr="0088229B">
              <w:rPr>
                <w:b/>
                <w:lang w:val="de-DE"/>
              </w:rPr>
              <w:t>Antrag auf Erteilung eines Zulassungszeugnisses</w:t>
            </w:r>
          </w:p>
        </w:tc>
      </w:tr>
      <w:tr w:rsidR="00FA58F8" w:rsidRPr="0088229B" w:rsidTr="00635F8D">
        <w:trPr>
          <w:cantSplit/>
        </w:trPr>
        <w:tc>
          <w:tcPr>
            <w:tcW w:w="959" w:type="dxa"/>
            <w:gridSpan w:val="2"/>
            <w:shd w:val="clear" w:color="auto" w:fill="auto"/>
          </w:tcPr>
          <w:p w:rsidR="00FA58F8" w:rsidRPr="0088229B" w:rsidRDefault="00FA58F8" w:rsidP="00B37697">
            <w:pPr>
              <w:pStyle w:val="SingleTxtG"/>
              <w:suppressAutoHyphens w:val="0"/>
              <w:spacing w:before="40" w:line="220" w:lineRule="exact"/>
              <w:ind w:left="0" w:right="113"/>
              <w:jc w:val="left"/>
              <w:rPr>
                <w:lang w:val="de-DE"/>
              </w:rPr>
            </w:pPr>
          </w:p>
        </w:tc>
        <w:tc>
          <w:tcPr>
            <w:tcW w:w="4995" w:type="dxa"/>
            <w:shd w:val="clear" w:color="auto" w:fill="auto"/>
          </w:tcPr>
          <w:p w:rsidR="00FA58F8" w:rsidRPr="0088229B" w:rsidRDefault="00196EF4" w:rsidP="00E6101D">
            <w:pPr>
              <w:suppressAutoHyphens w:val="0"/>
              <w:spacing w:before="40" w:after="120" w:line="220" w:lineRule="exact"/>
              <w:ind w:right="113"/>
            </w:pPr>
            <w:r w:rsidRPr="0088229B">
              <w:rPr>
                <w:rFonts w:eastAsia="TimesNewRomanPSMT"/>
                <w:lang w:val="de-DE" w:eastAsia="fr-FR"/>
              </w:rPr>
              <w:t xml:space="preserve">Der Eigner eines Schiffes oder sein Bevollmächtigter, der die Erteilung eines Zulassungszeugnisses beantragt, hat bei der zuständigen Behörde nach Unterabschnitt 1.16.2.1 einen Antrag zu stellen. Die zuständige Behörde bestimmt die Unterlagen, die ihr vorzulegen sind. </w:t>
            </w:r>
            <w:r w:rsidRPr="0088229B">
              <w:rPr>
                <w:rFonts w:eastAsia="TimesNewRomanPSMT"/>
                <w:lang w:eastAsia="fr-FR"/>
              </w:rPr>
              <w:t>Dem Antrag ist ein gültiges Schiffszeugnis beizufügen.</w:t>
            </w:r>
          </w:p>
        </w:tc>
        <w:tc>
          <w:tcPr>
            <w:tcW w:w="993" w:type="dxa"/>
            <w:gridSpan w:val="2"/>
            <w:shd w:val="clear" w:color="auto" w:fill="auto"/>
          </w:tcPr>
          <w:p w:rsidR="00FA58F8" w:rsidRPr="0088229B" w:rsidRDefault="00FA58F8" w:rsidP="00B37697">
            <w:pPr>
              <w:pStyle w:val="SingleTxtG"/>
              <w:suppressAutoHyphens w:val="0"/>
              <w:spacing w:before="40" w:line="220" w:lineRule="exact"/>
              <w:ind w:left="0" w:right="113"/>
              <w:jc w:val="left"/>
            </w:pPr>
          </w:p>
        </w:tc>
        <w:tc>
          <w:tcPr>
            <w:tcW w:w="5412" w:type="dxa"/>
            <w:shd w:val="clear" w:color="auto" w:fill="auto"/>
          </w:tcPr>
          <w:p w:rsidR="00FA58F8" w:rsidRPr="0088229B" w:rsidRDefault="00196EF4" w:rsidP="007907E9">
            <w:pPr>
              <w:pStyle w:val="SingleTxtG"/>
              <w:suppressAutoHyphens w:val="0"/>
              <w:spacing w:before="40" w:line="220" w:lineRule="exact"/>
              <w:ind w:left="0" w:right="113"/>
              <w:jc w:val="left"/>
              <w:rPr>
                <w:lang w:val="de-DE"/>
              </w:rPr>
            </w:pPr>
            <w:r w:rsidRPr="0088229B">
              <w:rPr>
                <w:rFonts w:eastAsia="TimesNewRomanPSMT"/>
                <w:lang w:val="de-DE" w:eastAsia="fr-FR"/>
              </w:rPr>
              <w:t xml:space="preserve">Der Eigner eines Schiffes </w:t>
            </w:r>
            <w:r w:rsidRPr="0088229B">
              <w:rPr>
                <w:rFonts w:eastAsia="TimesNewRomanPSMT"/>
                <w:b/>
                <w:strike/>
                <w:u w:val="single"/>
                <w:lang w:val="de-DE" w:eastAsia="fr-FR"/>
              </w:rPr>
              <w:t>oder sein Bevollmächtigter, der die Erteilung eines Zulassungszeugnisses beantragt,</w:t>
            </w:r>
            <w:r w:rsidRPr="0088229B">
              <w:rPr>
                <w:rFonts w:eastAsia="TimesNewRomanPSMT"/>
                <w:lang w:val="de-DE" w:eastAsia="fr-FR"/>
              </w:rPr>
              <w:t xml:space="preserve"> hat bei der zuständigen Behörde nach Unterabschnitt 1.16.2.1 einen Antrag </w:t>
            </w:r>
            <w:r w:rsidRPr="0088229B">
              <w:rPr>
                <w:rFonts w:eastAsia="TimesNewRomanPSMT"/>
                <w:b/>
                <w:u w:val="single"/>
                <w:lang w:val="de-DE" w:eastAsia="fr-FR"/>
              </w:rPr>
              <w:t>für ein Zulassungszeugnis</w:t>
            </w:r>
            <w:r w:rsidRPr="0088229B">
              <w:rPr>
                <w:rFonts w:eastAsia="TimesNewRomanPSMT"/>
                <w:lang w:val="de-DE" w:eastAsia="fr-FR"/>
              </w:rPr>
              <w:t xml:space="preserve"> zu stellen. Die zuständige Behörde bestimmt die Unterlagen, die ihr vorzulegen sind.</w:t>
            </w:r>
            <w:r w:rsidR="00E6101D" w:rsidRPr="0088229B">
              <w:rPr>
                <w:rFonts w:eastAsia="TimesNewRomanPSMT"/>
                <w:lang w:val="de-DE" w:eastAsia="fr-FR"/>
              </w:rPr>
              <w:t xml:space="preserve"> </w:t>
            </w:r>
            <w:r w:rsidR="00B37F52" w:rsidRPr="0088229B">
              <w:rPr>
                <w:rFonts w:eastAsia="TimesNewRomanPSMT"/>
                <w:lang w:val="de-DE" w:eastAsia="fr-FR"/>
              </w:rPr>
              <w:t xml:space="preserve">Dem Antrag </w:t>
            </w:r>
            <w:r w:rsidR="00B37F52" w:rsidRPr="0088229B">
              <w:rPr>
                <w:rFonts w:eastAsia="TimesNewRomanPSMT"/>
                <w:b/>
                <w:u w:val="single"/>
                <w:lang w:val="de-DE" w:eastAsia="fr-FR"/>
              </w:rPr>
              <w:t xml:space="preserve">sind mindestens </w:t>
            </w:r>
            <w:r w:rsidR="00B37F52" w:rsidRPr="0088229B">
              <w:rPr>
                <w:rFonts w:eastAsia="TimesNewRomanPSMT"/>
                <w:u w:val="single"/>
                <w:lang w:val="de-DE" w:eastAsia="fr-FR"/>
              </w:rPr>
              <w:t>ein gültiges</w:t>
            </w:r>
            <w:r w:rsidR="00B37F52" w:rsidRPr="0088229B">
              <w:rPr>
                <w:rFonts w:eastAsia="TimesNewRomanPSMT"/>
                <w:b/>
                <w:u w:val="single"/>
                <w:lang w:val="de-DE" w:eastAsia="fr-FR"/>
              </w:rPr>
              <w:t xml:space="preserve"> </w:t>
            </w:r>
            <w:r w:rsidR="00B37F52" w:rsidRPr="0088229B">
              <w:rPr>
                <w:rFonts w:eastAsia="TimesNewRomanPSMT"/>
                <w:b/>
                <w:i/>
                <w:u w:val="single"/>
                <w:lang w:val="de-DE" w:eastAsia="fr-FR"/>
              </w:rPr>
              <w:t>[Schiffszeugnis]</w:t>
            </w:r>
            <w:r w:rsidR="00B37F52" w:rsidRPr="0088229B">
              <w:rPr>
                <w:rStyle w:val="FootnoteReference"/>
                <w:rFonts w:eastAsia="TimesNewRomanPSMT"/>
                <w:b/>
                <w:sz w:val="20"/>
                <w:u w:val="single"/>
                <w:lang w:val="de-DE" w:eastAsia="fr-FR"/>
              </w:rPr>
              <w:footnoteReference w:customMarkFollows="1" w:id="3"/>
              <w:t>(1)</w:t>
            </w:r>
            <w:r w:rsidR="00B37F52" w:rsidRPr="0088229B">
              <w:rPr>
                <w:rFonts w:eastAsia="TimesNewRomanPSMT"/>
                <w:b/>
                <w:u w:val="single"/>
                <w:lang w:val="de-DE" w:eastAsia="fr-FR"/>
              </w:rPr>
              <w:t>, der Untersuchungsbericht nach Unterabschnitt 1.16.</w:t>
            </w:r>
            <w:r w:rsidR="000D63C6">
              <w:rPr>
                <w:rFonts w:eastAsia="TimesNewRomanPSMT"/>
                <w:b/>
                <w:u w:val="single"/>
                <w:lang w:val="de-DE" w:eastAsia="fr-FR"/>
              </w:rPr>
              <w:t>1.</w:t>
            </w:r>
            <w:r w:rsidR="00B37F52" w:rsidRPr="0088229B">
              <w:rPr>
                <w:rFonts w:eastAsia="TimesNewRomanPSMT"/>
                <w:b/>
                <w:u w:val="single"/>
                <w:lang w:val="de-DE" w:eastAsia="fr-FR"/>
              </w:rPr>
              <w:t>3.1, ein</w:t>
            </w:r>
            <w:r w:rsidR="00525493" w:rsidRPr="0088229B">
              <w:rPr>
                <w:rFonts w:eastAsia="TimesNewRomanPSMT"/>
                <w:b/>
                <w:u w:val="single"/>
                <w:lang w:val="de-DE" w:eastAsia="fr-FR"/>
              </w:rPr>
              <w:t>e</w:t>
            </w:r>
            <w:r w:rsidR="00B37F52" w:rsidRPr="0088229B">
              <w:rPr>
                <w:rFonts w:eastAsia="TimesNewRomanPSMT"/>
                <w:b/>
                <w:u w:val="single"/>
                <w:lang w:val="de-DE" w:eastAsia="fr-FR"/>
              </w:rPr>
              <w:t xml:space="preserve"> Schiffs</w:t>
            </w:r>
            <w:r w:rsidR="00525493" w:rsidRPr="0088229B">
              <w:rPr>
                <w:rFonts w:eastAsia="TimesNewRomanPSMT"/>
                <w:b/>
                <w:u w:val="single"/>
                <w:lang w:val="de-DE" w:eastAsia="fr-FR"/>
              </w:rPr>
              <w:t>akte</w:t>
            </w:r>
            <w:r w:rsidR="00B37F52" w:rsidRPr="0088229B">
              <w:rPr>
                <w:rFonts w:eastAsia="TimesNewRomanPSMT"/>
                <w:b/>
                <w:u w:val="single"/>
                <w:lang w:val="de-DE" w:eastAsia="fr-FR"/>
              </w:rPr>
              <w:t xml:space="preserve"> und die Bescheinigung nach Absatz </w:t>
            </w:r>
            <w:r w:rsidR="00B37F52" w:rsidRPr="0088229B">
              <w:rPr>
                <w:b/>
                <w:bCs/>
                <w:u w:val="single"/>
                <w:lang w:val="de-DE"/>
              </w:rPr>
              <w:t xml:space="preserve">9.1.0.88.1, </w:t>
            </w:r>
            <w:r w:rsidR="007907E9" w:rsidRPr="0088229B">
              <w:rPr>
                <w:b/>
                <w:bCs/>
                <w:u w:val="single"/>
                <w:lang w:val="de-DE"/>
              </w:rPr>
              <w:t>9.2.0</w:t>
            </w:r>
            <w:r w:rsidR="00B37F52" w:rsidRPr="0088229B">
              <w:rPr>
                <w:b/>
                <w:bCs/>
                <w:u w:val="single"/>
                <w:lang w:val="de-DE"/>
              </w:rPr>
              <w:t>.88.1, 9.3.1.8.1, 9.3.2.8.1 oder 9.3.3.8.1</w:t>
            </w:r>
            <w:r w:rsidR="00B37F52" w:rsidRPr="0088229B">
              <w:rPr>
                <w:bCs/>
                <w:lang w:val="de-DE"/>
              </w:rPr>
              <w:t xml:space="preserve"> beizufügen.</w:t>
            </w:r>
          </w:p>
        </w:tc>
      </w:tr>
      <w:tr w:rsidR="00FA58F8" w:rsidRPr="0088229B" w:rsidTr="00635F8D">
        <w:trPr>
          <w:cantSplit/>
        </w:trPr>
        <w:tc>
          <w:tcPr>
            <w:tcW w:w="959"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bCs/>
              </w:rPr>
            </w:pPr>
            <w:r w:rsidRPr="0088229B">
              <w:rPr>
                <w:b/>
                <w:bCs/>
              </w:rPr>
              <w:t>1.16.6</w:t>
            </w:r>
          </w:p>
        </w:tc>
        <w:tc>
          <w:tcPr>
            <w:tcW w:w="4995" w:type="dxa"/>
            <w:shd w:val="clear" w:color="auto" w:fill="auto"/>
          </w:tcPr>
          <w:p w:rsidR="00B71A8E" w:rsidRPr="0088229B" w:rsidRDefault="00B71A8E" w:rsidP="00525493">
            <w:pPr>
              <w:pStyle w:val="SingleTxtG"/>
              <w:suppressAutoHyphens w:val="0"/>
              <w:spacing w:before="40" w:line="220" w:lineRule="exact"/>
              <w:ind w:left="0" w:right="113"/>
              <w:jc w:val="left"/>
              <w:rPr>
                <w:b/>
                <w:bCs/>
              </w:rPr>
            </w:pPr>
            <w:r w:rsidRPr="0088229B">
              <w:rPr>
                <w:b/>
                <w:bCs/>
              </w:rPr>
              <w:t>Änderungen im Zulassungszeugnis</w:t>
            </w:r>
          </w:p>
        </w:tc>
        <w:tc>
          <w:tcPr>
            <w:tcW w:w="993"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bCs/>
                <w:u w:val="single"/>
              </w:rPr>
            </w:pPr>
            <w:r w:rsidRPr="0088229B">
              <w:rPr>
                <w:b/>
                <w:bCs/>
                <w:u w:val="single"/>
              </w:rPr>
              <w:t>1.16.6</w:t>
            </w:r>
          </w:p>
        </w:tc>
        <w:tc>
          <w:tcPr>
            <w:tcW w:w="5412" w:type="dxa"/>
            <w:shd w:val="clear" w:color="auto" w:fill="auto"/>
          </w:tcPr>
          <w:p w:rsidR="00FA58F8" w:rsidRPr="0088229B" w:rsidRDefault="00B71A8E" w:rsidP="00B71A8E">
            <w:pPr>
              <w:pStyle w:val="SingleTxtG"/>
              <w:suppressAutoHyphens w:val="0"/>
              <w:spacing w:before="40" w:line="220" w:lineRule="exact"/>
              <w:ind w:left="0" w:right="113"/>
              <w:jc w:val="left"/>
            </w:pPr>
            <w:r w:rsidRPr="0088229B">
              <w:rPr>
                <w:b/>
                <w:bCs/>
              </w:rPr>
              <w:t>Änderungen im Zulassungszeugnis</w:t>
            </w:r>
          </w:p>
        </w:tc>
      </w:tr>
      <w:tr w:rsidR="00FA58F8" w:rsidRPr="0088229B" w:rsidTr="00635F8D">
        <w:trPr>
          <w:cantSplit/>
        </w:trPr>
        <w:tc>
          <w:tcPr>
            <w:tcW w:w="959"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bCs/>
              </w:rPr>
            </w:pPr>
            <w:r w:rsidRPr="0088229B">
              <w:rPr>
                <w:b/>
                <w:bCs/>
              </w:rPr>
              <w:t>1.16.6.1</w:t>
            </w:r>
          </w:p>
        </w:tc>
        <w:tc>
          <w:tcPr>
            <w:tcW w:w="4995" w:type="dxa"/>
            <w:shd w:val="clear" w:color="auto" w:fill="auto"/>
          </w:tcPr>
          <w:p w:rsidR="00B71A8E" w:rsidRPr="0088229B" w:rsidRDefault="00B71A8E" w:rsidP="00B71A8E">
            <w:pPr>
              <w:pStyle w:val="SingleTxtG"/>
              <w:suppressAutoHyphens w:val="0"/>
              <w:spacing w:before="40" w:line="220" w:lineRule="exact"/>
              <w:ind w:left="0" w:right="113"/>
              <w:jc w:val="left"/>
              <w:rPr>
                <w:lang w:val="de-DE"/>
              </w:rPr>
            </w:pPr>
            <w:r w:rsidRPr="0088229B">
              <w:rPr>
                <w:lang w:val="de-DE"/>
              </w:rPr>
              <w:t>Jede Namensänderung des Schiffes sowie jede Änderung der amtlichen Schiffsnummer oder der Registrierung hat der Eigner oder sein Bevollmächtigter der zuständigen Behörde mitzuteilen. Er hat dabei das Zulassungszeugnis zur Änderung vorzulegen.</w:t>
            </w:r>
          </w:p>
        </w:tc>
        <w:tc>
          <w:tcPr>
            <w:tcW w:w="993"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bCs/>
                <w:u w:val="single"/>
              </w:rPr>
            </w:pPr>
            <w:r w:rsidRPr="0088229B">
              <w:rPr>
                <w:b/>
                <w:bCs/>
                <w:u w:val="single"/>
              </w:rPr>
              <w:t>1.16.6.1</w:t>
            </w:r>
          </w:p>
        </w:tc>
        <w:tc>
          <w:tcPr>
            <w:tcW w:w="5412" w:type="dxa"/>
            <w:shd w:val="clear" w:color="auto" w:fill="auto"/>
          </w:tcPr>
          <w:p w:rsidR="00FA58F8" w:rsidRPr="0088229B" w:rsidRDefault="00B71A8E" w:rsidP="00B71A8E">
            <w:pPr>
              <w:pStyle w:val="SingleTxtG"/>
              <w:suppressAutoHyphens w:val="0"/>
              <w:spacing w:before="40" w:line="220" w:lineRule="exact"/>
              <w:ind w:left="0" w:right="113"/>
              <w:jc w:val="left"/>
            </w:pPr>
            <w:r w:rsidRPr="0088229B">
              <w:rPr>
                <w:lang w:val="de-DE"/>
              </w:rPr>
              <w:t xml:space="preserve">Jede Namensänderung des Schiffes sowie jede Änderung der amtlichen Schiffsnummer oder der Registrierung hat der Eigner </w:t>
            </w:r>
            <w:r w:rsidRPr="0088229B">
              <w:rPr>
                <w:b/>
                <w:bCs/>
                <w:strike/>
                <w:u w:val="single"/>
                <w:lang w:val="de-DE"/>
              </w:rPr>
              <w:t>oder sein Bevollmächtigter</w:t>
            </w:r>
            <w:r w:rsidRPr="0088229B">
              <w:rPr>
                <w:lang w:val="de-DE"/>
              </w:rPr>
              <w:t xml:space="preserve"> der zuständigen Behörde mitzuteilen. </w:t>
            </w:r>
            <w:r w:rsidRPr="0088229B">
              <w:rPr>
                <w:lang w:val="en-US"/>
              </w:rPr>
              <w:t>Er hat dabei das Zulassungszeugnis zur Änderung vorzulegen.</w:t>
            </w:r>
          </w:p>
        </w:tc>
      </w:tr>
      <w:tr w:rsidR="00FA58F8" w:rsidRPr="0088229B" w:rsidTr="00635F8D">
        <w:trPr>
          <w:cantSplit/>
        </w:trPr>
        <w:tc>
          <w:tcPr>
            <w:tcW w:w="959"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bCs/>
              </w:rPr>
            </w:pPr>
            <w:r w:rsidRPr="0088229B">
              <w:rPr>
                <w:b/>
                <w:bCs/>
              </w:rPr>
              <w:t>1.16.6.3</w:t>
            </w:r>
          </w:p>
        </w:tc>
        <w:tc>
          <w:tcPr>
            <w:tcW w:w="4995" w:type="dxa"/>
            <w:shd w:val="clear" w:color="auto" w:fill="auto"/>
          </w:tcPr>
          <w:p w:rsidR="00B71A8E" w:rsidRDefault="00EB3DDC" w:rsidP="00EB3DDC">
            <w:pPr>
              <w:pStyle w:val="SingleTxtG"/>
              <w:suppressAutoHyphens w:val="0"/>
              <w:spacing w:before="40" w:line="220" w:lineRule="exact"/>
              <w:ind w:left="0" w:right="113"/>
              <w:jc w:val="left"/>
              <w:rPr>
                <w:lang w:val="de-DE"/>
              </w:rPr>
            </w:pPr>
            <w:r w:rsidRPr="0088229B">
              <w:rPr>
                <w:lang w:val="de-DE"/>
              </w:rPr>
              <w:t>Wenn der Eigner eines Schiffes oder sein Bevollmächtigter das Schiff in einer anderen Vertragspartei eintragen lässt, muss er bei der zuständigen Behörde dieser anderen Vertragspartei ein neues Zulassungszeugnis beantragen. Die zuständige Behörde kann das neue Zulassungszeugnis ohne neue Untersuchung für die gemäß dem alten Zulassungszeugnis noch laufende Zeit erteilen, unter der Voraussetzung, dass der Zustand und die technischen Merkmale des Schiffes sich nicht geändert haben.</w:t>
            </w:r>
          </w:p>
          <w:p w:rsidR="000D6DB2" w:rsidRDefault="000D6DB2" w:rsidP="00EB3DDC">
            <w:pPr>
              <w:pStyle w:val="SingleTxtG"/>
              <w:suppressAutoHyphens w:val="0"/>
              <w:spacing w:before="40" w:line="220" w:lineRule="exact"/>
              <w:ind w:left="0" w:right="113"/>
              <w:jc w:val="left"/>
              <w:rPr>
                <w:lang w:val="de-DE"/>
              </w:rPr>
            </w:pPr>
          </w:p>
          <w:p w:rsidR="000D6DB2" w:rsidRDefault="000D6DB2" w:rsidP="00EB3DDC">
            <w:pPr>
              <w:pStyle w:val="SingleTxtG"/>
              <w:suppressAutoHyphens w:val="0"/>
              <w:spacing w:before="40" w:line="220" w:lineRule="exact"/>
              <w:ind w:left="0" w:right="113"/>
              <w:jc w:val="left"/>
              <w:rPr>
                <w:lang w:val="de-DE"/>
              </w:rPr>
            </w:pPr>
          </w:p>
          <w:p w:rsidR="000D6DB2" w:rsidRDefault="000D6DB2" w:rsidP="00EB3DDC">
            <w:pPr>
              <w:pStyle w:val="SingleTxtG"/>
              <w:suppressAutoHyphens w:val="0"/>
              <w:spacing w:before="40" w:line="220" w:lineRule="exact"/>
              <w:ind w:left="0" w:right="113"/>
              <w:jc w:val="left"/>
              <w:rPr>
                <w:lang w:val="de-DE"/>
              </w:rPr>
            </w:pPr>
          </w:p>
          <w:p w:rsidR="000D6DB2" w:rsidRPr="0088229B" w:rsidRDefault="000D6DB2" w:rsidP="00EB3DDC">
            <w:pPr>
              <w:pStyle w:val="SingleTxtG"/>
              <w:suppressAutoHyphens w:val="0"/>
              <w:spacing w:before="40" w:line="220" w:lineRule="exact"/>
              <w:ind w:left="0" w:right="113"/>
              <w:jc w:val="left"/>
              <w:rPr>
                <w:lang w:val="de-DE"/>
              </w:rPr>
            </w:pPr>
          </w:p>
        </w:tc>
        <w:tc>
          <w:tcPr>
            <w:tcW w:w="993"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bCs/>
                <w:u w:val="single"/>
              </w:rPr>
            </w:pPr>
            <w:r w:rsidRPr="0088229B">
              <w:rPr>
                <w:b/>
                <w:bCs/>
                <w:u w:val="single"/>
              </w:rPr>
              <w:t>1.16.6.3</w:t>
            </w:r>
          </w:p>
        </w:tc>
        <w:tc>
          <w:tcPr>
            <w:tcW w:w="5412" w:type="dxa"/>
            <w:shd w:val="clear" w:color="auto" w:fill="auto"/>
          </w:tcPr>
          <w:p w:rsidR="00FA58F8" w:rsidRPr="0088229B" w:rsidRDefault="00EB3DDC" w:rsidP="00EB3DDC">
            <w:pPr>
              <w:pStyle w:val="SingleTxtG"/>
              <w:suppressAutoHyphens w:val="0"/>
              <w:spacing w:before="40" w:line="220" w:lineRule="exact"/>
              <w:ind w:left="0" w:right="113"/>
              <w:jc w:val="left"/>
              <w:rPr>
                <w:lang w:val="de-DE"/>
              </w:rPr>
            </w:pPr>
            <w:r w:rsidRPr="0088229B">
              <w:rPr>
                <w:lang w:val="de-DE"/>
              </w:rPr>
              <w:t xml:space="preserve">Wenn der Eigner eines Schiffes </w:t>
            </w:r>
            <w:r w:rsidRPr="0088229B">
              <w:rPr>
                <w:b/>
                <w:bCs/>
                <w:strike/>
                <w:u w:val="single"/>
                <w:lang w:val="de-DE"/>
              </w:rPr>
              <w:t>oder sein Bevollmächtigter</w:t>
            </w:r>
            <w:r w:rsidRPr="0088229B">
              <w:rPr>
                <w:lang w:val="de-DE"/>
              </w:rPr>
              <w:t xml:space="preserve"> das Schiff in einer anderen Vertragspartei eintragen lässt, muss er bei der zuständigen Behörde dieser anderen Vertragspartei ein neues Zulassungszeugnis beantragen. Die zuständige Behörde kann das neue Zulassungszeugnis ohne neue Untersuchung für die gemäß dem alten Zulassungszeugnis noch laufende Zeit erteilen, unter der Voraussetzung, dass der Zustand und die technischen Merkmale des Schiffes sich nicht geändert haben.</w:t>
            </w:r>
          </w:p>
        </w:tc>
      </w:tr>
      <w:tr w:rsidR="00FA58F8" w:rsidRPr="0088229B" w:rsidTr="00635F8D">
        <w:trPr>
          <w:cantSplit/>
        </w:trPr>
        <w:tc>
          <w:tcPr>
            <w:tcW w:w="959"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bCs/>
              </w:rPr>
            </w:pPr>
            <w:r w:rsidRPr="0088229B">
              <w:rPr>
                <w:b/>
                <w:bCs/>
              </w:rPr>
              <w:lastRenderedPageBreak/>
              <w:t>1.16.7</w:t>
            </w:r>
          </w:p>
        </w:tc>
        <w:tc>
          <w:tcPr>
            <w:tcW w:w="4995" w:type="dxa"/>
            <w:shd w:val="clear" w:color="auto" w:fill="auto"/>
          </w:tcPr>
          <w:p w:rsidR="00FA58F8" w:rsidRPr="0088229B" w:rsidRDefault="00515A2B" w:rsidP="00B37697">
            <w:pPr>
              <w:pStyle w:val="SingleTxtG"/>
              <w:suppressAutoHyphens w:val="0"/>
              <w:spacing w:before="40" w:line="220" w:lineRule="exact"/>
              <w:ind w:left="0" w:right="113"/>
              <w:jc w:val="left"/>
              <w:rPr>
                <w:b/>
                <w:bCs/>
                <w:lang w:val="de-DE"/>
              </w:rPr>
            </w:pPr>
            <w:r w:rsidRPr="0088229B">
              <w:rPr>
                <w:b/>
                <w:bCs/>
                <w:lang w:val="de-DE"/>
              </w:rPr>
              <w:t>Vorführung des Schiffes zur Untersuchung</w:t>
            </w:r>
          </w:p>
        </w:tc>
        <w:tc>
          <w:tcPr>
            <w:tcW w:w="993"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bCs/>
              </w:rPr>
            </w:pPr>
            <w:r w:rsidRPr="0088229B">
              <w:rPr>
                <w:b/>
                <w:bCs/>
                <w:u w:val="single"/>
              </w:rPr>
              <w:t>1.16.7</w:t>
            </w:r>
          </w:p>
        </w:tc>
        <w:tc>
          <w:tcPr>
            <w:tcW w:w="5412" w:type="dxa"/>
            <w:shd w:val="clear" w:color="auto" w:fill="auto"/>
          </w:tcPr>
          <w:p w:rsidR="00FA58F8" w:rsidRPr="0088229B" w:rsidRDefault="00515A2B" w:rsidP="00B37697">
            <w:pPr>
              <w:pStyle w:val="SingleTxtG"/>
              <w:suppressAutoHyphens w:val="0"/>
              <w:spacing w:before="40" w:line="220" w:lineRule="exact"/>
              <w:ind w:left="0" w:right="113"/>
              <w:jc w:val="left"/>
              <w:rPr>
                <w:b/>
                <w:bCs/>
                <w:lang w:val="de-DE"/>
              </w:rPr>
            </w:pPr>
            <w:r w:rsidRPr="0088229B">
              <w:rPr>
                <w:b/>
                <w:bCs/>
                <w:lang w:val="de-DE"/>
              </w:rPr>
              <w:t>Vorführung des Schiffes zur Untersuchung</w:t>
            </w:r>
          </w:p>
        </w:tc>
      </w:tr>
      <w:tr w:rsidR="00FA58F8" w:rsidRPr="0088229B" w:rsidTr="00635F8D">
        <w:trPr>
          <w:cantSplit/>
        </w:trPr>
        <w:tc>
          <w:tcPr>
            <w:tcW w:w="959"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bCs/>
              </w:rPr>
            </w:pPr>
            <w:r w:rsidRPr="0088229B">
              <w:rPr>
                <w:b/>
                <w:bCs/>
              </w:rPr>
              <w:t>1.16.7.1</w:t>
            </w:r>
          </w:p>
        </w:tc>
        <w:tc>
          <w:tcPr>
            <w:tcW w:w="4995" w:type="dxa"/>
            <w:shd w:val="clear" w:color="auto" w:fill="auto"/>
          </w:tcPr>
          <w:p w:rsidR="00FA58F8" w:rsidRPr="0088229B" w:rsidRDefault="00515A2B" w:rsidP="00515A2B">
            <w:pPr>
              <w:suppressAutoHyphens w:val="0"/>
              <w:autoSpaceDE w:val="0"/>
              <w:autoSpaceDN w:val="0"/>
              <w:adjustRightInd w:val="0"/>
              <w:spacing w:line="240" w:lineRule="auto"/>
              <w:rPr>
                <w:b/>
                <w:bCs/>
                <w:lang w:val="de-DE"/>
              </w:rPr>
            </w:pPr>
            <w:r w:rsidRPr="0088229B">
              <w:rPr>
                <w:lang w:val="de-DE"/>
              </w:rPr>
              <w:t>Der Eigner oder sein Bevollmächtigter hat das Schiff unbeladen, gereinigt und ausgerüstet zur Untersuchung vorzuführen. Er hat bei der Untersuchung die erforderliche Hilfe zu leisten, wie ein geeignetes Boot und Personal zur Verfügung zu stellen und die Teile des Schiffskörpers oder der Einrichtungen freizulegen, die nicht unmittelbar zugänglich oder sichtbar sind.</w:t>
            </w:r>
          </w:p>
        </w:tc>
        <w:tc>
          <w:tcPr>
            <w:tcW w:w="993"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bCs/>
              </w:rPr>
            </w:pPr>
            <w:r w:rsidRPr="0088229B">
              <w:rPr>
                <w:b/>
                <w:bCs/>
                <w:u w:val="single"/>
              </w:rPr>
              <w:t>1.16.7.1</w:t>
            </w:r>
          </w:p>
        </w:tc>
        <w:tc>
          <w:tcPr>
            <w:tcW w:w="5412" w:type="dxa"/>
            <w:shd w:val="clear" w:color="auto" w:fill="auto"/>
          </w:tcPr>
          <w:p w:rsidR="00FA58F8" w:rsidRPr="0088229B" w:rsidRDefault="00515A2B" w:rsidP="00515A2B">
            <w:pPr>
              <w:suppressAutoHyphens w:val="0"/>
              <w:autoSpaceDE w:val="0"/>
              <w:autoSpaceDN w:val="0"/>
              <w:adjustRightInd w:val="0"/>
              <w:spacing w:line="240" w:lineRule="auto"/>
              <w:rPr>
                <w:b/>
                <w:bCs/>
                <w:lang w:val="de-DE"/>
              </w:rPr>
            </w:pPr>
            <w:r w:rsidRPr="0088229B">
              <w:rPr>
                <w:lang w:val="de-DE"/>
              </w:rPr>
              <w:t xml:space="preserve">Der Eigner </w:t>
            </w:r>
            <w:r w:rsidRPr="0088229B">
              <w:rPr>
                <w:b/>
                <w:strike/>
                <w:u w:val="single"/>
                <w:lang w:val="de-DE"/>
              </w:rPr>
              <w:t>oder sein Bevollmächtigter</w:t>
            </w:r>
            <w:r w:rsidRPr="0088229B">
              <w:rPr>
                <w:lang w:val="de-DE"/>
              </w:rPr>
              <w:t xml:space="preserve"> hat das Schiff unbeladen, gereinigt und ausgerüstet zur Untersuchung vorzuführen. Er hat bei der Untersuchung die erforderliche Hilfe zu leisten, wie ein geeignetes Boot und Personal zur Verfügung zu stellen und die Teile des Schiffskörpers oder der Einrichtungen freizulegen, die nicht unmittelbar zugänglich oder sichtbar sind.</w:t>
            </w:r>
          </w:p>
        </w:tc>
      </w:tr>
      <w:tr w:rsidR="00FA58F8" w:rsidRPr="0088229B" w:rsidTr="00635F8D">
        <w:trPr>
          <w:cantSplit/>
        </w:trPr>
        <w:tc>
          <w:tcPr>
            <w:tcW w:w="959"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bCs/>
              </w:rPr>
            </w:pPr>
            <w:r w:rsidRPr="0088229B">
              <w:rPr>
                <w:b/>
                <w:bCs/>
              </w:rPr>
              <w:t>1.16.9</w:t>
            </w:r>
          </w:p>
        </w:tc>
        <w:tc>
          <w:tcPr>
            <w:tcW w:w="4995" w:type="dxa"/>
            <w:shd w:val="clear" w:color="auto" w:fill="auto"/>
          </w:tcPr>
          <w:p w:rsidR="00FA58F8" w:rsidRPr="0088229B" w:rsidRDefault="00DF2D67" w:rsidP="00B37697">
            <w:pPr>
              <w:pStyle w:val="SingleTxtG"/>
              <w:suppressAutoHyphens w:val="0"/>
              <w:spacing w:before="40" w:line="220" w:lineRule="exact"/>
              <w:ind w:left="0" w:right="113"/>
              <w:jc w:val="left"/>
            </w:pPr>
            <w:r w:rsidRPr="0088229B">
              <w:rPr>
                <w:b/>
                <w:bCs/>
              </w:rPr>
              <w:t>Sonderuntersuchung</w:t>
            </w:r>
          </w:p>
        </w:tc>
        <w:tc>
          <w:tcPr>
            <w:tcW w:w="993"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bCs/>
              </w:rPr>
            </w:pPr>
            <w:r w:rsidRPr="0088229B">
              <w:rPr>
                <w:b/>
                <w:bCs/>
                <w:u w:val="single"/>
              </w:rPr>
              <w:t>1.16.9</w:t>
            </w:r>
          </w:p>
        </w:tc>
        <w:tc>
          <w:tcPr>
            <w:tcW w:w="5412" w:type="dxa"/>
            <w:shd w:val="clear" w:color="auto" w:fill="auto"/>
          </w:tcPr>
          <w:p w:rsidR="00FA58F8" w:rsidRPr="0088229B" w:rsidRDefault="00DF2D67" w:rsidP="00B37697">
            <w:pPr>
              <w:pStyle w:val="SingleTxtG"/>
              <w:suppressAutoHyphens w:val="0"/>
              <w:spacing w:before="40" w:line="220" w:lineRule="exact"/>
              <w:ind w:left="0" w:right="113"/>
              <w:jc w:val="left"/>
            </w:pPr>
            <w:r w:rsidRPr="0088229B">
              <w:rPr>
                <w:b/>
                <w:bCs/>
                <w:lang w:val="fr-FR"/>
              </w:rPr>
              <w:t>Sonderuntersuchung</w:t>
            </w:r>
          </w:p>
        </w:tc>
      </w:tr>
      <w:tr w:rsidR="00FA58F8" w:rsidRPr="0088229B" w:rsidTr="00635F8D">
        <w:trPr>
          <w:cantSplit/>
        </w:trPr>
        <w:tc>
          <w:tcPr>
            <w:tcW w:w="959"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bCs/>
              </w:rPr>
            </w:pPr>
          </w:p>
        </w:tc>
        <w:tc>
          <w:tcPr>
            <w:tcW w:w="4995" w:type="dxa"/>
            <w:shd w:val="clear" w:color="auto" w:fill="auto"/>
          </w:tcPr>
          <w:p w:rsidR="00FA58F8" w:rsidRPr="0088229B" w:rsidRDefault="00D2330F" w:rsidP="009A5187">
            <w:pPr>
              <w:pStyle w:val="SingleTxtG"/>
              <w:suppressAutoHyphens w:val="0"/>
              <w:spacing w:before="40" w:line="220" w:lineRule="exact"/>
              <w:ind w:left="0" w:right="113"/>
              <w:jc w:val="left"/>
              <w:rPr>
                <w:lang w:val="de-DE"/>
              </w:rPr>
            </w:pPr>
            <w:r w:rsidRPr="0088229B">
              <w:rPr>
                <w:lang w:val="de-DE"/>
              </w:rPr>
              <w:t>Hat der Schiffskörper oder die Ausrüstung des Schiffes Änderungen oder eine Beschädigung erfahren, die die Sicherheit des Schiffes hinsichtlich der Beförderung von gefährlichen Gütern verringern könnte, muss der Eigner oder sein Bevollmächtigter das Schiff unverzüglich einer erneuten Untersuchung unterziehen lassen.</w:t>
            </w:r>
          </w:p>
        </w:tc>
        <w:tc>
          <w:tcPr>
            <w:tcW w:w="993"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bCs/>
                <w:lang w:val="de-DE"/>
              </w:rPr>
            </w:pPr>
          </w:p>
        </w:tc>
        <w:tc>
          <w:tcPr>
            <w:tcW w:w="5412" w:type="dxa"/>
            <w:shd w:val="clear" w:color="auto" w:fill="auto"/>
          </w:tcPr>
          <w:p w:rsidR="00FA58F8" w:rsidRPr="0088229B" w:rsidRDefault="00D2330F" w:rsidP="00D2330F">
            <w:pPr>
              <w:pStyle w:val="SingleTxtG"/>
              <w:suppressAutoHyphens w:val="0"/>
              <w:spacing w:before="40" w:line="220" w:lineRule="exact"/>
              <w:ind w:left="0" w:right="113"/>
              <w:jc w:val="left"/>
              <w:rPr>
                <w:lang w:val="de-DE"/>
              </w:rPr>
            </w:pPr>
            <w:r w:rsidRPr="0088229B">
              <w:rPr>
                <w:lang w:val="de-DE"/>
              </w:rPr>
              <w:t xml:space="preserve">Hat der Schiffskörper oder die Ausrüstung des Schiffes Änderungen oder eine Beschädigung erfahren, die die Sicherheit des Schiffes hinsichtlich der Beförderung von gefährlichen Gütern verringern könnte, muss der Eigner </w:t>
            </w:r>
            <w:r w:rsidRPr="0088229B">
              <w:rPr>
                <w:b/>
                <w:bCs/>
                <w:strike/>
                <w:u w:val="single"/>
                <w:lang w:val="de-DE"/>
              </w:rPr>
              <w:t>oder sein Bevollmächtigter</w:t>
            </w:r>
            <w:r w:rsidRPr="0088229B">
              <w:rPr>
                <w:lang w:val="de-DE"/>
              </w:rPr>
              <w:t xml:space="preserve"> das Schiff unverzüglich einer erneuten Untersuchung unterziehen lassen.</w:t>
            </w:r>
          </w:p>
        </w:tc>
      </w:tr>
      <w:tr w:rsidR="00FA58F8" w:rsidRPr="0088229B" w:rsidTr="00635F8D">
        <w:trPr>
          <w:cantSplit/>
        </w:trPr>
        <w:tc>
          <w:tcPr>
            <w:tcW w:w="959"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bCs/>
              </w:rPr>
            </w:pPr>
            <w:r w:rsidRPr="0088229B">
              <w:rPr>
                <w:b/>
                <w:bCs/>
              </w:rPr>
              <w:t>1.16.10</w:t>
            </w:r>
          </w:p>
        </w:tc>
        <w:tc>
          <w:tcPr>
            <w:tcW w:w="4995" w:type="dxa"/>
            <w:shd w:val="clear" w:color="auto" w:fill="auto"/>
          </w:tcPr>
          <w:p w:rsidR="00FA58F8" w:rsidRPr="0088229B" w:rsidRDefault="00440BBD" w:rsidP="00B37697">
            <w:pPr>
              <w:pStyle w:val="SingleTxtG"/>
              <w:suppressAutoHyphens w:val="0"/>
              <w:spacing w:before="40" w:line="220" w:lineRule="exact"/>
              <w:ind w:left="0" w:right="113"/>
              <w:jc w:val="left"/>
              <w:rPr>
                <w:lang w:val="de-DE"/>
              </w:rPr>
            </w:pPr>
            <w:r w:rsidRPr="0088229B">
              <w:rPr>
                <w:b/>
                <w:bCs/>
                <w:lang w:val="de-DE"/>
              </w:rPr>
              <w:t>Wiederholungsuntersuchung und Erneuerung des Zulassungszeugnisses</w:t>
            </w:r>
          </w:p>
        </w:tc>
        <w:tc>
          <w:tcPr>
            <w:tcW w:w="993"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bCs/>
              </w:rPr>
            </w:pPr>
            <w:r w:rsidRPr="0088229B">
              <w:rPr>
                <w:b/>
                <w:bCs/>
                <w:u w:val="single"/>
              </w:rPr>
              <w:t>1.16.10</w:t>
            </w:r>
          </w:p>
        </w:tc>
        <w:tc>
          <w:tcPr>
            <w:tcW w:w="5412" w:type="dxa"/>
            <w:shd w:val="clear" w:color="auto" w:fill="auto"/>
          </w:tcPr>
          <w:p w:rsidR="00FA58F8" w:rsidRPr="0088229B" w:rsidRDefault="00440BBD" w:rsidP="00B37697">
            <w:pPr>
              <w:pStyle w:val="SingleTxtG"/>
              <w:suppressAutoHyphens w:val="0"/>
              <w:spacing w:before="40" w:line="220" w:lineRule="exact"/>
              <w:ind w:left="0" w:right="113"/>
              <w:jc w:val="left"/>
              <w:rPr>
                <w:lang w:val="de-DE"/>
              </w:rPr>
            </w:pPr>
            <w:r w:rsidRPr="0088229B">
              <w:rPr>
                <w:b/>
                <w:bCs/>
                <w:lang w:val="de-DE"/>
              </w:rPr>
              <w:t>Wiederholungsuntersuchung und Erneuerung des Zulassungszeugnisses</w:t>
            </w:r>
          </w:p>
        </w:tc>
      </w:tr>
      <w:tr w:rsidR="00FA58F8" w:rsidRPr="0088229B" w:rsidTr="00635F8D">
        <w:trPr>
          <w:cantSplit/>
        </w:trPr>
        <w:tc>
          <w:tcPr>
            <w:tcW w:w="959"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bCs/>
              </w:rPr>
            </w:pPr>
            <w:r w:rsidRPr="0088229B">
              <w:rPr>
                <w:b/>
                <w:bCs/>
              </w:rPr>
              <w:t>1.16.10.1</w:t>
            </w:r>
          </w:p>
        </w:tc>
        <w:tc>
          <w:tcPr>
            <w:tcW w:w="4995" w:type="dxa"/>
            <w:shd w:val="clear" w:color="auto" w:fill="auto"/>
          </w:tcPr>
          <w:p w:rsidR="00FA58F8" w:rsidRPr="0088229B" w:rsidRDefault="00440BBD" w:rsidP="00440BBD">
            <w:pPr>
              <w:pStyle w:val="SingleTxtG"/>
              <w:suppressAutoHyphens w:val="0"/>
              <w:spacing w:before="40" w:line="220" w:lineRule="exact"/>
              <w:ind w:left="0" w:right="113"/>
              <w:jc w:val="left"/>
              <w:rPr>
                <w:lang w:val="de-DE"/>
              </w:rPr>
            </w:pPr>
            <w:r w:rsidRPr="0088229B">
              <w:rPr>
                <w:lang w:val="de-DE"/>
              </w:rPr>
              <w:t>Zur Erneuerung des Zulassungszeugnisses muss der Eigner oder sein Bevollmächtigter das Schiff einer Wiederholungsuntersuchung unterziehen lassen. Der Eigner eines Schiffes oder sein Bevollmächtigter kann jederzeit eine Untersuchung verlangen.</w:t>
            </w:r>
          </w:p>
        </w:tc>
        <w:tc>
          <w:tcPr>
            <w:tcW w:w="993"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bCs/>
              </w:rPr>
            </w:pPr>
            <w:r w:rsidRPr="0088229B">
              <w:rPr>
                <w:b/>
                <w:bCs/>
                <w:u w:val="single"/>
              </w:rPr>
              <w:t>1.16.10.1</w:t>
            </w:r>
          </w:p>
        </w:tc>
        <w:tc>
          <w:tcPr>
            <w:tcW w:w="5412" w:type="dxa"/>
            <w:shd w:val="clear" w:color="auto" w:fill="auto"/>
          </w:tcPr>
          <w:p w:rsidR="00FA58F8" w:rsidRPr="0088229B" w:rsidRDefault="00440BBD" w:rsidP="00B37697">
            <w:pPr>
              <w:pStyle w:val="SingleTxtG"/>
              <w:suppressAutoHyphens w:val="0"/>
              <w:spacing w:before="40" w:line="220" w:lineRule="exact"/>
              <w:ind w:left="0" w:right="113"/>
              <w:jc w:val="left"/>
              <w:rPr>
                <w:lang w:val="de-DE"/>
              </w:rPr>
            </w:pPr>
            <w:r w:rsidRPr="0088229B">
              <w:rPr>
                <w:lang w:val="de-DE"/>
              </w:rPr>
              <w:t xml:space="preserve">Zur Erneuerung des Zulassungszeugnisses muss der Eigner </w:t>
            </w:r>
            <w:r w:rsidRPr="0088229B">
              <w:rPr>
                <w:b/>
                <w:bCs/>
                <w:strike/>
                <w:u w:val="single"/>
                <w:lang w:val="de-DE"/>
              </w:rPr>
              <w:t>oder sein Bevollmächtigter</w:t>
            </w:r>
            <w:r w:rsidRPr="0088229B">
              <w:rPr>
                <w:lang w:val="de-DE"/>
              </w:rPr>
              <w:t xml:space="preserve"> das Schiff einer Wiederholungsuntersuchung unterziehen lassen. Der Eigner eines Schiffes </w:t>
            </w:r>
            <w:r w:rsidRPr="0088229B">
              <w:rPr>
                <w:b/>
                <w:bCs/>
                <w:strike/>
                <w:u w:val="single"/>
                <w:lang w:val="de-DE"/>
              </w:rPr>
              <w:t>oder sein Bevollmächtigter</w:t>
            </w:r>
            <w:r w:rsidRPr="0088229B">
              <w:rPr>
                <w:lang w:val="de-DE"/>
              </w:rPr>
              <w:t xml:space="preserve"> kann jederzeit eine Untersuchung verlangen.</w:t>
            </w:r>
          </w:p>
        </w:tc>
      </w:tr>
      <w:tr w:rsidR="00FA58F8" w:rsidRPr="0088229B" w:rsidTr="00635F8D">
        <w:trPr>
          <w:cantSplit/>
        </w:trPr>
        <w:tc>
          <w:tcPr>
            <w:tcW w:w="959"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bCs/>
              </w:rPr>
            </w:pPr>
            <w:r w:rsidRPr="0088229B">
              <w:rPr>
                <w:b/>
                <w:bCs/>
              </w:rPr>
              <w:t>1.16.11</w:t>
            </w:r>
          </w:p>
        </w:tc>
        <w:tc>
          <w:tcPr>
            <w:tcW w:w="4995" w:type="dxa"/>
            <w:shd w:val="clear" w:color="auto" w:fill="auto"/>
          </w:tcPr>
          <w:p w:rsidR="00FA58F8" w:rsidRPr="0088229B" w:rsidRDefault="00DC1937" w:rsidP="00DC1937">
            <w:pPr>
              <w:pStyle w:val="SingleTxtG"/>
              <w:suppressAutoHyphens w:val="0"/>
              <w:spacing w:before="40" w:line="220" w:lineRule="exact"/>
              <w:ind w:left="0" w:right="113"/>
              <w:jc w:val="left"/>
              <w:rPr>
                <w:lang w:val="de-DE"/>
              </w:rPr>
            </w:pPr>
            <w:r w:rsidRPr="0088229B">
              <w:rPr>
                <w:b/>
                <w:bCs/>
                <w:lang w:val="de-DE"/>
              </w:rPr>
              <w:t>Verlängerung des Zulassungszeugnisses ohne Untersuchung</w:t>
            </w:r>
          </w:p>
        </w:tc>
        <w:tc>
          <w:tcPr>
            <w:tcW w:w="993"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bCs/>
              </w:rPr>
            </w:pPr>
            <w:r w:rsidRPr="0088229B">
              <w:rPr>
                <w:b/>
                <w:bCs/>
                <w:u w:val="single"/>
              </w:rPr>
              <w:t>1.16.11</w:t>
            </w:r>
          </w:p>
        </w:tc>
        <w:tc>
          <w:tcPr>
            <w:tcW w:w="5412" w:type="dxa"/>
            <w:shd w:val="clear" w:color="auto" w:fill="auto"/>
          </w:tcPr>
          <w:p w:rsidR="00FA58F8" w:rsidRPr="0088229B" w:rsidRDefault="00DC1937" w:rsidP="00B37697">
            <w:pPr>
              <w:pStyle w:val="SingleTxtG"/>
              <w:suppressAutoHyphens w:val="0"/>
              <w:spacing w:before="40" w:line="220" w:lineRule="exact"/>
              <w:ind w:left="0" w:right="113"/>
              <w:jc w:val="left"/>
              <w:rPr>
                <w:lang w:val="de-DE"/>
              </w:rPr>
            </w:pPr>
            <w:r w:rsidRPr="0088229B">
              <w:rPr>
                <w:b/>
                <w:bCs/>
                <w:lang w:val="de-DE"/>
              </w:rPr>
              <w:t>Verlängerung des Zulassungszeugnisses ohne Untersuchung</w:t>
            </w:r>
          </w:p>
        </w:tc>
      </w:tr>
      <w:tr w:rsidR="00FA58F8" w:rsidRPr="0088229B" w:rsidTr="00635F8D">
        <w:trPr>
          <w:cantSplit/>
        </w:trPr>
        <w:tc>
          <w:tcPr>
            <w:tcW w:w="959"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bCs/>
                <w:lang w:val="de-DE"/>
              </w:rPr>
            </w:pPr>
          </w:p>
        </w:tc>
        <w:tc>
          <w:tcPr>
            <w:tcW w:w="4995" w:type="dxa"/>
            <w:shd w:val="clear" w:color="auto" w:fill="auto"/>
          </w:tcPr>
          <w:p w:rsidR="00FA58F8" w:rsidRDefault="00FA497C" w:rsidP="00FA497C">
            <w:pPr>
              <w:pStyle w:val="SingleTxtG"/>
              <w:suppressAutoHyphens w:val="0"/>
              <w:spacing w:before="40" w:line="220" w:lineRule="exact"/>
              <w:ind w:left="0" w:right="113"/>
              <w:jc w:val="left"/>
              <w:rPr>
                <w:lang w:val="de-DE"/>
              </w:rPr>
            </w:pPr>
            <w:r w:rsidRPr="0088229B">
              <w:rPr>
                <w:lang w:val="de-DE"/>
              </w:rPr>
              <w:t>Abweichend von Abschnitt 1.16.10 kann auf begründeten Antrag des Eigners oder seines Bevollmächtigten die zuständige Behörde die Gültigkeitsdauer des Zulassungszeugnisses ohne Untersuchung um höchstens ein Jahr verlängern. Diese Verlängerung wird schriftlich erteilt und muss sich an Bord des Schiffes befinden. Eine solche Verlängerung kann nur einmal innerhalb zweier Gültigkeitsfristen erteilt werden.</w:t>
            </w:r>
          </w:p>
          <w:p w:rsidR="000D6DB2" w:rsidRDefault="000D6DB2" w:rsidP="00FA497C">
            <w:pPr>
              <w:pStyle w:val="SingleTxtG"/>
              <w:suppressAutoHyphens w:val="0"/>
              <w:spacing w:before="40" w:line="220" w:lineRule="exact"/>
              <w:ind w:left="0" w:right="113"/>
              <w:jc w:val="left"/>
              <w:rPr>
                <w:lang w:val="de-DE"/>
              </w:rPr>
            </w:pPr>
          </w:p>
          <w:p w:rsidR="000D6DB2" w:rsidRPr="0088229B" w:rsidRDefault="000D6DB2" w:rsidP="00FA497C">
            <w:pPr>
              <w:pStyle w:val="SingleTxtG"/>
              <w:suppressAutoHyphens w:val="0"/>
              <w:spacing w:before="40" w:line="220" w:lineRule="exact"/>
              <w:ind w:left="0" w:right="113"/>
              <w:jc w:val="left"/>
              <w:rPr>
                <w:lang w:val="de-DE"/>
              </w:rPr>
            </w:pPr>
          </w:p>
        </w:tc>
        <w:tc>
          <w:tcPr>
            <w:tcW w:w="993"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bCs/>
                <w:lang w:val="de-DE"/>
              </w:rPr>
            </w:pPr>
          </w:p>
        </w:tc>
        <w:tc>
          <w:tcPr>
            <w:tcW w:w="5412" w:type="dxa"/>
            <w:shd w:val="clear" w:color="auto" w:fill="auto"/>
          </w:tcPr>
          <w:p w:rsidR="00FA58F8" w:rsidRPr="0088229B" w:rsidRDefault="00FA497C" w:rsidP="00B37697">
            <w:pPr>
              <w:pStyle w:val="SingleTxtG"/>
              <w:suppressAutoHyphens w:val="0"/>
              <w:spacing w:before="40" w:line="220" w:lineRule="exact"/>
              <w:ind w:left="0" w:right="113"/>
              <w:jc w:val="left"/>
              <w:rPr>
                <w:lang w:val="de-DE"/>
              </w:rPr>
            </w:pPr>
            <w:r w:rsidRPr="0088229B">
              <w:rPr>
                <w:lang w:val="de-DE"/>
              </w:rPr>
              <w:t xml:space="preserve">Abweichend von Abschnitt 1.16.10 kann auf begründeten Antrag des Eigners </w:t>
            </w:r>
            <w:r w:rsidRPr="0088229B">
              <w:rPr>
                <w:b/>
                <w:bCs/>
                <w:strike/>
                <w:u w:val="single"/>
                <w:lang w:val="de-DE"/>
              </w:rPr>
              <w:t>oder seines Bevollmächtigten</w:t>
            </w:r>
            <w:r w:rsidRPr="0088229B">
              <w:rPr>
                <w:lang w:val="de-DE"/>
              </w:rPr>
              <w:t xml:space="preserve"> die zuständige Behörde die Gültigkeitsdauer des Zulassungszeugnisses ohne Untersuchung um höchstens ein Jahr verlängern. Diese Verlängerung wird schriftlich erteilt und muss sich an Bord des Schiffes befinden. Eine solche Verlängerung kann nur einmal innerhalb zweier Gültigkeitsfristen erteilt werden.</w:t>
            </w:r>
          </w:p>
        </w:tc>
      </w:tr>
      <w:tr w:rsidR="00FA58F8" w:rsidRPr="0088229B" w:rsidTr="00635F8D">
        <w:trPr>
          <w:cantSplit/>
        </w:trPr>
        <w:tc>
          <w:tcPr>
            <w:tcW w:w="959" w:type="dxa"/>
            <w:gridSpan w:val="2"/>
            <w:shd w:val="clear" w:color="auto" w:fill="auto"/>
          </w:tcPr>
          <w:p w:rsidR="00FA58F8" w:rsidRPr="0088229B" w:rsidRDefault="00FA58F8" w:rsidP="000D6DB2">
            <w:pPr>
              <w:pStyle w:val="SingleTxtG"/>
              <w:suppressAutoHyphens w:val="0"/>
              <w:spacing w:after="0" w:line="240" w:lineRule="auto"/>
              <w:ind w:left="0" w:right="113"/>
              <w:jc w:val="left"/>
              <w:rPr>
                <w:b/>
                <w:bCs/>
              </w:rPr>
            </w:pPr>
            <w:r w:rsidRPr="0088229B">
              <w:rPr>
                <w:b/>
                <w:bCs/>
              </w:rPr>
              <w:lastRenderedPageBreak/>
              <w:t>1.16.12</w:t>
            </w:r>
          </w:p>
        </w:tc>
        <w:tc>
          <w:tcPr>
            <w:tcW w:w="4995" w:type="dxa"/>
            <w:shd w:val="clear" w:color="auto" w:fill="auto"/>
          </w:tcPr>
          <w:p w:rsidR="00FA58F8" w:rsidRPr="0088229B" w:rsidRDefault="00FA497C" w:rsidP="000D6DB2">
            <w:pPr>
              <w:pStyle w:val="SingleTxtG"/>
              <w:suppressAutoHyphens w:val="0"/>
              <w:spacing w:after="0" w:line="240" w:lineRule="auto"/>
              <w:ind w:left="0" w:right="113"/>
              <w:jc w:val="left"/>
            </w:pPr>
            <w:r w:rsidRPr="0088229B">
              <w:rPr>
                <w:b/>
                <w:bCs/>
                <w:lang w:val="fr-FR"/>
              </w:rPr>
              <w:t>Untersuchung von Amts wegen</w:t>
            </w:r>
          </w:p>
        </w:tc>
        <w:tc>
          <w:tcPr>
            <w:tcW w:w="993" w:type="dxa"/>
            <w:gridSpan w:val="2"/>
            <w:shd w:val="clear" w:color="auto" w:fill="auto"/>
          </w:tcPr>
          <w:p w:rsidR="00FA58F8" w:rsidRPr="0088229B" w:rsidRDefault="00FA58F8" w:rsidP="000D6DB2">
            <w:pPr>
              <w:pStyle w:val="SingleTxtG"/>
              <w:suppressAutoHyphens w:val="0"/>
              <w:spacing w:after="0" w:line="240" w:lineRule="auto"/>
              <w:ind w:left="0" w:right="113"/>
              <w:jc w:val="left"/>
              <w:rPr>
                <w:b/>
                <w:bCs/>
              </w:rPr>
            </w:pPr>
            <w:r w:rsidRPr="0088229B">
              <w:rPr>
                <w:b/>
                <w:bCs/>
                <w:u w:val="single"/>
              </w:rPr>
              <w:t>1.16.12</w:t>
            </w:r>
          </w:p>
        </w:tc>
        <w:tc>
          <w:tcPr>
            <w:tcW w:w="5412" w:type="dxa"/>
            <w:shd w:val="clear" w:color="auto" w:fill="auto"/>
          </w:tcPr>
          <w:p w:rsidR="00FA58F8" w:rsidRPr="0088229B" w:rsidRDefault="00FA497C" w:rsidP="000D6DB2">
            <w:pPr>
              <w:pStyle w:val="SingleTxtG"/>
              <w:suppressAutoHyphens w:val="0"/>
              <w:spacing w:after="0" w:line="240" w:lineRule="auto"/>
              <w:ind w:left="0" w:right="113"/>
              <w:jc w:val="left"/>
            </w:pPr>
            <w:r w:rsidRPr="0088229B">
              <w:rPr>
                <w:b/>
                <w:bCs/>
                <w:lang w:val="fr-FR"/>
              </w:rPr>
              <w:t>Untersuchung von Amts wegen</w:t>
            </w:r>
          </w:p>
        </w:tc>
      </w:tr>
      <w:tr w:rsidR="00FA58F8" w:rsidRPr="0088229B" w:rsidTr="00635F8D">
        <w:trPr>
          <w:cantSplit/>
        </w:trPr>
        <w:tc>
          <w:tcPr>
            <w:tcW w:w="959" w:type="dxa"/>
            <w:gridSpan w:val="2"/>
            <w:shd w:val="clear" w:color="auto" w:fill="auto"/>
          </w:tcPr>
          <w:p w:rsidR="00FA58F8" w:rsidRPr="0088229B" w:rsidRDefault="00FA58F8" w:rsidP="000D6DB2">
            <w:pPr>
              <w:pStyle w:val="SingleTxtG"/>
              <w:suppressAutoHyphens w:val="0"/>
              <w:spacing w:after="0" w:line="240" w:lineRule="auto"/>
              <w:ind w:left="0" w:right="113"/>
              <w:jc w:val="left"/>
              <w:rPr>
                <w:b/>
                <w:bCs/>
              </w:rPr>
            </w:pPr>
            <w:r w:rsidRPr="0088229B">
              <w:rPr>
                <w:b/>
                <w:bCs/>
              </w:rPr>
              <w:t>1.16.12.2</w:t>
            </w:r>
          </w:p>
        </w:tc>
        <w:tc>
          <w:tcPr>
            <w:tcW w:w="4995" w:type="dxa"/>
            <w:shd w:val="clear" w:color="auto" w:fill="auto"/>
          </w:tcPr>
          <w:p w:rsidR="00FA58F8" w:rsidRPr="0088229B" w:rsidRDefault="004B170B" w:rsidP="000D6DB2">
            <w:pPr>
              <w:pStyle w:val="SingleTxtG"/>
              <w:suppressAutoHyphens w:val="0"/>
              <w:spacing w:after="0" w:line="240" w:lineRule="auto"/>
              <w:ind w:left="0" w:right="113"/>
              <w:jc w:val="left"/>
              <w:rPr>
                <w:lang w:val="de-DE"/>
              </w:rPr>
            </w:pPr>
            <w:r w:rsidRPr="0088229B">
              <w:rPr>
                <w:lang w:val="de-DE"/>
              </w:rPr>
              <w:t>Bei Ausübung dieses Rechts zur Untersuchung werden die Behörden alles tun, um zu vermeiden, dass die Schiffe über Gebühren lange stillgelegt oder aufgehalten werden. Ersatzansprüche wegen ungebührend langer Stilllegung oder Frist werden durch dieses Übereinkommen in keiner Weise berührt. Für alle Beschwerden wegen ungebührend langer Stilllegung oder Frist liegt die Beweislast beim Eigner oder Betreiber des Schiffes.</w:t>
            </w:r>
          </w:p>
        </w:tc>
        <w:tc>
          <w:tcPr>
            <w:tcW w:w="993" w:type="dxa"/>
            <w:gridSpan w:val="2"/>
            <w:shd w:val="clear" w:color="auto" w:fill="auto"/>
          </w:tcPr>
          <w:p w:rsidR="00FA58F8" w:rsidRPr="0088229B" w:rsidRDefault="00FA58F8" w:rsidP="000D6DB2">
            <w:pPr>
              <w:pStyle w:val="SingleTxtG"/>
              <w:suppressAutoHyphens w:val="0"/>
              <w:spacing w:after="0" w:line="240" w:lineRule="auto"/>
              <w:ind w:left="0" w:right="113"/>
              <w:jc w:val="left"/>
              <w:rPr>
                <w:b/>
                <w:bCs/>
              </w:rPr>
            </w:pPr>
            <w:r w:rsidRPr="0088229B">
              <w:rPr>
                <w:b/>
                <w:bCs/>
                <w:u w:val="single"/>
              </w:rPr>
              <w:t>1.16.12.2</w:t>
            </w:r>
          </w:p>
        </w:tc>
        <w:tc>
          <w:tcPr>
            <w:tcW w:w="5412" w:type="dxa"/>
            <w:shd w:val="clear" w:color="auto" w:fill="auto"/>
          </w:tcPr>
          <w:p w:rsidR="00FA58F8" w:rsidRPr="0088229B" w:rsidRDefault="004A443C" w:rsidP="000D6DB2">
            <w:pPr>
              <w:pStyle w:val="SingleTxtG"/>
              <w:suppressAutoHyphens w:val="0"/>
              <w:spacing w:after="0" w:line="240" w:lineRule="auto"/>
              <w:ind w:left="0" w:right="113"/>
              <w:jc w:val="left"/>
              <w:rPr>
                <w:lang w:val="de-DE"/>
              </w:rPr>
            </w:pPr>
            <w:r w:rsidRPr="0088229B">
              <w:rPr>
                <w:lang w:val="de-DE"/>
              </w:rPr>
              <w:t xml:space="preserve">Bei Ausübung dieses Rechts zur Untersuchung werden die Behörden alles tun, um zu vermeiden, dass die Schiffe über Gebühren lange stillgelegt oder aufgehalten werden. Ersatzansprüche wegen ungebührend langer Stilllegung oder Frist werden durch dieses Übereinkommen in keiner Weise berührt. Für alle Beschwerden wegen ungebührend langer Stilllegung oder Frist liegt die Beweislast beim Eigner </w:t>
            </w:r>
            <w:r w:rsidRPr="0088229B">
              <w:rPr>
                <w:b/>
                <w:bCs/>
                <w:strike/>
                <w:u w:val="single"/>
                <w:lang w:val="de-DE"/>
              </w:rPr>
              <w:t>oder Betreiber</w:t>
            </w:r>
            <w:r w:rsidRPr="0088229B">
              <w:rPr>
                <w:lang w:val="de-DE"/>
              </w:rPr>
              <w:t xml:space="preserve"> des Schiffes.</w:t>
            </w:r>
          </w:p>
        </w:tc>
      </w:tr>
      <w:tr w:rsidR="00FA58F8" w:rsidRPr="0088229B" w:rsidTr="00635F8D">
        <w:trPr>
          <w:cantSplit/>
        </w:trPr>
        <w:tc>
          <w:tcPr>
            <w:tcW w:w="959" w:type="dxa"/>
            <w:gridSpan w:val="2"/>
            <w:shd w:val="clear" w:color="auto" w:fill="auto"/>
          </w:tcPr>
          <w:p w:rsidR="00FA58F8" w:rsidRPr="0088229B" w:rsidRDefault="00FA58F8" w:rsidP="000D6DB2">
            <w:pPr>
              <w:pStyle w:val="SingleTxtG"/>
              <w:suppressAutoHyphens w:val="0"/>
              <w:spacing w:after="0" w:line="240" w:lineRule="auto"/>
              <w:ind w:left="0" w:right="113"/>
              <w:jc w:val="left"/>
              <w:rPr>
                <w:b/>
              </w:rPr>
            </w:pPr>
            <w:r w:rsidRPr="0088229B">
              <w:rPr>
                <w:b/>
              </w:rPr>
              <w:t>1.16.13</w:t>
            </w:r>
          </w:p>
        </w:tc>
        <w:tc>
          <w:tcPr>
            <w:tcW w:w="4995" w:type="dxa"/>
            <w:shd w:val="clear" w:color="auto" w:fill="auto"/>
          </w:tcPr>
          <w:p w:rsidR="00FA58F8" w:rsidRPr="0088229B" w:rsidRDefault="00250A44" w:rsidP="000D6DB2">
            <w:pPr>
              <w:pStyle w:val="SingleTxtG"/>
              <w:suppressAutoHyphens w:val="0"/>
              <w:spacing w:before="40" w:after="0" w:line="240" w:lineRule="auto"/>
              <w:ind w:left="0" w:right="113"/>
              <w:jc w:val="left"/>
              <w:rPr>
                <w:lang w:val="de-DE"/>
              </w:rPr>
            </w:pPr>
            <w:r w:rsidRPr="0088229B">
              <w:rPr>
                <w:b/>
                <w:bCs/>
                <w:lang w:val="de-DE"/>
              </w:rPr>
              <w:t>Zurückbehalten und Rückgabe des Zulassungszeugnisses</w:t>
            </w:r>
          </w:p>
        </w:tc>
        <w:tc>
          <w:tcPr>
            <w:tcW w:w="993" w:type="dxa"/>
            <w:gridSpan w:val="2"/>
            <w:shd w:val="clear" w:color="auto" w:fill="auto"/>
          </w:tcPr>
          <w:p w:rsidR="00FA58F8" w:rsidRPr="0088229B" w:rsidRDefault="00FA58F8" w:rsidP="000D6DB2">
            <w:pPr>
              <w:pStyle w:val="SingleTxtG"/>
              <w:suppressAutoHyphens w:val="0"/>
              <w:spacing w:after="0" w:line="240" w:lineRule="auto"/>
              <w:ind w:left="0" w:right="113"/>
              <w:jc w:val="left"/>
              <w:rPr>
                <w:b/>
                <w:u w:val="single"/>
              </w:rPr>
            </w:pPr>
            <w:r w:rsidRPr="0088229B">
              <w:rPr>
                <w:b/>
                <w:u w:val="single"/>
              </w:rPr>
              <w:t>1.16.13</w:t>
            </w:r>
          </w:p>
        </w:tc>
        <w:tc>
          <w:tcPr>
            <w:tcW w:w="5412" w:type="dxa"/>
            <w:shd w:val="clear" w:color="auto" w:fill="auto"/>
          </w:tcPr>
          <w:p w:rsidR="00FA58F8" w:rsidRPr="0088229B" w:rsidRDefault="00250A44" w:rsidP="000D6DB2">
            <w:pPr>
              <w:pStyle w:val="SingleTxtG"/>
              <w:suppressAutoHyphens w:val="0"/>
              <w:spacing w:after="0" w:line="240" w:lineRule="auto"/>
              <w:ind w:left="0" w:right="113"/>
              <w:jc w:val="left"/>
              <w:rPr>
                <w:lang w:val="de-DE"/>
              </w:rPr>
            </w:pPr>
            <w:r w:rsidRPr="0088229B">
              <w:rPr>
                <w:b/>
                <w:bCs/>
                <w:lang w:val="de-DE"/>
              </w:rPr>
              <w:t>Zurückbehalten und Rückgabe des Zulassungszeugnisses</w:t>
            </w:r>
          </w:p>
        </w:tc>
      </w:tr>
      <w:tr w:rsidR="00FA58F8" w:rsidRPr="0088229B" w:rsidTr="00635F8D">
        <w:trPr>
          <w:cantSplit/>
        </w:trPr>
        <w:tc>
          <w:tcPr>
            <w:tcW w:w="959" w:type="dxa"/>
            <w:gridSpan w:val="2"/>
            <w:shd w:val="clear" w:color="auto" w:fill="auto"/>
          </w:tcPr>
          <w:p w:rsidR="00FA58F8" w:rsidRPr="0088229B" w:rsidRDefault="00FA58F8" w:rsidP="000D6DB2">
            <w:pPr>
              <w:pStyle w:val="SingleTxtG"/>
              <w:suppressAutoHyphens w:val="0"/>
              <w:spacing w:after="0" w:line="240" w:lineRule="auto"/>
              <w:ind w:left="0" w:right="113"/>
              <w:jc w:val="left"/>
              <w:rPr>
                <w:b/>
                <w:bCs/>
              </w:rPr>
            </w:pPr>
            <w:r w:rsidRPr="0088229B">
              <w:rPr>
                <w:b/>
                <w:bCs/>
              </w:rPr>
              <w:t>1.16.13.1</w:t>
            </w:r>
          </w:p>
        </w:tc>
        <w:tc>
          <w:tcPr>
            <w:tcW w:w="4995" w:type="dxa"/>
            <w:shd w:val="clear" w:color="auto" w:fill="auto"/>
          </w:tcPr>
          <w:p w:rsidR="00FA58F8" w:rsidRPr="0088229B" w:rsidRDefault="0059170C" w:rsidP="000D6DB2">
            <w:pPr>
              <w:pStyle w:val="SingleTxtG"/>
              <w:suppressAutoHyphens w:val="0"/>
              <w:spacing w:after="0" w:line="240" w:lineRule="auto"/>
              <w:ind w:left="0" w:right="113"/>
              <w:jc w:val="left"/>
              <w:rPr>
                <w:lang w:val="de-DE"/>
              </w:rPr>
            </w:pPr>
            <w:r w:rsidRPr="0088229B">
              <w:rPr>
                <w:lang w:val="de-DE"/>
              </w:rPr>
              <w:t>Das Zulassungszeugnis kann wegen mangelhafter Instandhaltung des Schiffes oder wenn Bau und Ausrüstung nicht mehr den anwendbaren Vorschriften dieser Anlage entsprechen, eingezogen werden.</w:t>
            </w:r>
          </w:p>
        </w:tc>
        <w:tc>
          <w:tcPr>
            <w:tcW w:w="993" w:type="dxa"/>
            <w:gridSpan w:val="2"/>
            <w:shd w:val="clear" w:color="auto" w:fill="auto"/>
          </w:tcPr>
          <w:p w:rsidR="00FA58F8" w:rsidRPr="0088229B" w:rsidRDefault="00FA58F8" w:rsidP="000D6DB2">
            <w:pPr>
              <w:pStyle w:val="SingleTxtG"/>
              <w:suppressAutoHyphens w:val="0"/>
              <w:spacing w:after="0" w:line="240" w:lineRule="auto"/>
              <w:ind w:left="0" w:right="113"/>
              <w:jc w:val="left"/>
              <w:rPr>
                <w:b/>
                <w:u w:val="single"/>
              </w:rPr>
            </w:pPr>
            <w:r w:rsidRPr="0088229B">
              <w:rPr>
                <w:b/>
                <w:u w:val="single"/>
              </w:rPr>
              <w:t>1.16.13.1</w:t>
            </w:r>
          </w:p>
        </w:tc>
        <w:tc>
          <w:tcPr>
            <w:tcW w:w="5412" w:type="dxa"/>
            <w:shd w:val="clear" w:color="auto" w:fill="auto"/>
          </w:tcPr>
          <w:p w:rsidR="00FA58F8" w:rsidRPr="0088229B" w:rsidRDefault="0059170C" w:rsidP="000D6DB2">
            <w:pPr>
              <w:pStyle w:val="SingleTxtG"/>
              <w:spacing w:after="0" w:line="240" w:lineRule="auto"/>
              <w:ind w:left="0" w:right="451"/>
              <w:jc w:val="left"/>
              <w:rPr>
                <w:lang w:val="de-DE"/>
              </w:rPr>
            </w:pPr>
            <w:r w:rsidRPr="0088229B">
              <w:rPr>
                <w:rFonts w:eastAsia="TimesNewRomanPSMT"/>
                <w:lang w:val="de-DE" w:eastAsia="fr-FR"/>
              </w:rPr>
              <w:t xml:space="preserve">Das Zulassungszeugnis kann wegen mangelhafter Instandhaltung des Schiffes oder wenn Bau und Ausrüstung nicht mehr den anwendbaren Vorschriften dieser Anlage entsprechen </w:t>
            </w:r>
            <w:r w:rsidR="004B1841" w:rsidRPr="0088229B">
              <w:rPr>
                <w:rFonts w:eastAsia="TimesNewRomanPSMT"/>
                <w:b/>
                <w:u w:val="single"/>
                <w:lang w:val="de-DE" w:eastAsia="fr-FR"/>
              </w:rPr>
              <w:t xml:space="preserve">oder wenn die höchste Klasse des Schiffes nach Absatz 9.2.0.88.1, 9.3.1.8.1, 9.3.2.8.1 oder 9.3.3.8.1 nicht gültig ist, </w:t>
            </w:r>
            <w:r w:rsidRPr="0088229B">
              <w:rPr>
                <w:rFonts w:eastAsia="TimesNewRomanPSMT"/>
                <w:lang w:val="de-DE" w:eastAsia="fr-FR"/>
              </w:rPr>
              <w:t>eingezogen werden</w:t>
            </w:r>
            <w:r w:rsidR="00FA58F8" w:rsidRPr="0088229B">
              <w:rPr>
                <w:rFonts w:eastAsia="TimesNewRomanPSMT"/>
                <w:lang w:val="de-DE" w:eastAsia="fr-FR"/>
              </w:rPr>
              <w:t>.</w:t>
            </w:r>
          </w:p>
        </w:tc>
      </w:tr>
      <w:tr w:rsidR="00FA58F8" w:rsidRPr="0088229B" w:rsidTr="00635F8D">
        <w:trPr>
          <w:cantSplit/>
        </w:trPr>
        <w:tc>
          <w:tcPr>
            <w:tcW w:w="959" w:type="dxa"/>
            <w:gridSpan w:val="2"/>
            <w:shd w:val="clear" w:color="auto" w:fill="auto"/>
          </w:tcPr>
          <w:p w:rsidR="00FA58F8" w:rsidRPr="0088229B" w:rsidRDefault="00FA58F8" w:rsidP="000D6DB2">
            <w:pPr>
              <w:pStyle w:val="SingleTxtG"/>
              <w:suppressAutoHyphens w:val="0"/>
              <w:spacing w:after="0" w:line="240" w:lineRule="auto"/>
              <w:ind w:left="0" w:right="113"/>
              <w:jc w:val="left"/>
              <w:rPr>
                <w:b/>
                <w:bCs/>
              </w:rPr>
            </w:pPr>
            <w:r w:rsidRPr="0088229B">
              <w:rPr>
                <w:b/>
                <w:bCs/>
              </w:rPr>
              <w:t>1.16.13.2</w:t>
            </w:r>
          </w:p>
        </w:tc>
        <w:tc>
          <w:tcPr>
            <w:tcW w:w="4995" w:type="dxa"/>
            <w:shd w:val="clear" w:color="auto" w:fill="auto"/>
          </w:tcPr>
          <w:p w:rsidR="0059170C" w:rsidRPr="0088229B" w:rsidRDefault="0059170C" w:rsidP="000D6DB2">
            <w:pPr>
              <w:suppressAutoHyphens w:val="0"/>
              <w:spacing w:before="40" w:line="240" w:lineRule="auto"/>
              <w:ind w:right="113"/>
              <w:rPr>
                <w:lang w:val="de-DE"/>
              </w:rPr>
            </w:pPr>
            <w:r w:rsidRPr="0088229B">
              <w:rPr>
                <w:lang w:val="de-DE"/>
              </w:rPr>
              <w:t xml:space="preserve">Nur die Behörde, die das Zulassungszeugnis ausgestellt hat, </w:t>
            </w:r>
            <w:r w:rsidR="000D6DB2">
              <w:rPr>
                <w:lang w:val="de-DE"/>
              </w:rPr>
              <w:t>ist berechtigt, es einzuziehen.</w:t>
            </w:r>
          </w:p>
          <w:p w:rsidR="00FA58F8" w:rsidRPr="0088229B" w:rsidRDefault="0059170C" w:rsidP="000D6DB2">
            <w:pPr>
              <w:suppressAutoHyphens w:val="0"/>
              <w:spacing w:line="240" w:lineRule="auto"/>
              <w:ind w:right="113"/>
              <w:rPr>
                <w:lang w:val="de-DE"/>
              </w:rPr>
            </w:pPr>
            <w:r w:rsidRPr="0088229B">
              <w:rPr>
                <w:lang w:val="de-DE"/>
              </w:rPr>
              <w:t>In den unter Unterabschnitt 1.16.2.1 und Abschnitt 1.16.9 angeführten Fällen kann jedoch die zuständige Behörde des Staates, in dem sich das Schiff befindet, dessen Verwendung für die Beförderung solcher Güter untersagen, für die das Zulassungszeugnis erforderlich ist. Sie kann zu diesem Zweck das Zulassungszeugnis so lange zurückbehalten, bis das Schiff den anwendbaren Vorschriften dieser Verordnung entspricht. In diesem Fall benachrichtigt sie die zuständige Behörde, die das Zulassungszeugnis ausgestellt hat.</w:t>
            </w:r>
          </w:p>
        </w:tc>
        <w:tc>
          <w:tcPr>
            <w:tcW w:w="993" w:type="dxa"/>
            <w:gridSpan w:val="2"/>
            <w:shd w:val="clear" w:color="auto" w:fill="auto"/>
          </w:tcPr>
          <w:p w:rsidR="00FA58F8" w:rsidRPr="0088229B" w:rsidRDefault="00FA58F8" w:rsidP="000D6DB2">
            <w:pPr>
              <w:pStyle w:val="SingleTxtG"/>
              <w:suppressAutoHyphens w:val="0"/>
              <w:spacing w:after="0" w:line="240" w:lineRule="auto"/>
              <w:ind w:left="0" w:right="113"/>
              <w:jc w:val="left"/>
              <w:rPr>
                <w:b/>
                <w:bCs/>
              </w:rPr>
            </w:pPr>
            <w:r w:rsidRPr="0088229B">
              <w:rPr>
                <w:b/>
                <w:bCs/>
                <w:u w:val="single"/>
              </w:rPr>
              <w:t>1.16.13.2</w:t>
            </w:r>
          </w:p>
        </w:tc>
        <w:tc>
          <w:tcPr>
            <w:tcW w:w="5412" w:type="dxa"/>
            <w:shd w:val="clear" w:color="auto" w:fill="auto"/>
          </w:tcPr>
          <w:p w:rsidR="00BA2D5F" w:rsidRPr="0088229B" w:rsidRDefault="00BA2D5F" w:rsidP="000D6DB2">
            <w:pPr>
              <w:suppressAutoHyphens w:val="0"/>
              <w:spacing w:before="40" w:line="240" w:lineRule="auto"/>
              <w:ind w:right="113"/>
              <w:rPr>
                <w:lang w:val="de-DE"/>
              </w:rPr>
            </w:pPr>
            <w:r w:rsidRPr="0088229B">
              <w:rPr>
                <w:lang w:val="de-DE"/>
              </w:rPr>
              <w:t xml:space="preserve">Nur die Behörde, die das Zulassungszeugnis ausgestellt hat, ist berechtigt, es einzuziehen. </w:t>
            </w:r>
          </w:p>
          <w:p w:rsidR="00FA58F8" w:rsidRPr="0088229B" w:rsidRDefault="00BA2D5F" w:rsidP="000D6DB2">
            <w:pPr>
              <w:suppressAutoHyphens w:val="0"/>
              <w:spacing w:line="240" w:lineRule="auto"/>
              <w:ind w:right="113"/>
              <w:rPr>
                <w:lang w:val="de-DE"/>
              </w:rPr>
            </w:pPr>
            <w:r w:rsidRPr="0088229B">
              <w:rPr>
                <w:lang w:val="de-DE"/>
              </w:rPr>
              <w:t xml:space="preserve">In den unter </w:t>
            </w:r>
            <w:r w:rsidRPr="0088229B">
              <w:rPr>
                <w:b/>
                <w:strike/>
                <w:u w:val="single"/>
                <w:lang w:val="de-DE"/>
              </w:rPr>
              <w:t>Unterabschnitt 1.16.2.1 und</w:t>
            </w:r>
            <w:r w:rsidRPr="0088229B">
              <w:rPr>
                <w:lang w:val="de-DE"/>
              </w:rPr>
              <w:t xml:space="preserve"> </w:t>
            </w:r>
            <w:r w:rsidRPr="0088229B">
              <w:rPr>
                <w:b/>
                <w:u w:val="single"/>
                <w:lang w:val="de-DE"/>
              </w:rPr>
              <w:t>Abschnitt 1.16.9 und Unterabschnitt 1.16.13.1</w:t>
            </w:r>
            <w:r w:rsidRPr="0088229B">
              <w:rPr>
                <w:lang w:val="de-DE"/>
              </w:rPr>
              <w:t xml:space="preserve"> angeführten Fällen kann jedoch die zuständige Behörde des Staates, in dem sich das Schiff befindet, dessen Verwendung für die Beförderung solcher Güter untersagen, für die das Zulassungszeugnis erforderlich ist. Sie kann zu diesem Zweck das Zulassungszeugnis so lange zurückbehalten, bis das Schiff den anwendbaren Vorschriften dieser Verordnung entspricht. In diesem Fall benachrichtigt sie die zuständige Behörde, die das Zulassungszeugnis ausgestellt hat.</w:t>
            </w:r>
          </w:p>
        </w:tc>
      </w:tr>
      <w:tr w:rsidR="00FA58F8" w:rsidRPr="0088229B" w:rsidTr="00635F8D">
        <w:trPr>
          <w:cantSplit/>
        </w:trPr>
        <w:tc>
          <w:tcPr>
            <w:tcW w:w="959" w:type="dxa"/>
            <w:gridSpan w:val="2"/>
            <w:shd w:val="clear" w:color="auto" w:fill="auto"/>
          </w:tcPr>
          <w:p w:rsidR="00FA58F8" w:rsidRPr="0088229B" w:rsidRDefault="00FA58F8" w:rsidP="00BE2F1C">
            <w:pPr>
              <w:pStyle w:val="SingleTxtG"/>
              <w:suppressAutoHyphens w:val="0"/>
              <w:spacing w:before="40" w:line="220" w:lineRule="exact"/>
              <w:ind w:left="0" w:right="113"/>
              <w:jc w:val="left"/>
              <w:rPr>
                <w:b/>
                <w:bCs/>
              </w:rPr>
            </w:pPr>
            <w:r w:rsidRPr="0088229B">
              <w:rPr>
                <w:b/>
                <w:bCs/>
              </w:rPr>
              <w:t>1.16.13.4</w:t>
            </w:r>
            <w:r w:rsidRPr="0088229B">
              <w:rPr>
                <w:b/>
                <w:bCs/>
              </w:rPr>
              <w:br/>
              <w:t>(</w:t>
            </w:r>
            <w:r w:rsidR="00BE2F1C" w:rsidRPr="0088229B">
              <w:rPr>
                <w:b/>
                <w:bCs/>
              </w:rPr>
              <w:t>Nur Absatz</w:t>
            </w:r>
            <w:r w:rsidR="00B37628" w:rsidRPr="0088229B">
              <w:rPr>
                <w:b/>
                <w:bCs/>
              </w:rPr>
              <w:t xml:space="preserve"> </w:t>
            </w:r>
            <w:r w:rsidRPr="0088229B">
              <w:rPr>
                <w:b/>
                <w:bCs/>
              </w:rPr>
              <w:t>1)</w:t>
            </w:r>
          </w:p>
        </w:tc>
        <w:tc>
          <w:tcPr>
            <w:tcW w:w="4995" w:type="dxa"/>
            <w:shd w:val="clear" w:color="auto" w:fill="auto"/>
          </w:tcPr>
          <w:p w:rsidR="00FA58F8" w:rsidRPr="0088229B" w:rsidRDefault="00BE2F1C" w:rsidP="00BE2F1C">
            <w:pPr>
              <w:suppressAutoHyphens w:val="0"/>
              <w:autoSpaceDE w:val="0"/>
              <w:autoSpaceDN w:val="0"/>
              <w:adjustRightInd w:val="0"/>
              <w:spacing w:line="240" w:lineRule="auto"/>
              <w:rPr>
                <w:lang w:val="de-DE"/>
              </w:rPr>
            </w:pPr>
            <w:r w:rsidRPr="0088229B">
              <w:rPr>
                <w:rFonts w:eastAsia="TimesNewRomanPSMT"/>
                <w:lang w:val="de-DE" w:eastAsia="fr-FR"/>
              </w:rPr>
              <w:t>Stellt eine Untersuchungsstelle oder eine Klassifikationsgesellschaft bei einer Untersuchung fest, dass ein Schiff oder seine Ausrüstung erhebliche mit den Gefahrgütern verbundene Mängel aufweist, durch die die Sicherheit der an Bord befindlichen Personen oder der Schifffahrt oder die Umwelt gefährdet wird, so unterrichtet sie hiervon unverzüglich die zuständige Behörde, zu der sie gehört, die das Zurückbehalten des Zulassungszeugnisses beschließen kann.</w:t>
            </w:r>
          </w:p>
        </w:tc>
        <w:tc>
          <w:tcPr>
            <w:tcW w:w="993" w:type="dxa"/>
            <w:gridSpan w:val="2"/>
            <w:shd w:val="clear" w:color="auto" w:fill="auto"/>
          </w:tcPr>
          <w:p w:rsidR="00FA58F8" w:rsidRPr="0088229B" w:rsidRDefault="00FA58F8" w:rsidP="00BE2F1C">
            <w:pPr>
              <w:pStyle w:val="SingleTxtG"/>
              <w:suppressAutoHyphens w:val="0"/>
              <w:spacing w:before="40" w:line="220" w:lineRule="exact"/>
              <w:ind w:left="0" w:right="113"/>
              <w:jc w:val="left"/>
            </w:pPr>
            <w:r w:rsidRPr="0088229B">
              <w:rPr>
                <w:b/>
                <w:u w:val="single"/>
              </w:rPr>
              <w:t>1.16.13.4</w:t>
            </w:r>
            <w:r w:rsidRPr="0088229B">
              <w:br/>
            </w:r>
            <w:r w:rsidRPr="0088229B">
              <w:rPr>
                <w:b/>
              </w:rPr>
              <w:t>(</w:t>
            </w:r>
            <w:r w:rsidR="00BE2F1C" w:rsidRPr="0088229B">
              <w:rPr>
                <w:b/>
              </w:rPr>
              <w:t>Nur Absatz</w:t>
            </w:r>
            <w:r w:rsidR="00B37628" w:rsidRPr="0088229B">
              <w:rPr>
                <w:b/>
              </w:rPr>
              <w:t xml:space="preserve"> </w:t>
            </w:r>
            <w:r w:rsidRPr="0088229B">
              <w:rPr>
                <w:b/>
              </w:rPr>
              <w:t>1)</w:t>
            </w:r>
          </w:p>
        </w:tc>
        <w:tc>
          <w:tcPr>
            <w:tcW w:w="5412" w:type="dxa"/>
            <w:shd w:val="clear" w:color="auto" w:fill="auto"/>
          </w:tcPr>
          <w:p w:rsidR="00FA58F8" w:rsidRPr="0088229B" w:rsidRDefault="00BE2F1C" w:rsidP="000C2B7F">
            <w:pPr>
              <w:suppressAutoHyphens w:val="0"/>
              <w:autoSpaceDE w:val="0"/>
              <w:autoSpaceDN w:val="0"/>
              <w:adjustRightInd w:val="0"/>
              <w:spacing w:line="240" w:lineRule="auto"/>
              <w:rPr>
                <w:lang w:val="de-DE"/>
              </w:rPr>
            </w:pPr>
            <w:r w:rsidRPr="0088229B">
              <w:rPr>
                <w:rFonts w:eastAsia="TimesNewRomanPSMT"/>
                <w:lang w:val="de-DE" w:eastAsia="fr-FR"/>
              </w:rPr>
              <w:t xml:space="preserve">Stellt eine Untersuchungsstelle oder eine </w:t>
            </w:r>
            <w:r w:rsidRPr="0088229B">
              <w:rPr>
                <w:b/>
                <w:u w:val="single"/>
                <w:lang w:val="de-DE"/>
              </w:rPr>
              <w:t>anerkannte</w:t>
            </w:r>
            <w:r w:rsidRPr="0088229B">
              <w:rPr>
                <w:rFonts w:eastAsia="TimesNewRomanPSMT"/>
                <w:lang w:val="de-DE" w:eastAsia="fr-FR"/>
              </w:rPr>
              <w:t xml:space="preserve"> Klassifikationsgesellschaft bei einer Untersuchung fest, dass ein Schiff oder seine Ausrüstung erhebliche mit den Gefahrgütern verbundene Mängel aufweist, durch die die Sicherheit der an Bord befindlichen Personen oder der Schifffahrt oder die Umwelt gefährdet wird,</w:t>
            </w:r>
            <w:r w:rsidRPr="0088229B">
              <w:rPr>
                <w:rFonts w:eastAsia="TimesNewRomanPSMT"/>
                <w:b/>
                <w:u w:val="single"/>
                <w:lang w:val="de-DE" w:eastAsia="fr-FR"/>
              </w:rPr>
              <w:t xml:space="preserve"> o</w:t>
            </w:r>
            <w:r w:rsidR="008B707C" w:rsidRPr="0088229B">
              <w:rPr>
                <w:rFonts w:eastAsia="TimesNewRomanPSMT"/>
                <w:b/>
                <w:u w:val="single"/>
                <w:lang w:val="de-DE" w:eastAsia="fr-FR"/>
              </w:rPr>
              <w:t>de</w:t>
            </w:r>
            <w:r w:rsidRPr="0088229B">
              <w:rPr>
                <w:rFonts w:eastAsia="TimesNewRomanPSMT"/>
                <w:b/>
                <w:u w:val="single"/>
                <w:lang w:val="de-DE" w:eastAsia="fr-FR"/>
              </w:rPr>
              <w:t xml:space="preserve">r </w:t>
            </w:r>
            <w:r w:rsidR="008B707C" w:rsidRPr="0088229B">
              <w:rPr>
                <w:rFonts w:eastAsia="TimesNewRomanPSMT"/>
                <w:b/>
                <w:u w:val="single"/>
                <w:lang w:val="de-DE" w:eastAsia="fr-FR"/>
              </w:rPr>
              <w:t xml:space="preserve">ist die höchste Klasse </w:t>
            </w:r>
            <w:r w:rsidR="000C2B7F" w:rsidRPr="0088229B">
              <w:rPr>
                <w:rFonts w:eastAsia="TimesNewRomanPSMT"/>
                <w:b/>
                <w:u w:val="single"/>
                <w:lang w:val="de-DE" w:eastAsia="fr-FR"/>
              </w:rPr>
              <w:t>des</w:t>
            </w:r>
            <w:r w:rsidR="008B707C" w:rsidRPr="0088229B">
              <w:rPr>
                <w:rFonts w:eastAsia="TimesNewRomanPSMT"/>
                <w:b/>
                <w:u w:val="single"/>
                <w:lang w:val="de-DE" w:eastAsia="fr-FR"/>
              </w:rPr>
              <w:t xml:space="preserve"> Schiffes nicht gültig</w:t>
            </w:r>
            <w:r w:rsidRPr="0088229B">
              <w:rPr>
                <w:rFonts w:eastAsia="TimesNewRomanPSMT"/>
                <w:b/>
                <w:u w:val="single"/>
                <w:lang w:val="de-DE" w:eastAsia="fr-FR"/>
              </w:rPr>
              <w:t>,</w:t>
            </w:r>
            <w:r w:rsidRPr="0088229B">
              <w:rPr>
                <w:rFonts w:eastAsia="TimesNewRomanPSMT"/>
                <w:lang w:val="de-DE" w:eastAsia="fr-FR"/>
              </w:rPr>
              <w:t xml:space="preserve"> so unterrichtet sie hiervon unverzüglich die zuständige Behörde, </w:t>
            </w:r>
            <w:r w:rsidRPr="0088229B">
              <w:rPr>
                <w:rFonts w:eastAsia="TimesNewRomanPSMT"/>
                <w:b/>
                <w:strike/>
                <w:u w:val="single"/>
                <w:lang w:val="de-DE" w:eastAsia="fr-FR"/>
              </w:rPr>
              <w:t>zu der sie gehört</w:t>
            </w:r>
            <w:r w:rsidR="00CD5EBC" w:rsidRPr="0088229B">
              <w:rPr>
                <w:rFonts w:eastAsia="TimesNewRomanPSMT"/>
                <w:b/>
                <w:strike/>
                <w:u w:val="single"/>
                <w:lang w:val="de-DE" w:eastAsia="fr-FR"/>
              </w:rPr>
              <w:t xml:space="preserve"> </w:t>
            </w:r>
            <w:r w:rsidR="008B707C" w:rsidRPr="0088229B">
              <w:rPr>
                <w:rFonts w:eastAsia="TimesNewRomanPSMT"/>
                <w:b/>
                <w:u w:val="single"/>
                <w:lang w:val="de-DE" w:eastAsia="fr-FR"/>
              </w:rPr>
              <w:t>in deren Auftrag sie handelt</w:t>
            </w:r>
            <w:r w:rsidRPr="0088229B">
              <w:rPr>
                <w:rFonts w:eastAsia="TimesNewRomanPSMT"/>
                <w:lang w:val="de-DE" w:eastAsia="fr-FR"/>
              </w:rPr>
              <w:t>, die das Zurückbehalten des Zulassungszeugnisses beschließen kann.</w:t>
            </w:r>
          </w:p>
        </w:tc>
      </w:tr>
      <w:tr w:rsidR="00FA58F8" w:rsidRPr="0088229B" w:rsidTr="00635F8D">
        <w:trPr>
          <w:cantSplit/>
        </w:trPr>
        <w:tc>
          <w:tcPr>
            <w:tcW w:w="959" w:type="dxa"/>
            <w:gridSpan w:val="2"/>
            <w:shd w:val="clear" w:color="auto" w:fill="auto"/>
          </w:tcPr>
          <w:p w:rsidR="00FA58F8" w:rsidRPr="0088229B" w:rsidRDefault="00530FFE" w:rsidP="00B37697">
            <w:pPr>
              <w:pStyle w:val="SingleTxtG"/>
              <w:suppressAutoHyphens w:val="0"/>
              <w:spacing w:before="40" w:line="220" w:lineRule="exact"/>
              <w:ind w:left="0" w:right="113"/>
              <w:jc w:val="left"/>
              <w:rPr>
                <w:b/>
                <w:bCs/>
              </w:rPr>
            </w:pPr>
            <w:r w:rsidRPr="0088229B">
              <w:rPr>
                <w:b/>
                <w:bCs/>
              </w:rPr>
              <w:lastRenderedPageBreak/>
              <w:t>1.16.13.5</w:t>
            </w:r>
          </w:p>
        </w:tc>
        <w:tc>
          <w:tcPr>
            <w:tcW w:w="4995" w:type="dxa"/>
            <w:shd w:val="clear" w:color="auto" w:fill="auto"/>
          </w:tcPr>
          <w:p w:rsidR="00530FFE" w:rsidRPr="0088229B" w:rsidRDefault="00530FFE" w:rsidP="00B37697">
            <w:pPr>
              <w:pStyle w:val="SingleTxtG"/>
              <w:suppressAutoHyphens w:val="0"/>
              <w:spacing w:before="40" w:line="220" w:lineRule="exact"/>
              <w:ind w:left="0" w:right="113"/>
              <w:jc w:val="left"/>
              <w:rPr>
                <w:lang w:val="de-DE"/>
              </w:rPr>
            </w:pPr>
            <w:r w:rsidRPr="0088229B">
              <w:rPr>
                <w:lang w:val="de-DE"/>
              </w:rPr>
              <w:t xml:space="preserve">Hat die Untersuchungsstelle oder die Klassifikationsgesellschaft nach Unterabschnitt 1.16.12.1 bei einer Sonderuntersuchung nach Abschnitt 1.16.9 festgestellt, dass die vorgenannten Mängel behoben worden sind, wird das Zulassungszeugnis von der zuständigen Behörde an den Eigner oder dessen Bevollmächtigten zurückgegeben. </w:t>
            </w:r>
          </w:p>
          <w:p w:rsidR="00FA58F8" w:rsidRPr="0088229B" w:rsidRDefault="00530FFE" w:rsidP="005B1B5E">
            <w:pPr>
              <w:pStyle w:val="SingleTxtG"/>
              <w:suppressAutoHyphens w:val="0"/>
              <w:spacing w:before="40" w:line="220" w:lineRule="exact"/>
              <w:ind w:left="0" w:right="113"/>
              <w:jc w:val="left"/>
              <w:rPr>
                <w:lang w:val="de-DE"/>
              </w:rPr>
            </w:pPr>
            <w:r w:rsidRPr="0088229B">
              <w:rPr>
                <w:lang w:val="de-DE"/>
              </w:rPr>
              <w:t>Diese Untersuchung kann auf Antrag des Eigners oder seines Bevollmächtigten durch eine andere Untersuchungsstelle oder eine andere Klassifikationsgesellschaft durchgeführt werden. In diesem Falle wird die Rückgabe des Zulassungszeugnisses durch Vermittlung der zuständigen Behörde besorgt, zu der diese Untersuchungsstelle oder diese Klassifikationsgesellschaft gehört.</w:t>
            </w:r>
          </w:p>
        </w:tc>
        <w:tc>
          <w:tcPr>
            <w:tcW w:w="993" w:type="dxa"/>
            <w:gridSpan w:val="2"/>
            <w:shd w:val="clear" w:color="auto" w:fill="auto"/>
          </w:tcPr>
          <w:p w:rsidR="00FA58F8" w:rsidRPr="0088229B" w:rsidRDefault="00530FFE" w:rsidP="00B37697">
            <w:pPr>
              <w:pStyle w:val="SingleTxtG"/>
              <w:suppressAutoHyphens w:val="0"/>
              <w:spacing w:before="40" w:line="220" w:lineRule="exact"/>
              <w:ind w:left="0" w:right="113"/>
              <w:jc w:val="left"/>
              <w:rPr>
                <w:b/>
                <w:bCs/>
              </w:rPr>
            </w:pPr>
            <w:r w:rsidRPr="0088229B">
              <w:rPr>
                <w:b/>
                <w:bCs/>
                <w:u w:val="single"/>
              </w:rPr>
              <w:t>1.16.13.5</w:t>
            </w:r>
          </w:p>
        </w:tc>
        <w:tc>
          <w:tcPr>
            <w:tcW w:w="5412" w:type="dxa"/>
            <w:shd w:val="clear" w:color="auto" w:fill="auto"/>
          </w:tcPr>
          <w:p w:rsidR="005B1B5E" w:rsidRPr="0088229B" w:rsidRDefault="005B1B5E" w:rsidP="005B1B5E">
            <w:pPr>
              <w:pStyle w:val="SingleTxtG"/>
              <w:suppressAutoHyphens w:val="0"/>
              <w:spacing w:before="40" w:line="220" w:lineRule="exact"/>
              <w:ind w:left="0" w:right="113"/>
              <w:jc w:val="left"/>
              <w:rPr>
                <w:lang w:val="de-DE"/>
              </w:rPr>
            </w:pPr>
            <w:r w:rsidRPr="0088229B">
              <w:rPr>
                <w:lang w:val="de-DE"/>
              </w:rPr>
              <w:t xml:space="preserve">Hat die Untersuchungsstelle oder die </w:t>
            </w:r>
            <w:r w:rsidRPr="0088229B">
              <w:rPr>
                <w:rFonts w:eastAsia="TimesNewRomanPSMT"/>
                <w:b/>
                <w:u w:val="single"/>
                <w:lang w:val="de-DE" w:eastAsia="fr-FR"/>
              </w:rPr>
              <w:t>anerkannte</w:t>
            </w:r>
            <w:r w:rsidRPr="0088229B">
              <w:rPr>
                <w:lang w:val="de-DE"/>
              </w:rPr>
              <w:t xml:space="preserve"> Klassifikationsgesellschaft nach Unterabschnitt </w:t>
            </w:r>
            <w:r w:rsidRPr="0088229B">
              <w:rPr>
                <w:b/>
                <w:strike/>
                <w:u w:val="single"/>
                <w:lang w:val="de-DE"/>
              </w:rPr>
              <w:t>1.16.12.1</w:t>
            </w:r>
            <w:r w:rsidRPr="0088229B">
              <w:rPr>
                <w:lang w:val="de-DE"/>
              </w:rPr>
              <w:t xml:space="preserve"> </w:t>
            </w:r>
            <w:r w:rsidRPr="0088229B">
              <w:rPr>
                <w:b/>
                <w:bCs/>
                <w:u w:val="single"/>
                <w:lang w:val="de-DE"/>
              </w:rPr>
              <w:t>1.16.13.4</w:t>
            </w:r>
            <w:r w:rsidRPr="0088229B">
              <w:rPr>
                <w:lang w:val="de-DE"/>
              </w:rPr>
              <w:t xml:space="preserve"> bei einer Sonderuntersuchung nach Abschnitt 1.16.9 festgestellt, dass die vorgenannten Mängel behoben worden sind, wird das Zulassungszeugnis von der zuständigen Behörde an den Eigner </w:t>
            </w:r>
            <w:r w:rsidRPr="0088229B">
              <w:rPr>
                <w:b/>
                <w:strike/>
                <w:u w:val="single"/>
                <w:lang w:val="de-DE"/>
              </w:rPr>
              <w:t>oder dessen Bevollmächtigten</w:t>
            </w:r>
            <w:r w:rsidRPr="0088229B">
              <w:rPr>
                <w:lang w:val="de-DE"/>
              </w:rPr>
              <w:t xml:space="preserve"> zurückgegeben. </w:t>
            </w:r>
          </w:p>
          <w:p w:rsidR="00FA58F8" w:rsidRPr="0088229B" w:rsidRDefault="005B1B5E" w:rsidP="005B1B5E">
            <w:pPr>
              <w:pStyle w:val="SingleTxtG"/>
              <w:suppressAutoHyphens w:val="0"/>
              <w:spacing w:before="40" w:line="220" w:lineRule="exact"/>
              <w:ind w:left="0" w:right="113"/>
              <w:jc w:val="left"/>
              <w:rPr>
                <w:lang w:val="de-DE"/>
              </w:rPr>
            </w:pPr>
            <w:r w:rsidRPr="0088229B">
              <w:rPr>
                <w:lang w:val="de-DE"/>
              </w:rPr>
              <w:t xml:space="preserve">Diese Untersuchung kann auf Antrag des Eigners </w:t>
            </w:r>
            <w:r w:rsidRPr="0088229B">
              <w:rPr>
                <w:b/>
                <w:strike/>
                <w:u w:val="single"/>
                <w:lang w:val="de-DE"/>
              </w:rPr>
              <w:t>oder seines Bevollmächtigten</w:t>
            </w:r>
            <w:r w:rsidRPr="0088229B">
              <w:rPr>
                <w:lang w:val="de-DE"/>
              </w:rPr>
              <w:t xml:space="preserve"> durch eine andere Untersuchungsstelle oder eine andere </w:t>
            </w:r>
            <w:r w:rsidRPr="0088229B">
              <w:rPr>
                <w:rFonts w:eastAsia="TimesNewRomanPSMT"/>
                <w:b/>
                <w:u w:val="single"/>
                <w:lang w:val="de-DE" w:eastAsia="fr-FR"/>
              </w:rPr>
              <w:t>anerkannte</w:t>
            </w:r>
            <w:r w:rsidRPr="0088229B">
              <w:rPr>
                <w:lang w:val="de-DE"/>
              </w:rPr>
              <w:t xml:space="preserve"> Klassifikationsgesellschaft durchgeführt werden. In diesem Falle wird die Rückgabe des Zulassungszeugnisses durch Vermittlung der zuständigen Behörde besorgt, zu der diese Untersuchungsstelle oder diese </w:t>
            </w:r>
            <w:r w:rsidRPr="0088229B">
              <w:rPr>
                <w:b/>
                <w:u w:val="single"/>
                <w:lang w:val="de-DE"/>
              </w:rPr>
              <w:t>anerkannte</w:t>
            </w:r>
            <w:r w:rsidRPr="0088229B">
              <w:rPr>
                <w:lang w:val="de-DE"/>
              </w:rPr>
              <w:t xml:space="preserve"> Klassifikationsgesellschaft gehört.</w:t>
            </w:r>
          </w:p>
        </w:tc>
      </w:tr>
      <w:tr w:rsidR="00FA58F8" w:rsidRPr="0088229B" w:rsidTr="00635F8D">
        <w:trPr>
          <w:cantSplit/>
        </w:trPr>
        <w:tc>
          <w:tcPr>
            <w:tcW w:w="959"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rPr>
            </w:pPr>
            <w:r w:rsidRPr="0088229B">
              <w:rPr>
                <w:b/>
                <w:bCs/>
              </w:rPr>
              <w:t>8.1.2</w:t>
            </w:r>
          </w:p>
        </w:tc>
        <w:tc>
          <w:tcPr>
            <w:tcW w:w="4995" w:type="dxa"/>
            <w:shd w:val="clear" w:color="auto" w:fill="auto"/>
          </w:tcPr>
          <w:p w:rsidR="00FA58F8" w:rsidRPr="0088229B" w:rsidRDefault="005B1B5E" w:rsidP="00B37697">
            <w:pPr>
              <w:pStyle w:val="SingleTxtG"/>
              <w:suppressAutoHyphens w:val="0"/>
              <w:spacing w:before="40" w:line="220" w:lineRule="exact"/>
              <w:ind w:left="0" w:right="113"/>
              <w:jc w:val="left"/>
              <w:rPr>
                <w:b/>
              </w:rPr>
            </w:pPr>
            <w:r w:rsidRPr="0088229B">
              <w:rPr>
                <w:b/>
              </w:rPr>
              <w:t>Dokumente</w:t>
            </w:r>
          </w:p>
        </w:tc>
        <w:tc>
          <w:tcPr>
            <w:tcW w:w="993"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u w:val="single"/>
              </w:rPr>
            </w:pPr>
            <w:r w:rsidRPr="0088229B">
              <w:rPr>
                <w:b/>
                <w:u w:val="single"/>
              </w:rPr>
              <w:t>8.1.2</w:t>
            </w:r>
          </w:p>
        </w:tc>
        <w:tc>
          <w:tcPr>
            <w:tcW w:w="5412" w:type="dxa"/>
            <w:shd w:val="clear" w:color="auto" w:fill="auto"/>
          </w:tcPr>
          <w:p w:rsidR="00FA58F8" w:rsidRPr="0088229B" w:rsidRDefault="005B1B5E" w:rsidP="00B37697">
            <w:pPr>
              <w:pStyle w:val="SingleTxtG"/>
              <w:suppressAutoHyphens w:val="0"/>
              <w:spacing w:before="40" w:line="220" w:lineRule="exact"/>
              <w:ind w:left="0" w:right="113"/>
              <w:jc w:val="left"/>
              <w:rPr>
                <w:b/>
              </w:rPr>
            </w:pPr>
            <w:r w:rsidRPr="0088229B">
              <w:rPr>
                <w:b/>
              </w:rPr>
              <w:t>Dokumente</w:t>
            </w:r>
          </w:p>
        </w:tc>
      </w:tr>
      <w:tr w:rsidR="00FA58F8" w:rsidRPr="0088229B" w:rsidTr="00635F8D">
        <w:trPr>
          <w:cantSplit/>
        </w:trPr>
        <w:tc>
          <w:tcPr>
            <w:tcW w:w="959"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bCs/>
              </w:rPr>
            </w:pPr>
            <w:r w:rsidRPr="0088229B">
              <w:rPr>
                <w:b/>
                <w:bCs/>
              </w:rPr>
              <w:t>8.1.2.3</w:t>
            </w:r>
          </w:p>
        </w:tc>
        <w:tc>
          <w:tcPr>
            <w:tcW w:w="4995" w:type="dxa"/>
            <w:shd w:val="clear" w:color="auto" w:fill="auto"/>
          </w:tcPr>
          <w:p w:rsidR="005B1B5E" w:rsidRPr="0088229B" w:rsidRDefault="005B1B5E" w:rsidP="005B1B5E">
            <w:pPr>
              <w:pStyle w:val="SingleTxtG"/>
              <w:suppressAutoHyphens w:val="0"/>
              <w:spacing w:before="40" w:line="220" w:lineRule="exact"/>
              <w:ind w:left="0" w:right="113"/>
              <w:jc w:val="left"/>
              <w:rPr>
                <w:lang w:val="de-DE"/>
              </w:rPr>
            </w:pPr>
            <w:r w:rsidRPr="0088229B">
              <w:rPr>
                <w:rFonts w:eastAsia="TimesNewRomanPSMT"/>
                <w:lang w:val="de-DE" w:eastAsia="fr-FR"/>
              </w:rPr>
              <w:t>e) das in Unterabschnitt 9.3.1.8, 9.3.2.8 oder 9.3.3.8 vorgeschriebene Klassifikationszeugnis;</w:t>
            </w:r>
          </w:p>
        </w:tc>
        <w:tc>
          <w:tcPr>
            <w:tcW w:w="993"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u w:val="single"/>
              </w:rPr>
            </w:pPr>
            <w:r w:rsidRPr="0088229B">
              <w:rPr>
                <w:b/>
                <w:u w:val="single"/>
              </w:rPr>
              <w:t>8.1.2.3</w:t>
            </w:r>
          </w:p>
        </w:tc>
        <w:tc>
          <w:tcPr>
            <w:tcW w:w="5412" w:type="dxa"/>
            <w:shd w:val="clear" w:color="auto" w:fill="auto"/>
          </w:tcPr>
          <w:p w:rsidR="00FA58F8" w:rsidRPr="0088229B" w:rsidRDefault="00BB1382" w:rsidP="007907E9">
            <w:pPr>
              <w:pStyle w:val="SingleTxtG"/>
              <w:suppressAutoHyphens w:val="0"/>
              <w:spacing w:before="40" w:line="220" w:lineRule="exact"/>
              <w:ind w:left="0" w:right="113"/>
              <w:jc w:val="left"/>
              <w:rPr>
                <w:lang w:val="de-DE"/>
              </w:rPr>
            </w:pPr>
            <w:r w:rsidRPr="0088229B">
              <w:rPr>
                <w:rFonts w:eastAsia="TimesNewRomanPSMT"/>
                <w:lang w:val="de-DE" w:eastAsia="fr-FR"/>
              </w:rPr>
              <w:t xml:space="preserve">e) </w:t>
            </w:r>
            <w:r w:rsidRPr="0088229B">
              <w:rPr>
                <w:rFonts w:eastAsia="TimesNewRomanPSMT"/>
                <w:b/>
                <w:u w:val="single"/>
                <w:lang w:val="de-DE" w:eastAsia="fr-FR"/>
              </w:rPr>
              <w:t>das</w:t>
            </w:r>
            <w:r w:rsidRPr="0088229B">
              <w:rPr>
                <w:rFonts w:eastAsia="TimesNewRomanPSMT"/>
                <w:lang w:val="de-DE" w:eastAsia="fr-FR"/>
              </w:rPr>
              <w:t xml:space="preserve"> in </w:t>
            </w:r>
            <w:r w:rsidRPr="0088229B">
              <w:rPr>
                <w:rFonts w:eastAsia="TimesNewRomanPSMT"/>
                <w:b/>
                <w:u w:val="single"/>
                <w:lang w:val="de-DE" w:eastAsia="fr-FR"/>
              </w:rPr>
              <w:t>Absatz</w:t>
            </w:r>
            <w:r w:rsidRPr="0088229B">
              <w:rPr>
                <w:rFonts w:eastAsia="TimesNewRomanPSMT"/>
                <w:lang w:val="de-DE" w:eastAsia="fr-FR"/>
              </w:rPr>
              <w:t xml:space="preserve"> </w:t>
            </w:r>
            <w:r w:rsidRPr="0088229B">
              <w:rPr>
                <w:rFonts w:eastAsia="TimesNewRomanPSMT"/>
                <w:b/>
                <w:u w:val="single"/>
                <w:lang w:val="de-DE" w:eastAsia="fr-FR"/>
              </w:rPr>
              <w:t>9.3.1.8.1</w:t>
            </w:r>
            <w:r w:rsidRPr="0088229B">
              <w:rPr>
                <w:rFonts w:eastAsia="TimesNewRomanPSMT"/>
                <w:lang w:val="de-DE" w:eastAsia="fr-FR"/>
              </w:rPr>
              <w:t xml:space="preserve">, </w:t>
            </w:r>
            <w:r w:rsidRPr="0088229B">
              <w:rPr>
                <w:rFonts w:eastAsia="TimesNewRomanPSMT"/>
                <w:b/>
                <w:u w:val="single"/>
                <w:lang w:val="de-DE" w:eastAsia="fr-FR"/>
              </w:rPr>
              <w:t>9.3.2.8.1</w:t>
            </w:r>
            <w:r w:rsidRPr="0088229B">
              <w:rPr>
                <w:rFonts w:eastAsia="TimesNewRomanPSMT"/>
                <w:lang w:val="de-DE" w:eastAsia="fr-FR"/>
              </w:rPr>
              <w:t xml:space="preserve"> oder </w:t>
            </w:r>
            <w:r w:rsidRPr="0088229B">
              <w:rPr>
                <w:rFonts w:eastAsia="TimesNewRomanPSMT"/>
                <w:b/>
                <w:u w:val="single"/>
                <w:lang w:val="de-DE" w:eastAsia="fr-FR"/>
              </w:rPr>
              <w:t>9.3.3.8.1</w:t>
            </w:r>
            <w:r w:rsidRPr="0088229B">
              <w:rPr>
                <w:rFonts w:eastAsia="TimesNewRomanPSMT"/>
                <w:lang w:val="de-DE" w:eastAsia="fr-FR"/>
              </w:rPr>
              <w:t xml:space="preserve"> vorgeschriebene </w:t>
            </w:r>
            <w:r w:rsidRPr="0088229B">
              <w:rPr>
                <w:rFonts w:eastAsia="TimesNewRomanPSMT"/>
                <w:b/>
                <w:u w:val="single"/>
                <w:lang w:val="de-DE" w:eastAsia="fr-FR"/>
              </w:rPr>
              <w:t>und von der anerkannten Klassifikationsgesellschaft erteilte Klassifikationszeugnis</w:t>
            </w:r>
            <w:r w:rsidRPr="0088229B">
              <w:rPr>
                <w:rFonts w:eastAsia="TimesNewRomanPSMT"/>
                <w:lang w:val="de-DE" w:eastAsia="fr-FR"/>
              </w:rPr>
              <w:t>;</w:t>
            </w:r>
          </w:p>
        </w:tc>
      </w:tr>
      <w:tr w:rsidR="00FA58F8" w:rsidRPr="0088229B" w:rsidTr="00635F8D">
        <w:trPr>
          <w:cantSplit/>
        </w:trPr>
        <w:tc>
          <w:tcPr>
            <w:tcW w:w="959"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bCs/>
              </w:rPr>
            </w:pPr>
            <w:r w:rsidRPr="0088229B">
              <w:rPr>
                <w:b/>
                <w:bCs/>
              </w:rPr>
              <w:lastRenderedPageBreak/>
              <w:t>9.1.0.1</w:t>
            </w:r>
          </w:p>
        </w:tc>
        <w:tc>
          <w:tcPr>
            <w:tcW w:w="4995" w:type="dxa"/>
            <w:shd w:val="clear" w:color="auto" w:fill="auto"/>
          </w:tcPr>
          <w:p w:rsidR="00FA58F8" w:rsidRPr="0088229B" w:rsidRDefault="0059170C" w:rsidP="00B36EED">
            <w:pPr>
              <w:pStyle w:val="SingleTxtG"/>
              <w:suppressAutoHyphens w:val="0"/>
              <w:spacing w:before="40" w:line="220" w:lineRule="exact"/>
              <w:ind w:left="0" w:right="113"/>
              <w:jc w:val="left"/>
              <w:rPr>
                <w:i/>
                <w:iCs/>
              </w:rPr>
            </w:pPr>
            <w:r w:rsidRPr="0088229B">
              <w:rPr>
                <w:i/>
                <w:iCs/>
              </w:rPr>
              <w:t>(bleibt offen)</w:t>
            </w:r>
          </w:p>
        </w:tc>
        <w:tc>
          <w:tcPr>
            <w:tcW w:w="993"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u w:val="single"/>
              </w:rPr>
            </w:pPr>
            <w:r w:rsidRPr="0088229B">
              <w:rPr>
                <w:b/>
                <w:bCs/>
                <w:u w:val="single"/>
              </w:rPr>
              <w:t>9.1.0.1</w:t>
            </w:r>
          </w:p>
        </w:tc>
        <w:tc>
          <w:tcPr>
            <w:tcW w:w="5412" w:type="dxa"/>
            <w:shd w:val="clear" w:color="auto" w:fill="auto"/>
          </w:tcPr>
          <w:p w:rsidR="00FA58F8" w:rsidRPr="0088229B" w:rsidRDefault="009A6F28" w:rsidP="00525493">
            <w:pPr>
              <w:pStyle w:val="SingleTxtG"/>
              <w:suppressAutoHyphens w:val="0"/>
              <w:spacing w:before="40" w:line="220" w:lineRule="exact"/>
              <w:ind w:left="0" w:right="113"/>
              <w:jc w:val="left"/>
              <w:rPr>
                <w:b/>
                <w:bCs/>
                <w:u w:val="single"/>
                <w:lang w:val="de-DE"/>
              </w:rPr>
            </w:pPr>
            <w:r w:rsidRPr="0088229B">
              <w:rPr>
                <w:b/>
                <w:bCs/>
                <w:u w:val="single"/>
                <w:lang w:val="de-DE"/>
              </w:rPr>
              <w:t>Schiffs</w:t>
            </w:r>
            <w:r w:rsidR="00525493" w:rsidRPr="0088229B">
              <w:rPr>
                <w:b/>
                <w:bCs/>
                <w:u w:val="single"/>
                <w:lang w:val="de-DE"/>
              </w:rPr>
              <w:t>akte</w:t>
            </w:r>
          </w:p>
          <w:p w:rsidR="00B06434" w:rsidRPr="0088229B" w:rsidRDefault="009A6F28" w:rsidP="00525493">
            <w:pPr>
              <w:pStyle w:val="SingleTxtG"/>
              <w:suppressAutoHyphens w:val="0"/>
              <w:spacing w:before="40" w:line="220" w:lineRule="exact"/>
              <w:ind w:left="0" w:right="113"/>
              <w:jc w:val="left"/>
              <w:rPr>
                <w:b/>
                <w:bCs/>
                <w:i/>
                <w:u w:val="single"/>
                <w:lang w:val="de-DE"/>
              </w:rPr>
            </w:pPr>
            <w:r w:rsidRPr="0088229B">
              <w:rPr>
                <w:b/>
                <w:bCs/>
                <w:i/>
                <w:u w:val="single"/>
                <w:lang w:val="de-DE"/>
              </w:rPr>
              <w:t>[Für Zwecke dieses Absatzes hat der Ausdruck „Eigner“ dieselbe Bedeutung wie in Abschnitt 1.16.0.]</w:t>
            </w:r>
          </w:p>
          <w:p w:rsidR="00FA58F8" w:rsidRPr="0088229B" w:rsidRDefault="009A6F28" w:rsidP="009A6F28">
            <w:pPr>
              <w:suppressAutoHyphens w:val="0"/>
              <w:spacing w:before="40" w:after="120" w:line="220" w:lineRule="exact"/>
              <w:ind w:right="113"/>
              <w:rPr>
                <w:b/>
                <w:bCs/>
                <w:u w:val="single"/>
                <w:lang w:val="de-DE"/>
              </w:rPr>
            </w:pPr>
            <w:r w:rsidRPr="0088229B">
              <w:rPr>
                <w:b/>
                <w:bCs/>
                <w:u w:val="single"/>
                <w:lang w:val="de-DE"/>
              </w:rPr>
              <w:t>Die Schiffsakte muss vom Eigner aufbewahrt werden, der in der Lage sein muss, diese Dokumente auf Anforderung der zuständigen Behörde und der anerkannten Klassifikationsgesellschaft vorzulegen.</w:t>
            </w:r>
            <w:r w:rsidR="00A00160" w:rsidRPr="0088229B">
              <w:rPr>
                <w:b/>
                <w:bCs/>
                <w:u w:val="single"/>
                <w:lang w:val="de-DE"/>
              </w:rPr>
              <w:t xml:space="preserve"> </w:t>
            </w:r>
          </w:p>
          <w:p w:rsidR="00FA58F8" w:rsidRPr="0088229B" w:rsidRDefault="000C2B7F" w:rsidP="000C2B7F">
            <w:pPr>
              <w:suppressAutoHyphens w:val="0"/>
              <w:spacing w:before="40" w:after="120" w:line="220" w:lineRule="exact"/>
              <w:ind w:right="113"/>
              <w:rPr>
                <w:b/>
                <w:bCs/>
                <w:u w:val="single"/>
                <w:lang w:val="de-DE"/>
              </w:rPr>
            </w:pPr>
            <w:r w:rsidRPr="0088229B">
              <w:rPr>
                <w:b/>
                <w:bCs/>
                <w:u w:val="single"/>
                <w:lang w:val="de-DE"/>
              </w:rPr>
              <w:t>Die Schiffsakte muss während der gesamten Lebensdauer des Schiffes geführt und aktualisiert und bis sechs Monate nach der Außerbetriebnahme des Schiffes aufbewahrt werden.</w:t>
            </w:r>
          </w:p>
          <w:p w:rsidR="00FA58F8" w:rsidRPr="0088229B" w:rsidRDefault="000C2B7F" w:rsidP="000C2B7F">
            <w:pPr>
              <w:suppressAutoHyphens w:val="0"/>
              <w:spacing w:before="40" w:after="120" w:line="220" w:lineRule="exact"/>
              <w:ind w:right="113"/>
              <w:rPr>
                <w:b/>
                <w:bCs/>
                <w:u w:val="single"/>
                <w:lang w:val="de-DE"/>
              </w:rPr>
            </w:pPr>
            <w:r w:rsidRPr="0088229B">
              <w:rPr>
                <w:b/>
                <w:bCs/>
                <w:u w:val="single"/>
                <w:lang w:val="de-DE"/>
              </w:rPr>
              <w:t>Bei einem Wechsel des Eigners während der Lebensdauer des Schiffes ist die Schiffsakte an den neuen Eigner zu übergeben.</w:t>
            </w:r>
          </w:p>
          <w:p w:rsidR="00FA58F8" w:rsidRPr="0088229B" w:rsidRDefault="000C2B7F" w:rsidP="007907E9">
            <w:pPr>
              <w:pStyle w:val="SingleTxtG"/>
              <w:suppressAutoHyphens w:val="0"/>
              <w:spacing w:before="40" w:line="220" w:lineRule="exact"/>
              <w:ind w:left="0" w:right="113"/>
              <w:jc w:val="left"/>
              <w:rPr>
                <w:b/>
                <w:bCs/>
                <w:i/>
                <w:iCs/>
                <w:u w:val="single"/>
                <w:lang w:val="de-DE"/>
              </w:rPr>
            </w:pPr>
            <w:r w:rsidRPr="0088229B">
              <w:rPr>
                <w:b/>
                <w:bCs/>
                <w:u w:val="single"/>
                <w:lang w:val="de-DE"/>
              </w:rPr>
              <w:t>Kopien der Schiffsakte und alle notwendigen Dokumente sind der zuständigen Behörde für die Erteilung des Zulassungszeugnisses und der anerkannten Klassifikationsgesellschaft oder</w:t>
            </w:r>
            <w:r w:rsidR="005E70B0" w:rsidRPr="0088229B">
              <w:rPr>
                <w:b/>
                <w:bCs/>
                <w:u w:val="single"/>
                <w:lang w:val="de-DE"/>
              </w:rPr>
              <w:t xml:space="preserve"> der Untersuchungsstelle</w:t>
            </w:r>
            <w:r w:rsidRPr="0088229B">
              <w:rPr>
                <w:b/>
                <w:bCs/>
                <w:u w:val="single"/>
                <w:lang w:val="de-DE"/>
              </w:rPr>
              <w:t xml:space="preserve"> für die Erstuntersuchung, Wiederholungsuntersuchung, Sonderuntersuchung oder außerordentliche Prüfungen zur Verfügung zu stellen.</w:t>
            </w:r>
          </w:p>
        </w:tc>
      </w:tr>
      <w:tr w:rsidR="00FA58F8" w:rsidRPr="0088229B" w:rsidTr="00635F8D">
        <w:trPr>
          <w:cantSplit/>
        </w:trPr>
        <w:tc>
          <w:tcPr>
            <w:tcW w:w="959" w:type="dxa"/>
            <w:gridSpan w:val="2"/>
            <w:shd w:val="clear" w:color="auto" w:fill="auto"/>
          </w:tcPr>
          <w:p w:rsidR="00FA58F8" w:rsidRPr="0088229B" w:rsidRDefault="00FA58F8" w:rsidP="005E70B0">
            <w:pPr>
              <w:pStyle w:val="SingleTxtG"/>
              <w:suppressAutoHyphens w:val="0"/>
              <w:spacing w:before="40" w:line="220" w:lineRule="exact"/>
              <w:ind w:left="0" w:right="113"/>
              <w:jc w:val="left"/>
              <w:rPr>
                <w:b/>
                <w:bCs/>
              </w:rPr>
            </w:pPr>
            <w:r w:rsidRPr="0088229B">
              <w:rPr>
                <w:b/>
                <w:bCs/>
              </w:rPr>
              <w:lastRenderedPageBreak/>
              <w:t>9.3.X.1</w:t>
            </w:r>
          </w:p>
        </w:tc>
        <w:tc>
          <w:tcPr>
            <w:tcW w:w="4995" w:type="dxa"/>
            <w:shd w:val="clear" w:color="auto" w:fill="auto"/>
          </w:tcPr>
          <w:p w:rsidR="00FA58F8" w:rsidRPr="0088229B" w:rsidRDefault="0059170C" w:rsidP="00B37697">
            <w:pPr>
              <w:pStyle w:val="SingleTxtG"/>
              <w:suppressAutoHyphens w:val="0"/>
              <w:spacing w:before="40" w:line="220" w:lineRule="exact"/>
              <w:ind w:left="0" w:right="113"/>
              <w:jc w:val="left"/>
              <w:rPr>
                <w:i/>
                <w:iCs/>
              </w:rPr>
            </w:pPr>
            <w:r w:rsidRPr="0088229B">
              <w:rPr>
                <w:i/>
                <w:iCs/>
              </w:rPr>
              <w:t>(bleibt offen)</w:t>
            </w:r>
          </w:p>
        </w:tc>
        <w:tc>
          <w:tcPr>
            <w:tcW w:w="993" w:type="dxa"/>
            <w:gridSpan w:val="2"/>
            <w:shd w:val="clear" w:color="auto" w:fill="auto"/>
          </w:tcPr>
          <w:p w:rsidR="00FA58F8" w:rsidRPr="0088229B" w:rsidRDefault="00FA58F8" w:rsidP="00B37697">
            <w:pPr>
              <w:pStyle w:val="SingleTxtG"/>
              <w:suppressAutoHyphens w:val="0"/>
              <w:spacing w:before="40" w:line="220" w:lineRule="exact"/>
              <w:ind w:left="0" w:right="113"/>
              <w:jc w:val="left"/>
              <w:rPr>
                <w:b/>
                <w:u w:val="single"/>
              </w:rPr>
            </w:pPr>
            <w:r w:rsidRPr="0088229B">
              <w:rPr>
                <w:b/>
                <w:bCs/>
                <w:u w:val="single"/>
              </w:rPr>
              <w:t>9.3.X.1</w:t>
            </w:r>
          </w:p>
        </w:tc>
        <w:tc>
          <w:tcPr>
            <w:tcW w:w="5412" w:type="dxa"/>
            <w:shd w:val="clear" w:color="auto" w:fill="auto"/>
          </w:tcPr>
          <w:p w:rsidR="00FA58F8" w:rsidRPr="0088229B" w:rsidRDefault="005E70B0" w:rsidP="005E70B0">
            <w:pPr>
              <w:pStyle w:val="SingleTxtG"/>
              <w:suppressAutoHyphens w:val="0"/>
              <w:spacing w:before="40" w:line="220" w:lineRule="exact"/>
              <w:ind w:left="0" w:right="113"/>
              <w:jc w:val="left"/>
              <w:rPr>
                <w:b/>
                <w:bCs/>
                <w:u w:val="single"/>
                <w:lang w:val="de-DE"/>
              </w:rPr>
            </w:pPr>
            <w:r w:rsidRPr="0088229B">
              <w:rPr>
                <w:b/>
                <w:bCs/>
                <w:u w:val="single"/>
                <w:lang w:val="de-DE"/>
              </w:rPr>
              <w:t>Schiffsakte</w:t>
            </w:r>
          </w:p>
          <w:p w:rsidR="00B06434" w:rsidRPr="0088229B" w:rsidRDefault="005E70B0" w:rsidP="005E70B0">
            <w:pPr>
              <w:pStyle w:val="SingleTxtG"/>
              <w:suppressAutoHyphens w:val="0"/>
              <w:spacing w:before="40" w:line="220" w:lineRule="exact"/>
              <w:ind w:left="0" w:right="113"/>
              <w:jc w:val="left"/>
              <w:rPr>
                <w:b/>
                <w:i/>
                <w:iCs/>
                <w:u w:val="single"/>
                <w:shd w:val="clear" w:color="auto" w:fill="B3B3B3"/>
                <w:lang w:val="de-DE"/>
              </w:rPr>
            </w:pPr>
            <w:r w:rsidRPr="0088229B">
              <w:rPr>
                <w:b/>
                <w:bCs/>
                <w:i/>
                <w:u w:val="single"/>
                <w:lang w:val="de-DE"/>
              </w:rPr>
              <w:t>[Für Zwecke dieses Absatzes hat der Ausdruck „Eigner“ dieselbe Bedeutung wie in Abschnitt 1.16.0.]</w:t>
            </w:r>
            <w:r w:rsidR="00B06434" w:rsidRPr="0088229B">
              <w:rPr>
                <w:b/>
                <w:i/>
                <w:iCs/>
                <w:u w:val="single"/>
                <w:shd w:val="clear" w:color="auto" w:fill="B3B3B3"/>
                <w:lang w:val="de-DE"/>
              </w:rPr>
              <w:t xml:space="preserve"> </w:t>
            </w:r>
          </w:p>
          <w:p w:rsidR="00FA58F8" w:rsidRPr="0088229B" w:rsidRDefault="005E70B0" w:rsidP="005E70B0">
            <w:pPr>
              <w:suppressAutoHyphens w:val="0"/>
              <w:spacing w:before="40" w:after="120" w:line="220" w:lineRule="exact"/>
              <w:ind w:right="113"/>
              <w:rPr>
                <w:b/>
                <w:bCs/>
                <w:u w:val="single"/>
                <w:lang w:val="de-DE"/>
              </w:rPr>
            </w:pPr>
            <w:r w:rsidRPr="0088229B">
              <w:rPr>
                <w:b/>
                <w:bCs/>
                <w:u w:val="single"/>
                <w:lang w:val="de-DE"/>
              </w:rPr>
              <w:t>Die Schiffsakte muss vom Eigner aufbewahrt werden, der in der Lage sein muss, diese Dokumente auf Anforderung der zuständigen Behörde und der anerkannten Klassifikationsgesellschaft vorzulegen.</w:t>
            </w:r>
          </w:p>
          <w:p w:rsidR="00FA58F8" w:rsidRPr="0088229B" w:rsidRDefault="005E70B0" w:rsidP="005E70B0">
            <w:pPr>
              <w:suppressAutoHyphens w:val="0"/>
              <w:spacing w:before="40" w:after="120" w:line="220" w:lineRule="exact"/>
              <w:ind w:right="113"/>
              <w:rPr>
                <w:b/>
                <w:bCs/>
                <w:u w:val="single"/>
                <w:lang w:val="de-DE"/>
              </w:rPr>
            </w:pPr>
            <w:r w:rsidRPr="0088229B">
              <w:rPr>
                <w:b/>
                <w:bCs/>
                <w:u w:val="single"/>
                <w:lang w:val="de-DE"/>
              </w:rPr>
              <w:t>Die Schiffsakte muss während der gesamten Lebensdauer des Schiffes geführt und aktualisiert und bis sechs Monate nach der Außerbetriebnahme des Schiffes aufbewahrt werden.</w:t>
            </w:r>
          </w:p>
          <w:p w:rsidR="00FA58F8" w:rsidRPr="0088229B" w:rsidRDefault="005E70B0" w:rsidP="005E70B0">
            <w:pPr>
              <w:suppressAutoHyphens w:val="0"/>
              <w:spacing w:before="40" w:after="120" w:line="220" w:lineRule="exact"/>
              <w:ind w:right="113"/>
              <w:rPr>
                <w:b/>
                <w:bCs/>
                <w:u w:val="single"/>
                <w:lang w:val="de-DE"/>
              </w:rPr>
            </w:pPr>
            <w:r w:rsidRPr="0088229B">
              <w:rPr>
                <w:b/>
                <w:bCs/>
                <w:u w:val="single"/>
                <w:lang w:val="de-DE"/>
              </w:rPr>
              <w:t>Bei einem Wechsel des Eigners während der Lebensdauer des Schiffes ist die Schiffsakte an den neuen Eigner zu übergeben.</w:t>
            </w:r>
          </w:p>
          <w:p w:rsidR="00FA58F8" w:rsidRPr="0088229B" w:rsidRDefault="005E70B0" w:rsidP="007907E9">
            <w:pPr>
              <w:pStyle w:val="SingleTxtG"/>
              <w:suppressAutoHyphens w:val="0"/>
              <w:spacing w:before="40" w:line="220" w:lineRule="exact"/>
              <w:ind w:left="0" w:right="113"/>
              <w:jc w:val="left"/>
              <w:rPr>
                <w:b/>
                <w:bCs/>
                <w:i/>
                <w:iCs/>
                <w:u w:val="single"/>
                <w:lang w:val="de-DE"/>
              </w:rPr>
            </w:pPr>
            <w:r w:rsidRPr="0088229B">
              <w:rPr>
                <w:b/>
                <w:bCs/>
                <w:u w:val="single"/>
                <w:lang w:val="de-DE"/>
              </w:rPr>
              <w:t>Kopien der Schiffsakte und alle notwendigen Dokumente sind der zuständigen Behörde für die Erteilung des Zulassungszeugnisses und der anerkannten Klassifikationsgesellschaft oder der Untersuchungsstelle für die Erstuntersuchung, Wiederholungsuntersuchung, Sonderuntersuchung oder außerordentliche Prüfungen zur Verfügung zu stellen.</w:t>
            </w:r>
          </w:p>
        </w:tc>
      </w:tr>
      <w:tr w:rsidR="00FA58F8" w:rsidRPr="0088229B" w:rsidTr="00C70675">
        <w:trPr>
          <w:cantSplit/>
        </w:trPr>
        <w:tc>
          <w:tcPr>
            <w:tcW w:w="930" w:type="dxa"/>
            <w:shd w:val="clear" w:color="auto" w:fill="auto"/>
          </w:tcPr>
          <w:p w:rsidR="00FA58F8" w:rsidRPr="0088229B" w:rsidRDefault="00FA58F8" w:rsidP="005E70B0">
            <w:pPr>
              <w:pStyle w:val="SingleTxtG"/>
              <w:keepNext/>
              <w:keepLines/>
              <w:suppressAutoHyphens w:val="0"/>
              <w:spacing w:before="40" w:line="220" w:lineRule="exact"/>
              <w:ind w:left="0" w:right="113"/>
              <w:jc w:val="left"/>
            </w:pPr>
            <w:r w:rsidRPr="0088229B">
              <w:rPr>
                <w:b/>
                <w:bCs/>
                <w:lang w:eastAsia="fr-FR"/>
              </w:rPr>
              <w:lastRenderedPageBreak/>
              <w:t>9.3.X.8</w:t>
            </w:r>
          </w:p>
        </w:tc>
        <w:tc>
          <w:tcPr>
            <w:tcW w:w="5024" w:type="dxa"/>
            <w:gridSpan w:val="2"/>
            <w:shd w:val="clear" w:color="auto" w:fill="auto"/>
          </w:tcPr>
          <w:p w:rsidR="00FA58F8" w:rsidRPr="0088229B" w:rsidRDefault="005B1B5E" w:rsidP="009D5B92">
            <w:pPr>
              <w:pStyle w:val="SingleTxtG"/>
              <w:keepNext/>
              <w:keepLines/>
              <w:suppressAutoHyphens w:val="0"/>
              <w:spacing w:before="40" w:line="220" w:lineRule="exact"/>
              <w:ind w:left="0" w:right="113"/>
              <w:jc w:val="left"/>
              <w:rPr>
                <w:b/>
              </w:rPr>
            </w:pPr>
            <w:r w:rsidRPr="0088229B">
              <w:rPr>
                <w:b/>
                <w:bCs/>
                <w:lang w:val="fr-FR"/>
              </w:rPr>
              <w:t>Klassifikation</w:t>
            </w:r>
          </w:p>
        </w:tc>
        <w:tc>
          <w:tcPr>
            <w:tcW w:w="941" w:type="dxa"/>
            <w:shd w:val="clear" w:color="auto" w:fill="auto"/>
          </w:tcPr>
          <w:p w:rsidR="00FA58F8" w:rsidRPr="0088229B" w:rsidRDefault="00FA58F8" w:rsidP="009D5B92">
            <w:pPr>
              <w:pStyle w:val="SingleTxtG"/>
              <w:keepNext/>
              <w:keepLines/>
              <w:suppressAutoHyphens w:val="0"/>
              <w:spacing w:before="40" w:line="220" w:lineRule="exact"/>
              <w:ind w:left="0" w:right="113"/>
              <w:jc w:val="left"/>
              <w:rPr>
                <w:u w:val="single"/>
              </w:rPr>
            </w:pPr>
            <w:r w:rsidRPr="0088229B">
              <w:rPr>
                <w:b/>
                <w:bCs/>
                <w:u w:val="single"/>
                <w:lang w:eastAsia="fr-FR"/>
              </w:rPr>
              <w:t>9.3.X.8</w:t>
            </w:r>
          </w:p>
        </w:tc>
        <w:tc>
          <w:tcPr>
            <w:tcW w:w="5464" w:type="dxa"/>
            <w:gridSpan w:val="2"/>
            <w:shd w:val="clear" w:color="auto" w:fill="auto"/>
          </w:tcPr>
          <w:p w:rsidR="00FA58F8" w:rsidRPr="0088229B" w:rsidRDefault="005B1B5E" w:rsidP="009D5B92">
            <w:pPr>
              <w:pStyle w:val="SingleTxtG"/>
              <w:keepNext/>
              <w:keepLines/>
              <w:suppressAutoHyphens w:val="0"/>
              <w:spacing w:before="40" w:line="220" w:lineRule="exact"/>
              <w:ind w:left="0" w:right="113"/>
              <w:jc w:val="left"/>
              <w:rPr>
                <w:b/>
              </w:rPr>
            </w:pPr>
            <w:r w:rsidRPr="0088229B">
              <w:rPr>
                <w:b/>
                <w:bCs/>
                <w:lang w:val="fr-FR"/>
              </w:rPr>
              <w:t>Klassifikation</w:t>
            </w:r>
          </w:p>
        </w:tc>
      </w:tr>
      <w:tr w:rsidR="00FA58F8" w:rsidRPr="0088229B" w:rsidTr="00C70675">
        <w:trPr>
          <w:cantSplit/>
        </w:trPr>
        <w:tc>
          <w:tcPr>
            <w:tcW w:w="930" w:type="dxa"/>
            <w:shd w:val="clear" w:color="auto" w:fill="auto"/>
          </w:tcPr>
          <w:p w:rsidR="00FA58F8" w:rsidRPr="0088229B" w:rsidRDefault="00FA58F8" w:rsidP="009D5B92">
            <w:pPr>
              <w:pStyle w:val="SingleTxtG"/>
              <w:keepNext/>
              <w:keepLines/>
              <w:suppressAutoHyphens w:val="0"/>
              <w:spacing w:before="40" w:line="220" w:lineRule="exact"/>
              <w:ind w:left="0" w:right="113"/>
              <w:jc w:val="left"/>
              <w:rPr>
                <w:b/>
                <w:bCs/>
              </w:rPr>
            </w:pPr>
            <w:r w:rsidRPr="0088229B">
              <w:rPr>
                <w:b/>
                <w:bCs/>
              </w:rPr>
              <w:t>9.3.X.8.1</w:t>
            </w:r>
          </w:p>
        </w:tc>
        <w:tc>
          <w:tcPr>
            <w:tcW w:w="5024" w:type="dxa"/>
            <w:gridSpan w:val="2"/>
            <w:shd w:val="clear" w:color="auto" w:fill="auto"/>
          </w:tcPr>
          <w:p w:rsidR="005B1B5E" w:rsidRPr="0088229B" w:rsidRDefault="005B1B5E" w:rsidP="005B1B5E">
            <w:pPr>
              <w:suppressAutoHyphens w:val="0"/>
              <w:autoSpaceDE w:val="0"/>
              <w:autoSpaceDN w:val="0"/>
              <w:adjustRightInd w:val="0"/>
              <w:spacing w:line="240" w:lineRule="auto"/>
              <w:rPr>
                <w:rFonts w:eastAsia="TimesNewRomanPSMT"/>
                <w:lang w:val="de-DE" w:eastAsia="fr-FR"/>
              </w:rPr>
            </w:pPr>
            <w:r w:rsidRPr="0088229B">
              <w:rPr>
                <w:rFonts w:eastAsia="TimesNewRomanPSMT"/>
                <w:lang w:val="de-DE" w:eastAsia="fr-FR"/>
              </w:rPr>
              <w:t>Das Tankschiff muss unter Aufsicht einer anerkannten Klassifikationsgesellschaft für deren höchste Klasse gebaut und in ihre höchste Klasse eingestuft sein.</w:t>
            </w:r>
          </w:p>
          <w:p w:rsidR="005B1B5E" w:rsidRPr="0088229B" w:rsidRDefault="005B1B5E" w:rsidP="005B1B5E">
            <w:pPr>
              <w:suppressAutoHyphens w:val="0"/>
              <w:autoSpaceDE w:val="0"/>
              <w:autoSpaceDN w:val="0"/>
              <w:adjustRightInd w:val="0"/>
              <w:spacing w:line="240" w:lineRule="auto"/>
              <w:rPr>
                <w:rFonts w:eastAsia="TimesNewRomanPSMT"/>
                <w:lang w:val="de-DE" w:eastAsia="fr-FR"/>
              </w:rPr>
            </w:pPr>
          </w:p>
          <w:p w:rsidR="005B1B5E" w:rsidRPr="0088229B" w:rsidRDefault="005B1B5E" w:rsidP="005B1B5E">
            <w:pPr>
              <w:suppressAutoHyphens w:val="0"/>
              <w:autoSpaceDE w:val="0"/>
              <w:autoSpaceDN w:val="0"/>
              <w:adjustRightInd w:val="0"/>
              <w:spacing w:line="240" w:lineRule="auto"/>
              <w:rPr>
                <w:rFonts w:eastAsia="TimesNewRomanPSMT"/>
                <w:lang w:val="de-DE" w:eastAsia="fr-FR"/>
              </w:rPr>
            </w:pPr>
            <w:r w:rsidRPr="0088229B">
              <w:rPr>
                <w:rFonts w:eastAsia="TimesNewRomanPSMT"/>
                <w:lang w:val="de-DE" w:eastAsia="fr-FR"/>
              </w:rPr>
              <w:t>Die höchste Klasse muss aufrechterhalten werden.</w:t>
            </w:r>
          </w:p>
          <w:p w:rsidR="005B1B5E" w:rsidRPr="0088229B" w:rsidRDefault="005B1B5E" w:rsidP="005B1B5E">
            <w:pPr>
              <w:suppressAutoHyphens w:val="0"/>
              <w:autoSpaceDE w:val="0"/>
              <w:autoSpaceDN w:val="0"/>
              <w:adjustRightInd w:val="0"/>
              <w:spacing w:line="240" w:lineRule="auto"/>
              <w:rPr>
                <w:rFonts w:eastAsia="TimesNewRomanPSMT"/>
                <w:lang w:val="de-DE" w:eastAsia="fr-FR"/>
              </w:rPr>
            </w:pPr>
          </w:p>
          <w:p w:rsidR="005B1B5E" w:rsidRPr="0088229B" w:rsidRDefault="005B1B5E" w:rsidP="005B1B5E">
            <w:pPr>
              <w:suppressAutoHyphens w:val="0"/>
              <w:autoSpaceDE w:val="0"/>
              <w:autoSpaceDN w:val="0"/>
              <w:adjustRightInd w:val="0"/>
              <w:spacing w:line="240" w:lineRule="auto"/>
              <w:rPr>
                <w:rFonts w:eastAsia="TimesNewRomanPSMT"/>
                <w:lang w:val="de-DE" w:eastAsia="fr-FR"/>
              </w:rPr>
            </w:pPr>
            <w:r w:rsidRPr="0088229B">
              <w:rPr>
                <w:rFonts w:eastAsia="TimesNewRomanPSMT"/>
                <w:lang w:val="de-DE" w:eastAsia="fr-FR"/>
              </w:rPr>
              <w:t xml:space="preserve">Die Klassifikationsgesellschaft muss ein Zeugnis erteilen, mit dem sie bestätigt, dass das Schiff den Vorschriften dieses Abschnitts </w:t>
            </w:r>
            <w:r w:rsidR="00D811FF" w:rsidRPr="0088229B">
              <w:rPr>
                <w:rFonts w:eastAsia="TimesNewRomanPSMT"/>
                <w:i/>
                <w:shd w:val="clear" w:color="auto" w:fill="FFFFFF"/>
                <w:lang w:val="de-DE" w:eastAsia="fr-FR"/>
              </w:rPr>
              <w:t>[</w:t>
            </w:r>
            <w:r w:rsidRPr="0088229B">
              <w:rPr>
                <w:rFonts w:eastAsia="TimesNewRomanPSMT"/>
                <w:i/>
                <w:shd w:val="clear" w:color="auto" w:fill="FFFFFF"/>
                <w:lang w:val="de-DE" w:eastAsia="fr-FR"/>
              </w:rPr>
              <w:t>und den für den Verwendungszweck des Schiffes zusätzlich geltenden Vorschriften und Regelungen der Klassifikationsgesellschaft</w:t>
            </w:r>
            <w:r w:rsidR="00D811FF" w:rsidRPr="0088229B">
              <w:rPr>
                <w:rFonts w:eastAsia="TimesNewRomanPSMT"/>
                <w:i/>
                <w:shd w:val="clear" w:color="auto" w:fill="FFFFFF"/>
                <w:lang w:val="de-DE" w:eastAsia="fr-FR"/>
              </w:rPr>
              <w:t>]</w:t>
            </w:r>
            <w:r w:rsidR="00D811FF" w:rsidRPr="0088229B">
              <w:rPr>
                <w:rFonts w:eastAsia="TimesNewRomanPSMT"/>
                <w:i/>
                <w:shd w:val="clear" w:color="auto" w:fill="FFFFFF"/>
                <w:vertAlign w:val="superscript"/>
                <w:lang w:val="de-DE" w:eastAsia="fr-FR"/>
              </w:rPr>
              <w:t>(*)</w:t>
            </w:r>
            <w:r w:rsidRPr="0088229B">
              <w:rPr>
                <w:rFonts w:eastAsia="TimesNewRomanPSMT"/>
                <w:lang w:val="de-DE" w:eastAsia="fr-FR"/>
              </w:rPr>
              <w:t xml:space="preserve"> entspricht (Klassifikationszeugnis).</w:t>
            </w:r>
          </w:p>
          <w:p w:rsidR="005B1B5E" w:rsidRPr="0088229B" w:rsidRDefault="005B1B5E" w:rsidP="005B1B5E">
            <w:pPr>
              <w:suppressAutoHyphens w:val="0"/>
              <w:autoSpaceDE w:val="0"/>
              <w:autoSpaceDN w:val="0"/>
              <w:adjustRightInd w:val="0"/>
              <w:spacing w:line="240" w:lineRule="auto"/>
              <w:rPr>
                <w:rFonts w:eastAsia="TimesNewRomanPSMT"/>
                <w:lang w:val="de-DE" w:eastAsia="fr-FR"/>
              </w:rPr>
            </w:pPr>
          </w:p>
          <w:p w:rsidR="005B1B5E" w:rsidRPr="0088229B" w:rsidRDefault="005B1B5E" w:rsidP="005B1B5E">
            <w:pPr>
              <w:suppressAutoHyphens w:val="0"/>
              <w:autoSpaceDE w:val="0"/>
              <w:autoSpaceDN w:val="0"/>
              <w:adjustRightInd w:val="0"/>
              <w:spacing w:line="240" w:lineRule="auto"/>
              <w:rPr>
                <w:rFonts w:eastAsia="TimesNewRomanPSMT"/>
                <w:lang w:val="de-DE" w:eastAsia="fr-FR"/>
              </w:rPr>
            </w:pPr>
            <w:r w:rsidRPr="0088229B">
              <w:rPr>
                <w:rFonts w:eastAsia="TimesNewRomanPSMT"/>
                <w:lang w:val="de-DE" w:eastAsia="fr-FR"/>
              </w:rPr>
              <w:t>Der Auslegungsdruck und der Prüfdruck des Ladetanks müssen in diesem Zeugnis vermerkt sein.</w:t>
            </w:r>
          </w:p>
          <w:p w:rsidR="005B1B5E" w:rsidRPr="0088229B" w:rsidRDefault="005B1B5E" w:rsidP="005B1B5E">
            <w:pPr>
              <w:suppressAutoHyphens w:val="0"/>
              <w:autoSpaceDE w:val="0"/>
              <w:autoSpaceDN w:val="0"/>
              <w:adjustRightInd w:val="0"/>
              <w:spacing w:line="240" w:lineRule="auto"/>
              <w:rPr>
                <w:rFonts w:eastAsia="TimesNewRomanPSMT"/>
                <w:lang w:val="de-DE" w:eastAsia="fr-FR"/>
              </w:rPr>
            </w:pPr>
          </w:p>
          <w:p w:rsidR="005B1B5E" w:rsidRPr="0088229B" w:rsidRDefault="005B1B5E" w:rsidP="005B1B5E">
            <w:pPr>
              <w:suppressAutoHyphens w:val="0"/>
              <w:autoSpaceDE w:val="0"/>
              <w:autoSpaceDN w:val="0"/>
              <w:adjustRightInd w:val="0"/>
              <w:spacing w:line="240" w:lineRule="auto"/>
              <w:rPr>
                <w:rFonts w:eastAsia="TimesNewRomanPSMT"/>
                <w:lang w:val="de-DE" w:eastAsia="fr-FR"/>
              </w:rPr>
            </w:pPr>
            <w:r w:rsidRPr="0088229B">
              <w:rPr>
                <w:rFonts w:eastAsia="TimesNewRomanPSMT"/>
                <w:lang w:val="de-DE" w:eastAsia="fr-FR"/>
              </w:rPr>
              <w:t>Hat ein Schiff Ladetanks mit verschiedenen Öffnungsdrücken der Ventile, müssen der Auslegungsdruck und Prüfdruck eines jeden einzelnen Tanks im Zeugnis vermerkt sein.</w:t>
            </w:r>
          </w:p>
          <w:p w:rsidR="00D811FF" w:rsidRPr="0088229B" w:rsidRDefault="00D811FF" w:rsidP="005B1B5E">
            <w:pPr>
              <w:suppressAutoHyphens w:val="0"/>
              <w:autoSpaceDE w:val="0"/>
              <w:autoSpaceDN w:val="0"/>
              <w:adjustRightInd w:val="0"/>
              <w:spacing w:line="240" w:lineRule="auto"/>
              <w:rPr>
                <w:rFonts w:eastAsia="TimesNewRomanPSMT"/>
                <w:lang w:val="de-DE" w:eastAsia="fr-FR"/>
              </w:rPr>
            </w:pPr>
          </w:p>
          <w:p w:rsidR="005B1B5E" w:rsidRPr="0088229B" w:rsidRDefault="005B1B5E" w:rsidP="005B1B5E">
            <w:pPr>
              <w:suppressAutoHyphens w:val="0"/>
              <w:autoSpaceDE w:val="0"/>
              <w:autoSpaceDN w:val="0"/>
              <w:adjustRightInd w:val="0"/>
              <w:spacing w:line="240" w:lineRule="auto"/>
              <w:rPr>
                <w:rFonts w:eastAsia="TimesNewRomanPSMT"/>
                <w:lang w:val="de-DE" w:eastAsia="fr-FR"/>
              </w:rPr>
            </w:pPr>
            <w:r w:rsidRPr="0088229B">
              <w:rPr>
                <w:rFonts w:eastAsia="TimesNewRomanPSMT"/>
                <w:lang w:val="de-DE" w:eastAsia="fr-FR"/>
              </w:rPr>
              <w:t>Die Klassifikationsgesellschaft muss eine Schiffsstoffliste erstellen, in der die im Tankschiff zur Beförderung zugelassenen gefährlichen Güter vermerkt sind (siehe auch Absatz 1.16.1.2.5).</w:t>
            </w:r>
          </w:p>
          <w:p w:rsidR="00766059" w:rsidRPr="0088229B" w:rsidRDefault="00766059" w:rsidP="009D5B92">
            <w:pPr>
              <w:pStyle w:val="SingleTxtG"/>
              <w:keepNext/>
              <w:keepLines/>
              <w:suppressAutoHyphens w:val="0"/>
              <w:spacing w:before="40" w:line="220" w:lineRule="exact"/>
              <w:ind w:left="0" w:right="113"/>
              <w:jc w:val="left"/>
              <w:rPr>
                <w:rFonts w:eastAsia="TimesNewRomanPSMT"/>
                <w:lang w:val="de-DE" w:eastAsia="fr-FR"/>
              </w:rPr>
            </w:pPr>
          </w:p>
          <w:p w:rsidR="00FA58F8" w:rsidRPr="0088229B" w:rsidRDefault="001007D8" w:rsidP="007907E9">
            <w:pPr>
              <w:pStyle w:val="SingleTxtG"/>
              <w:keepNext/>
              <w:keepLines/>
              <w:suppressAutoHyphens w:val="0"/>
              <w:spacing w:before="40" w:line="220" w:lineRule="exact"/>
              <w:ind w:left="0" w:right="113"/>
              <w:jc w:val="left"/>
              <w:rPr>
                <w:rFonts w:eastAsia="TimesNewRomanPSMT"/>
                <w:i/>
                <w:iCs/>
                <w:lang w:val="de-DE" w:eastAsia="fr-FR"/>
              </w:rPr>
            </w:pPr>
            <w:r w:rsidRPr="0088229B">
              <w:rPr>
                <w:rFonts w:eastAsia="TimesNewRomanPSMT"/>
                <w:i/>
                <w:shd w:val="clear" w:color="auto" w:fill="FFFFFF"/>
                <w:vertAlign w:val="superscript"/>
                <w:lang w:val="de-DE" w:eastAsia="fr-FR"/>
              </w:rPr>
              <w:t xml:space="preserve">(*) </w:t>
            </w:r>
            <w:r w:rsidRPr="0088229B">
              <w:rPr>
                <w:rFonts w:eastAsia="TimesNewRomanPSMT"/>
                <w:i/>
                <w:iCs/>
                <w:shd w:val="clear" w:color="auto" w:fill="FFFFFF"/>
                <w:lang w:val="de-DE" w:eastAsia="fr-FR"/>
              </w:rPr>
              <w:t>Der kursiv gesetzte Text in eckigen Klammern betrifft nur Absatz 9.3.1.8.1.</w:t>
            </w:r>
          </w:p>
        </w:tc>
        <w:tc>
          <w:tcPr>
            <w:tcW w:w="941" w:type="dxa"/>
            <w:shd w:val="clear" w:color="auto" w:fill="auto"/>
          </w:tcPr>
          <w:p w:rsidR="00FA58F8" w:rsidRPr="0088229B" w:rsidRDefault="00FA58F8" w:rsidP="001007D8">
            <w:pPr>
              <w:pStyle w:val="SingleTxtG"/>
              <w:keepNext/>
              <w:keepLines/>
              <w:suppressAutoHyphens w:val="0"/>
              <w:spacing w:before="40" w:line="220" w:lineRule="exact"/>
              <w:ind w:left="0" w:right="113"/>
              <w:jc w:val="left"/>
              <w:rPr>
                <w:b/>
                <w:u w:val="single"/>
              </w:rPr>
            </w:pPr>
            <w:r w:rsidRPr="0088229B">
              <w:rPr>
                <w:b/>
                <w:u w:val="single"/>
              </w:rPr>
              <w:t>9.3.X.8.1</w:t>
            </w:r>
          </w:p>
        </w:tc>
        <w:tc>
          <w:tcPr>
            <w:tcW w:w="5464" w:type="dxa"/>
            <w:gridSpan w:val="2"/>
            <w:shd w:val="clear" w:color="auto" w:fill="auto"/>
          </w:tcPr>
          <w:p w:rsidR="00D811FF" w:rsidRPr="0088229B" w:rsidRDefault="00D811FF" w:rsidP="00D811FF">
            <w:pPr>
              <w:suppressAutoHyphens w:val="0"/>
              <w:autoSpaceDE w:val="0"/>
              <w:autoSpaceDN w:val="0"/>
              <w:adjustRightInd w:val="0"/>
              <w:spacing w:line="240" w:lineRule="auto"/>
              <w:rPr>
                <w:rFonts w:eastAsia="TimesNewRomanPSMT"/>
                <w:lang w:val="de-DE" w:eastAsia="fr-FR"/>
              </w:rPr>
            </w:pPr>
            <w:r w:rsidRPr="0088229B">
              <w:rPr>
                <w:rFonts w:eastAsia="TimesNewRomanPSMT"/>
                <w:lang w:val="de-DE" w:eastAsia="fr-FR"/>
              </w:rPr>
              <w:t>Das Tankschiff muss unter Aufsicht einer anerkannten Klassifikationsgesellschaft für deren höchste Klasse gebaut und in ihre höchste Klasse eingestuft sein.</w:t>
            </w:r>
          </w:p>
          <w:p w:rsidR="00D811FF" w:rsidRPr="0088229B" w:rsidRDefault="00D811FF" w:rsidP="00D811FF">
            <w:pPr>
              <w:suppressAutoHyphens w:val="0"/>
              <w:autoSpaceDE w:val="0"/>
              <w:autoSpaceDN w:val="0"/>
              <w:adjustRightInd w:val="0"/>
              <w:spacing w:line="240" w:lineRule="auto"/>
              <w:rPr>
                <w:rFonts w:eastAsia="TimesNewRomanPSMT"/>
                <w:lang w:val="de-DE" w:eastAsia="fr-FR"/>
              </w:rPr>
            </w:pPr>
          </w:p>
          <w:p w:rsidR="00FA58F8" w:rsidRPr="0088229B" w:rsidRDefault="00D811FF" w:rsidP="00D811FF">
            <w:pPr>
              <w:suppressAutoHyphens w:val="0"/>
              <w:autoSpaceDE w:val="0"/>
              <w:autoSpaceDN w:val="0"/>
              <w:adjustRightInd w:val="0"/>
              <w:spacing w:line="240" w:lineRule="auto"/>
              <w:rPr>
                <w:rFonts w:eastAsia="TimesNewRomanPSMT"/>
                <w:lang w:val="de-DE" w:eastAsia="fr-FR"/>
              </w:rPr>
            </w:pPr>
            <w:r w:rsidRPr="0088229B">
              <w:rPr>
                <w:rFonts w:eastAsia="TimesNewRomanPSMT"/>
                <w:lang w:val="de-DE" w:eastAsia="fr-FR"/>
              </w:rPr>
              <w:t xml:space="preserve">Die höchste Klasse muss aufrechterhalten werden. </w:t>
            </w:r>
            <w:r w:rsidR="005E70B0" w:rsidRPr="0088229B">
              <w:rPr>
                <w:rFonts w:eastAsia="TimesNewRomanPSMT"/>
                <w:b/>
                <w:u w:val="single"/>
                <w:lang w:val="de-DE" w:eastAsia="fr-FR"/>
              </w:rPr>
              <w:t xml:space="preserve">Dies muss durch eine </w:t>
            </w:r>
            <w:r w:rsidR="00E62C81" w:rsidRPr="0088229B">
              <w:rPr>
                <w:rFonts w:eastAsia="TimesNewRomanPSMT"/>
                <w:b/>
                <w:u w:val="single"/>
                <w:lang w:val="de-DE" w:eastAsia="fr-FR"/>
              </w:rPr>
              <w:t>entsprechende</w:t>
            </w:r>
            <w:r w:rsidR="005E70B0" w:rsidRPr="0088229B">
              <w:rPr>
                <w:rFonts w:eastAsia="TimesNewRomanPSMT"/>
                <w:b/>
                <w:u w:val="single"/>
                <w:lang w:val="de-DE" w:eastAsia="fr-FR"/>
              </w:rPr>
              <w:t xml:space="preserve"> Bescheinigung der anerkannten Klassifikationsgesellschaft (Klassifikationszeugnis) bestätigt sein.</w:t>
            </w:r>
          </w:p>
          <w:p w:rsidR="00FA58F8" w:rsidRPr="0088229B" w:rsidRDefault="00E62C81" w:rsidP="001007D8">
            <w:pPr>
              <w:pStyle w:val="SingleTxtG"/>
              <w:keepNext/>
              <w:keepLines/>
              <w:suppressAutoHyphens w:val="0"/>
              <w:spacing w:before="40" w:line="220" w:lineRule="exact"/>
              <w:ind w:left="0" w:right="113"/>
              <w:jc w:val="left"/>
              <w:rPr>
                <w:rFonts w:eastAsia="TimesNewRomanPSMT"/>
                <w:shd w:val="clear" w:color="auto" w:fill="CCFFCC"/>
                <w:lang w:val="de-DE" w:eastAsia="fr-FR"/>
              </w:rPr>
            </w:pPr>
            <w:r w:rsidRPr="0088229B">
              <w:rPr>
                <w:rFonts w:eastAsia="TimesNewRomanPSMT"/>
                <w:b/>
                <w:u w:val="single"/>
                <w:shd w:val="clear" w:color="auto" w:fill="FFFFFF"/>
                <w:lang w:val="de-DE" w:eastAsia="fr-FR"/>
              </w:rPr>
              <w:t>[Durch das Klassifikationszeugnis wird bescheinigt, dass das Schiff den für seinen Verwendungszweck zusätzlich geltenden eigenen Vorschriften und Regelungen entspricht</w:t>
            </w:r>
            <w:r w:rsidRPr="0088229B">
              <w:rPr>
                <w:rFonts w:eastAsia="TimesNewRomanPSMT"/>
                <w:b/>
                <w:u w:val="single"/>
                <w:shd w:val="clear" w:color="auto" w:fill="FFFFFF"/>
                <w:vertAlign w:val="superscript"/>
                <w:lang w:val="de-DE" w:eastAsia="fr-FR"/>
              </w:rPr>
              <w:t>(**)</w:t>
            </w:r>
            <w:r w:rsidRPr="0088229B">
              <w:rPr>
                <w:rFonts w:eastAsia="TimesNewRomanPSMT"/>
                <w:b/>
                <w:u w:val="single"/>
                <w:shd w:val="clear" w:color="auto" w:fill="FFFFFF"/>
                <w:lang w:val="de-DE" w:eastAsia="fr-FR"/>
              </w:rPr>
              <w:t>.]</w:t>
            </w:r>
          </w:p>
          <w:p w:rsidR="0094315C" w:rsidRPr="0088229B" w:rsidRDefault="0094315C" w:rsidP="0094315C">
            <w:pPr>
              <w:suppressAutoHyphens w:val="0"/>
              <w:autoSpaceDE w:val="0"/>
              <w:autoSpaceDN w:val="0"/>
              <w:adjustRightInd w:val="0"/>
              <w:spacing w:line="240" w:lineRule="auto"/>
              <w:rPr>
                <w:rFonts w:eastAsia="TimesNewRomanPSMT"/>
                <w:lang w:val="de-DE" w:eastAsia="fr-FR"/>
              </w:rPr>
            </w:pPr>
            <w:r w:rsidRPr="0088229B">
              <w:rPr>
                <w:rFonts w:eastAsia="TimesNewRomanPSMT"/>
                <w:lang w:val="de-DE" w:eastAsia="fr-FR"/>
              </w:rPr>
              <w:t>Der Auslegungsdruck und der Prüfdruck des Ladetanks müssen in diesem Zeugnis vermerkt sein.</w:t>
            </w:r>
          </w:p>
          <w:p w:rsidR="0094315C" w:rsidRPr="0088229B" w:rsidRDefault="0094315C" w:rsidP="0094315C">
            <w:pPr>
              <w:suppressAutoHyphens w:val="0"/>
              <w:autoSpaceDE w:val="0"/>
              <w:autoSpaceDN w:val="0"/>
              <w:adjustRightInd w:val="0"/>
              <w:spacing w:line="240" w:lineRule="auto"/>
              <w:rPr>
                <w:rFonts w:eastAsia="TimesNewRomanPSMT"/>
                <w:lang w:val="de-DE" w:eastAsia="fr-FR"/>
              </w:rPr>
            </w:pPr>
          </w:p>
          <w:p w:rsidR="0094315C" w:rsidRPr="0088229B" w:rsidRDefault="0094315C" w:rsidP="0094315C">
            <w:pPr>
              <w:suppressAutoHyphens w:val="0"/>
              <w:autoSpaceDE w:val="0"/>
              <w:autoSpaceDN w:val="0"/>
              <w:adjustRightInd w:val="0"/>
              <w:spacing w:line="240" w:lineRule="auto"/>
              <w:rPr>
                <w:rFonts w:eastAsia="TimesNewRomanPSMT"/>
                <w:lang w:val="de-DE" w:eastAsia="fr-FR"/>
              </w:rPr>
            </w:pPr>
            <w:r w:rsidRPr="0088229B">
              <w:rPr>
                <w:rFonts w:eastAsia="TimesNewRomanPSMT"/>
                <w:lang w:val="de-DE" w:eastAsia="fr-FR"/>
              </w:rPr>
              <w:t>Hat ein Schiff Ladetanks mit verschiedenen Öffnungsdrücken der Ventile, müssen der Auslegungsdruck und Prüfdruck eines jeden einzelnen Tanks im Zeugnis vermerkt sein.</w:t>
            </w:r>
          </w:p>
          <w:p w:rsidR="0094315C" w:rsidRPr="0088229B" w:rsidRDefault="0094315C" w:rsidP="0094315C">
            <w:pPr>
              <w:suppressAutoHyphens w:val="0"/>
              <w:autoSpaceDE w:val="0"/>
              <w:autoSpaceDN w:val="0"/>
              <w:adjustRightInd w:val="0"/>
              <w:spacing w:line="240" w:lineRule="auto"/>
              <w:rPr>
                <w:rFonts w:eastAsia="TimesNewRomanPSMT"/>
                <w:lang w:val="de-DE" w:eastAsia="fr-FR"/>
              </w:rPr>
            </w:pPr>
          </w:p>
          <w:p w:rsidR="0094315C" w:rsidRPr="0088229B" w:rsidRDefault="0094315C" w:rsidP="0094315C">
            <w:pPr>
              <w:suppressAutoHyphens w:val="0"/>
              <w:autoSpaceDE w:val="0"/>
              <w:autoSpaceDN w:val="0"/>
              <w:adjustRightInd w:val="0"/>
              <w:spacing w:line="240" w:lineRule="auto"/>
              <w:rPr>
                <w:rFonts w:eastAsia="TimesNewRomanPSMT"/>
                <w:lang w:val="de-DE" w:eastAsia="fr-FR"/>
              </w:rPr>
            </w:pPr>
            <w:r w:rsidRPr="0088229B">
              <w:rPr>
                <w:rFonts w:eastAsia="TimesNewRomanPSMT"/>
                <w:lang w:val="de-DE" w:eastAsia="fr-FR"/>
              </w:rPr>
              <w:t xml:space="preserve">Die </w:t>
            </w:r>
            <w:r w:rsidRPr="0088229B">
              <w:rPr>
                <w:rFonts w:eastAsia="TimesNewRomanPSMT"/>
                <w:b/>
                <w:u w:val="single"/>
                <w:lang w:val="de-DE" w:eastAsia="fr-FR"/>
              </w:rPr>
              <w:t>anerkannte</w:t>
            </w:r>
            <w:r w:rsidRPr="0088229B">
              <w:rPr>
                <w:rFonts w:eastAsia="TimesNewRomanPSMT"/>
                <w:lang w:val="de-DE" w:eastAsia="fr-FR"/>
              </w:rPr>
              <w:t xml:space="preserve"> Klassifikationsgesellschaft muss eine Schiffsstoffliste erstellen, in der die im Tankschiff zur Beförderung zugelassenen gefährlichen Güter vermerkt sind (siehe auch Absatz 1.16.1.2.5).</w:t>
            </w:r>
          </w:p>
          <w:p w:rsidR="00FA58F8" w:rsidRPr="0088229B" w:rsidRDefault="00FA58F8" w:rsidP="009D5B92">
            <w:pPr>
              <w:pStyle w:val="SingleTxtG"/>
              <w:keepNext/>
              <w:keepLines/>
              <w:suppressAutoHyphens w:val="0"/>
              <w:spacing w:before="40" w:line="220" w:lineRule="exact"/>
              <w:ind w:left="0" w:right="113"/>
              <w:jc w:val="left"/>
              <w:rPr>
                <w:rFonts w:eastAsia="TimesNewRomanPSMT"/>
                <w:lang w:val="de-DE" w:eastAsia="fr-FR"/>
              </w:rPr>
            </w:pPr>
          </w:p>
          <w:p w:rsidR="00FA58F8" w:rsidRPr="0088229B" w:rsidRDefault="001007D8" w:rsidP="007907E9">
            <w:pPr>
              <w:pStyle w:val="SingleTxtG"/>
              <w:keepNext/>
              <w:keepLines/>
              <w:suppressAutoHyphens w:val="0"/>
              <w:spacing w:before="40" w:line="220" w:lineRule="exact"/>
              <w:ind w:left="0" w:right="113"/>
              <w:jc w:val="left"/>
              <w:rPr>
                <w:rFonts w:eastAsia="TimesNewRomanPSMT"/>
                <w:bCs/>
                <w:i/>
                <w:iCs/>
                <w:lang w:val="de-DE" w:eastAsia="fr-FR"/>
              </w:rPr>
            </w:pPr>
            <w:r w:rsidRPr="0088229B">
              <w:rPr>
                <w:rFonts w:eastAsia="TimesNewRomanPSMT"/>
                <w:b/>
                <w:shd w:val="clear" w:color="auto" w:fill="FFFFFF"/>
                <w:vertAlign w:val="superscript"/>
                <w:lang w:val="de-DE" w:eastAsia="fr-FR"/>
              </w:rPr>
              <w:t xml:space="preserve">(**) </w:t>
            </w:r>
            <w:r w:rsidRPr="0088229B">
              <w:rPr>
                <w:rFonts w:eastAsia="TimesNewRomanPSMT"/>
                <w:bCs/>
                <w:i/>
                <w:iCs/>
                <w:shd w:val="clear" w:color="auto" w:fill="FFFFFF"/>
                <w:lang w:val="de-DE" w:eastAsia="fr-FR"/>
              </w:rPr>
              <w:t>Der fett und unterstrichen dargestellte Text betrifft nur Absatz 9.3.1.8.1 (z. B. zur Regelung der Massengutbeförderung von LNG).</w:t>
            </w:r>
            <w:r w:rsidR="00FA58F8" w:rsidRPr="0088229B">
              <w:rPr>
                <w:rFonts w:eastAsia="TimesNewRomanPSMT"/>
                <w:bCs/>
                <w:i/>
                <w:iCs/>
                <w:shd w:val="clear" w:color="auto" w:fill="B3B3B3"/>
                <w:lang w:val="de-DE" w:eastAsia="fr-FR"/>
              </w:rPr>
              <w:t xml:space="preserve"> </w:t>
            </w:r>
          </w:p>
        </w:tc>
      </w:tr>
    </w:tbl>
    <w:p w:rsidR="008B29D4" w:rsidRPr="0088229B" w:rsidRDefault="008B29D4">
      <w:pPr>
        <w:rPr>
          <w:lang w:val="de-DE"/>
        </w:rPr>
      </w:pPr>
    </w:p>
    <w:p w:rsidR="008B29D4" w:rsidRPr="0088229B" w:rsidRDefault="008B29D4">
      <w:pPr>
        <w:rPr>
          <w:lang w:val="de-DE"/>
        </w:rPr>
      </w:pPr>
    </w:p>
    <w:p w:rsidR="008B29D4" w:rsidRPr="0088229B" w:rsidRDefault="008B29D4">
      <w:pPr>
        <w:rPr>
          <w:lang w:val="de-DE"/>
        </w:rPr>
        <w:sectPr w:rsidR="008B29D4" w:rsidRPr="0088229B" w:rsidSect="00E7429E">
          <w:headerReference w:type="even" r:id="rId15"/>
          <w:headerReference w:type="default" r:id="rId16"/>
          <w:footerReference w:type="even" r:id="rId17"/>
          <w:footerReference w:type="default" r:id="rId18"/>
          <w:headerReference w:type="first" r:id="rId19"/>
          <w:endnotePr>
            <w:numFmt w:val="decimal"/>
          </w:endnotePr>
          <w:pgSz w:w="16840" w:h="11907" w:orient="landscape" w:code="9"/>
          <w:pgMar w:top="1134" w:right="1701" w:bottom="1134" w:left="2268" w:header="567" w:footer="567" w:gutter="0"/>
          <w:cols w:space="720"/>
          <w:docGrid w:linePitch="272"/>
        </w:sectPr>
      </w:pPr>
    </w:p>
    <w:p w:rsidR="007848CB" w:rsidRPr="0088229B" w:rsidRDefault="005B1B5E" w:rsidP="001007D8">
      <w:pPr>
        <w:pStyle w:val="HChG"/>
        <w:rPr>
          <w:lang w:val="de-DE"/>
        </w:rPr>
      </w:pPr>
      <w:r w:rsidRPr="0088229B">
        <w:rPr>
          <w:lang w:val="de-DE"/>
        </w:rPr>
        <w:lastRenderedPageBreak/>
        <w:t>Anlage</w:t>
      </w:r>
      <w:r w:rsidR="007848CB" w:rsidRPr="0088229B">
        <w:rPr>
          <w:lang w:val="de-DE"/>
        </w:rPr>
        <w:t xml:space="preserve"> 2</w:t>
      </w:r>
    </w:p>
    <w:p w:rsidR="007848CB" w:rsidRPr="0088229B" w:rsidRDefault="00B37697" w:rsidP="001007D8">
      <w:pPr>
        <w:pStyle w:val="HChG"/>
        <w:rPr>
          <w:lang w:val="de-DE"/>
        </w:rPr>
      </w:pPr>
      <w:r w:rsidRPr="0088229B">
        <w:rPr>
          <w:lang w:val="de-DE"/>
        </w:rPr>
        <w:tab/>
      </w:r>
      <w:r w:rsidRPr="0088229B">
        <w:rPr>
          <w:lang w:val="de-DE"/>
        </w:rPr>
        <w:tab/>
      </w:r>
      <w:r w:rsidR="001007D8" w:rsidRPr="0088229B">
        <w:rPr>
          <w:lang w:val="de-DE"/>
        </w:rPr>
        <w:t>Zusätzliche Änderungen infolge der Prüfung des Dokuments ECE/TRANS/WP.15/AC.2/56</w:t>
      </w:r>
    </w:p>
    <w:p w:rsidR="004808A8" w:rsidRPr="0088229B" w:rsidRDefault="001007D8" w:rsidP="001007D8">
      <w:pPr>
        <w:pStyle w:val="SingleTxtG"/>
        <w:rPr>
          <w:lang w:val="de-DE"/>
        </w:rPr>
      </w:pPr>
      <w:r w:rsidRPr="0088229B">
        <w:rPr>
          <w:lang w:val="de-DE"/>
        </w:rPr>
        <w:t>In Abschnitt 18 des Dokuments ECE/TRANS/WP.15/AC.2/56 heißt es:</w:t>
      </w:r>
    </w:p>
    <w:p w:rsidR="00806A75" w:rsidRPr="0088229B" w:rsidRDefault="00F36D0F" w:rsidP="00FA0884">
      <w:pPr>
        <w:pStyle w:val="SingleTxtG"/>
        <w:rPr>
          <w:lang w:val="de-DE"/>
        </w:rPr>
      </w:pPr>
      <w:r w:rsidRPr="0088229B">
        <w:rPr>
          <w:lang w:val="de-DE"/>
        </w:rPr>
        <w:t>1</w:t>
      </w:r>
      <w:r w:rsidR="009933A5" w:rsidRPr="0088229B">
        <w:rPr>
          <w:lang w:val="de-DE"/>
        </w:rPr>
        <w:t>.</w:t>
      </w:r>
      <w:r w:rsidRPr="0088229B">
        <w:rPr>
          <w:lang w:val="de-DE"/>
        </w:rPr>
        <w:tab/>
      </w:r>
      <w:r w:rsidR="001007D8" w:rsidRPr="0088229B">
        <w:rPr>
          <w:lang w:val="de-DE"/>
        </w:rPr>
        <w:t xml:space="preserve">Absatz 63: </w:t>
      </w:r>
      <w:r w:rsidR="001007D8" w:rsidRPr="0088229B">
        <w:rPr>
          <w:i/>
          <w:lang w:val="de-DE"/>
        </w:rPr>
        <w:t>„</w:t>
      </w:r>
      <w:r w:rsidR="00FA0884" w:rsidRPr="0088229B">
        <w:rPr>
          <w:i/>
          <w:w w:val="103"/>
          <w:lang w:val="de-DE"/>
        </w:rPr>
        <w:t>Insbesondere wurde beschlossen, wo relevant, immer den Ausdruck „anerkannte Klassifikationsgesellschaft“ statt „Klassifikationsgesellschaft“ oder „empfohlenene Klassifikationsgesellschaft“ zu verwenden.</w:t>
      </w:r>
      <w:r w:rsidR="007848CB" w:rsidRPr="0088229B">
        <w:rPr>
          <w:i/>
          <w:lang w:val="de-DE"/>
        </w:rPr>
        <w:t xml:space="preserve"> </w:t>
      </w:r>
      <w:r w:rsidR="00FA0884" w:rsidRPr="0088229B">
        <w:rPr>
          <w:i/>
          <w:w w:val="103"/>
          <w:lang w:val="de-DE"/>
        </w:rPr>
        <w:t>Die Verordnung muss diesbezüglich daher vollständig überprüft werden.</w:t>
      </w:r>
      <w:r w:rsidR="00FA0884" w:rsidRPr="0088229B">
        <w:rPr>
          <w:w w:val="103"/>
          <w:lang w:val="de-DE"/>
        </w:rPr>
        <w:t>“</w:t>
      </w:r>
    </w:p>
    <w:p w:rsidR="007848CB" w:rsidRPr="0088229B" w:rsidRDefault="00FA0884" w:rsidP="00FA0884">
      <w:pPr>
        <w:pStyle w:val="SingleTxtG"/>
        <w:rPr>
          <w:lang w:val="de-DE"/>
        </w:rPr>
      </w:pPr>
      <w:r w:rsidRPr="0088229B">
        <w:rPr>
          <w:lang w:val="de-DE"/>
        </w:rPr>
        <w:t>Folgende Folgeänderungen werden vorgeschlagen:</w:t>
      </w:r>
    </w:p>
    <w:p w:rsidR="00F36D0F" w:rsidRPr="0088229B" w:rsidRDefault="00FA0884" w:rsidP="00FA0884">
      <w:pPr>
        <w:pStyle w:val="Bullet1G"/>
        <w:rPr>
          <w:lang w:val="de-DE"/>
        </w:rPr>
      </w:pPr>
      <w:r w:rsidRPr="0088229B">
        <w:rPr>
          <w:u w:val="single"/>
          <w:lang w:val="de-DE"/>
        </w:rPr>
        <w:t>1.16.1.2.5</w:t>
      </w:r>
      <w:r w:rsidR="000D63C6">
        <w:rPr>
          <w:u w:val="single"/>
          <w:lang w:val="de-DE"/>
        </w:rPr>
        <w:t xml:space="preserve"> (</w:t>
      </w:r>
      <w:r w:rsidRPr="0088229B">
        <w:rPr>
          <w:u w:val="single"/>
          <w:lang w:val="de-DE"/>
        </w:rPr>
        <w:t>3</w:t>
      </w:r>
      <w:r w:rsidR="000D63C6">
        <w:rPr>
          <w:u w:val="single"/>
          <w:lang w:val="de-DE"/>
        </w:rPr>
        <w:t>. Absatz</w:t>
      </w:r>
      <w:r w:rsidRPr="0088229B">
        <w:rPr>
          <w:u w:val="single"/>
          <w:lang w:val="de-DE"/>
        </w:rPr>
        <w:t>)</w:t>
      </w:r>
      <w:r w:rsidR="00A1385B" w:rsidRPr="0088229B">
        <w:rPr>
          <w:lang w:val="de-DE"/>
        </w:rPr>
        <w:t xml:space="preserve"> </w:t>
      </w:r>
      <w:r w:rsidR="005727EA" w:rsidRPr="0088229B">
        <w:rPr>
          <w:i/>
          <w:lang w:val="de-DE"/>
        </w:rPr>
        <w:t>in o.</w:t>
      </w:r>
      <w:r w:rsidRPr="0088229B">
        <w:rPr>
          <w:i/>
          <w:lang w:val="de-DE"/>
        </w:rPr>
        <w:t> </w:t>
      </w:r>
      <w:r w:rsidR="005727EA" w:rsidRPr="0088229B">
        <w:rPr>
          <w:i/>
          <w:lang w:val="de-DE"/>
        </w:rPr>
        <w:t xml:space="preserve">g. Anlage </w:t>
      </w:r>
      <w:r w:rsidR="00766059" w:rsidRPr="0088229B">
        <w:rPr>
          <w:i/>
          <w:lang w:val="de-DE"/>
        </w:rPr>
        <w:t xml:space="preserve">1 </w:t>
      </w:r>
      <w:r w:rsidR="005727EA" w:rsidRPr="0088229B">
        <w:rPr>
          <w:i/>
          <w:lang w:val="de-DE"/>
        </w:rPr>
        <w:t>enthalten.</w:t>
      </w:r>
    </w:p>
    <w:p w:rsidR="00AC163B" w:rsidRPr="0088229B" w:rsidRDefault="00317A61" w:rsidP="00AC163B">
      <w:pPr>
        <w:pStyle w:val="Bullet1G"/>
        <w:rPr>
          <w:lang w:val="de-DE"/>
        </w:rPr>
      </w:pPr>
      <w:r w:rsidRPr="0088229B">
        <w:rPr>
          <w:u w:val="single"/>
          <w:lang w:val="de-DE"/>
        </w:rPr>
        <w:t>1.16.13.4</w:t>
      </w:r>
      <w:r w:rsidRPr="0088229B">
        <w:rPr>
          <w:lang w:val="de-DE"/>
        </w:rPr>
        <w:t xml:space="preserve">: </w:t>
      </w:r>
      <w:r w:rsidR="00AC163B" w:rsidRPr="0088229B">
        <w:rPr>
          <w:i/>
          <w:lang w:val="de-DE"/>
        </w:rPr>
        <w:t>in o.</w:t>
      </w:r>
      <w:r w:rsidR="00FA0884" w:rsidRPr="0088229B">
        <w:rPr>
          <w:i/>
          <w:lang w:val="de-DE"/>
        </w:rPr>
        <w:t> </w:t>
      </w:r>
      <w:r w:rsidR="00AC163B" w:rsidRPr="0088229B">
        <w:rPr>
          <w:i/>
          <w:lang w:val="de-DE"/>
        </w:rPr>
        <w:t>g. Anlage 1 enthalten.</w:t>
      </w:r>
    </w:p>
    <w:p w:rsidR="00AC163B" w:rsidRPr="0088229B" w:rsidRDefault="007C5E57" w:rsidP="00AC163B">
      <w:pPr>
        <w:pStyle w:val="Bullet1G"/>
        <w:rPr>
          <w:i/>
          <w:lang w:val="de-DE"/>
        </w:rPr>
      </w:pPr>
      <w:r w:rsidRPr="0088229B">
        <w:rPr>
          <w:u w:val="single"/>
          <w:lang w:val="de-DE"/>
        </w:rPr>
        <w:t xml:space="preserve">1.16.13.5 </w:t>
      </w:r>
      <w:r w:rsidR="004808A8" w:rsidRPr="0088229B">
        <w:rPr>
          <w:u w:val="single"/>
          <w:lang w:val="de-DE"/>
        </w:rPr>
        <w:t>(3</w:t>
      </w:r>
      <w:r w:rsidRPr="0088229B">
        <w:rPr>
          <w:u w:val="single"/>
          <w:lang w:val="de-DE"/>
        </w:rPr>
        <w:t xml:space="preserve"> </w:t>
      </w:r>
      <w:r w:rsidR="005727EA" w:rsidRPr="0088229B">
        <w:rPr>
          <w:u w:val="single"/>
          <w:lang w:val="de-DE"/>
        </w:rPr>
        <w:t>Fundstellen</w:t>
      </w:r>
      <w:r w:rsidRPr="0088229B">
        <w:rPr>
          <w:u w:val="single"/>
          <w:lang w:val="de-DE"/>
        </w:rPr>
        <w:t>)</w:t>
      </w:r>
      <w:r w:rsidRPr="0088229B">
        <w:rPr>
          <w:lang w:val="de-DE"/>
        </w:rPr>
        <w:t xml:space="preserve">: </w:t>
      </w:r>
      <w:r w:rsidR="00AC163B" w:rsidRPr="0088229B">
        <w:rPr>
          <w:i/>
          <w:lang w:val="de-DE"/>
        </w:rPr>
        <w:t>in o.</w:t>
      </w:r>
      <w:r w:rsidR="00FA0884" w:rsidRPr="0088229B">
        <w:rPr>
          <w:i/>
          <w:lang w:val="de-DE"/>
        </w:rPr>
        <w:t> </w:t>
      </w:r>
      <w:r w:rsidR="00AC163B" w:rsidRPr="0088229B">
        <w:rPr>
          <w:i/>
          <w:lang w:val="de-DE"/>
        </w:rPr>
        <w:t>g. Anlage 1 enthalten.</w:t>
      </w:r>
    </w:p>
    <w:p w:rsidR="00AA28C1" w:rsidRPr="0088229B" w:rsidRDefault="007C5E57" w:rsidP="00AA28C1">
      <w:pPr>
        <w:pStyle w:val="Bullet1G"/>
        <w:rPr>
          <w:lang w:val="de-DE"/>
        </w:rPr>
      </w:pPr>
      <w:r w:rsidRPr="0088229B">
        <w:rPr>
          <w:lang w:val="de-DE"/>
        </w:rPr>
        <w:t>7</w:t>
      </w:r>
      <w:r w:rsidRPr="0088229B">
        <w:rPr>
          <w:u w:val="single"/>
          <w:lang w:val="de-DE"/>
        </w:rPr>
        <w:t>.2.</w:t>
      </w:r>
      <w:r w:rsidR="008B415A" w:rsidRPr="0088229B">
        <w:rPr>
          <w:u w:val="single"/>
          <w:lang w:val="de-DE"/>
        </w:rPr>
        <w:t>4</w:t>
      </w:r>
      <w:r w:rsidRPr="0088229B">
        <w:rPr>
          <w:u w:val="single"/>
          <w:lang w:val="de-DE"/>
        </w:rPr>
        <w:t xml:space="preserve">.16.17 </w:t>
      </w:r>
      <w:r w:rsidR="00AA28C1" w:rsidRPr="0088229B">
        <w:rPr>
          <w:u w:val="single"/>
          <w:lang w:val="de-DE"/>
        </w:rPr>
        <w:t>Berechnung der Haltezeit</w:t>
      </w:r>
      <w:r w:rsidR="00AA28C1" w:rsidRPr="0088229B">
        <w:rPr>
          <w:lang w:val="de-DE"/>
        </w:rPr>
        <w:t xml:space="preserve">: An Bord muss eine Tabelle aufbewahrt werden, die das Verhältnis zwischen Haltezeit und Füllständen angibt und die untenstehenden Parameter enthält. Die Tabelle muss von der </w:t>
      </w:r>
      <w:r w:rsidR="00AA28C1" w:rsidRPr="0088229B">
        <w:rPr>
          <w:b/>
          <w:u w:val="single"/>
          <w:lang w:val="de-DE"/>
        </w:rPr>
        <w:t>anerkannten</w:t>
      </w:r>
      <w:r w:rsidR="00AA28C1" w:rsidRPr="0088229B">
        <w:rPr>
          <w:lang w:val="de-DE"/>
        </w:rPr>
        <w:t xml:space="preserve"> Klassifikationsgesellschaft, die das Schiff zertifiziert hat, genehmigt sein.</w:t>
      </w:r>
    </w:p>
    <w:p w:rsidR="00AA28C1" w:rsidRPr="0088229B" w:rsidRDefault="007C5E57" w:rsidP="00AA28C1">
      <w:pPr>
        <w:pStyle w:val="Bullet1G"/>
        <w:rPr>
          <w:lang w:val="de-DE"/>
        </w:rPr>
      </w:pPr>
      <w:r w:rsidRPr="0088229B">
        <w:rPr>
          <w:lang w:val="de-DE"/>
        </w:rPr>
        <w:t>8.1.2.2</w:t>
      </w:r>
      <w:r w:rsidR="00EB1E5C" w:rsidRPr="0088229B">
        <w:rPr>
          <w:lang w:val="de-DE"/>
        </w:rPr>
        <w:t xml:space="preserve"> </w:t>
      </w:r>
      <w:r w:rsidRPr="0088229B">
        <w:rPr>
          <w:lang w:val="de-DE"/>
        </w:rPr>
        <w:t>c) (</w:t>
      </w:r>
      <w:r w:rsidR="005727EA" w:rsidRPr="0088229B">
        <w:rPr>
          <w:lang w:val="de-DE"/>
        </w:rPr>
        <w:t>3.</w:t>
      </w:r>
      <w:r w:rsidRPr="0088229B">
        <w:rPr>
          <w:lang w:val="de-DE"/>
        </w:rPr>
        <w:t xml:space="preserve"> </w:t>
      </w:r>
      <w:r w:rsidR="005727EA" w:rsidRPr="0088229B">
        <w:rPr>
          <w:lang w:val="de-DE"/>
        </w:rPr>
        <w:t>Anstrich</w:t>
      </w:r>
      <w:r w:rsidRPr="0088229B">
        <w:rPr>
          <w:lang w:val="de-DE"/>
        </w:rPr>
        <w:t xml:space="preserve">): </w:t>
      </w:r>
      <w:r w:rsidR="00AA28C1" w:rsidRPr="0088229B">
        <w:rPr>
          <w:lang w:val="de-DE"/>
        </w:rPr>
        <w:t xml:space="preserve">die Bescheinigung der </w:t>
      </w:r>
      <w:r w:rsidR="00AA28C1" w:rsidRPr="0088229B">
        <w:rPr>
          <w:b/>
          <w:bCs/>
          <w:u w:val="single"/>
          <w:lang w:val="de-DE"/>
        </w:rPr>
        <w:t>anerkannten</w:t>
      </w:r>
      <w:r w:rsidR="00AA28C1" w:rsidRPr="0088229B">
        <w:rPr>
          <w:lang w:val="de-DE"/>
        </w:rPr>
        <w:t xml:space="preserve"> Klassifikationsgesellschaft (siehe Unterabschnitt 9.1.0.88 oder 9.2.0.88).</w:t>
      </w:r>
    </w:p>
    <w:p w:rsidR="00AC163B" w:rsidRPr="0088229B" w:rsidRDefault="00E16C6E" w:rsidP="00AC163B">
      <w:pPr>
        <w:pStyle w:val="Bullet1G"/>
        <w:rPr>
          <w:i/>
          <w:lang w:val="de-DE"/>
        </w:rPr>
      </w:pPr>
      <w:r w:rsidRPr="0088229B">
        <w:rPr>
          <w:u w:val="single"/>
          <w:lang w:val="de-DE"/>
        </w:rPr>
        <w:t>9.3.X.8.1</w:t>
      </w:r>
      <w:r w:rsidRPr="0088229B">
        <w:rPr>
          <w:lang w:val="de-DE"/>
        </w:rPr>
        <w:t xml:space="preserve">: </w:t>
      </w:r>
      <w:r w:rsidR="00AC163B" w:rsidRPr="0088229B">
        <w:rPr>
          <w:i/>
          <w:lang w:val="de-DE"/>
        </w:rPr>
        <w:t>in o.</w:t>
      </w:r>
      <w:r w:rsidR="00FA0884" w:rsidRPr="0088229B">
        <w:rPr>
          <w:i/>
          <w:lang w:val="de-DE"/>
        </w:rPr>
        <w:t> </w:t>
      </w:r>
      <w:r w:rsidR="00AC163B" w:rsidRPr="0088229B">
        <w:rPr>
          <w:i/>
          <w:lang w:val="de-DE"/>
        </w:rPr>
        <w:t>g. Anlage 1 enthalten.</w:t>
      </w:r>
    </w:p>
    <w:p w:rsidR="00873FDB" w:rsidRPr="0088229B" w:rsidRDefault="004808A8" w:rsidP="00AA28C1">
      <w:pPr>
        <w:pStyle w:val="Bullet1G"/>
        <w:rPr>
          <w:lang w:val="de-DE"/>
        </w:rPr>
      </w:pPr>
      <w:r w:rsidRPr="0088229B">
        <w:rPr>
          <w:u w:val="single"/>
          <w:lang w:val="de-DE"/>
        </w:rPr>
        <w:t>9.3.X.13.3 (4</w:t>
      </w:r>
      <w:r w:rsidR="009C4620" w:rsidRPr="0088229B">
        <w:rPr>
          <w:u w:val="single"/>
          <w:lang w:val="de-DE"/>
        </w:rPr>
        <w:t>. Absatz</w:t>
      </w:r>
      <w:r w:rsidRPr="0088229B">
        <w:rPr>
          <w:u w:val="single"/>
          <w:lang w:val="de-DE"/>
        </w:rPr>
        <w:t xml:space="preserve"> – 1</w:t>
      </w:r>
      <w:r w:rsidR="009C4620" w:rsidRPr="0088229B">
        <w:rPr>
          <w:u w:val="single"/>
          <w:lang w:val="de-DE"/>
        </w:rPr>
        <w:t>. Satz</w:t>
      </w:r>
      <w:r w:rsidRPr="0088229B">
        <w:rPr>
          <w:u w:val="single"/>
          <w:lang w:val="de-DE"/>
        </w:rPr>
        <w:t>)</w:t>
      </w:r>
      <w:r w:rsidRPr="0088229B">
        <w:rPr>
          <w:lang w:val="de-DE"/>
        </w:rPr>
        <w:t xml:space="preserve">: </w:t>
      </w:r>
      <w:r w:rsidR="00873FDB" w:rsidRPr="0088229B">
        <w:rPr>
          <w:lang w:val="de-DE"/>
        </w:rPr>
        <w:t>Die Stabilitätsunterlagen mit diesem Nachweis und den durch die anerkannten Klassifikationsgesellschaft, die das Schiff klassifiziert hat, genehmigten Ladefällen sind in einem Stabilitätshandbuch zusammenzufassen.</w:t>
      </w:r>
      <w:r w:rsidR="00AD3254" w:rsidRPr="0088229B">
        <w:rPr>
          <w:lang w:val="de-DE"/>
        </w:rPr>
        <w:t xml:space="preserve"> </w:t>
      </w:r>
      <w:r w:rsidR="00873FDB" w:rsidRPr="0088229B">
        <w:rPr>
          <w:lang w:val="de-DE"/>
        </w:rPr>
        <w:t>(Betrifft nicht die deutsche Fassung)</w:t>
      </w:r>
    </w:p>
    <w:p w:rsidR="007848CB" w:rsidRPr="0088229B" w:rsidRDefault="0029755E" w:rsidP="00FA0884">
      <w:pPr>
        <w:pStyle w:val="SingleTxtG"/>
        <w:rPr>
          <w:lang w:val="de-DE"/>
        </w:rPr>
      </w:pPr>
      <w:r w:rsidRPr="0088229B">
        <w:rPr>
          <w:lang w:val="de-DE"/>
        </w:rPr>
        <w:t>2</w:t>
      </w:r>
      <w:r w:rsidR="009933A5" w:rsidRPr="0088229B">
        <w:rPr>
          <w:lang w:val="de-DE"/>
        </w:rPr>
        <w:t>.</w:t>
      </w:r>
      <w:r w:rsidRPr="0088229B">
        <w:rPr>
          <w:lang w:val="de-DE"/>
        </w:rPr>
        <w:tab/>
      </w:r>
      <w:r w:rsidR="00FA0884" w:rsidRPr="0088229B">
        <w:rPr>
          <w:lang w:val="de-DE"/>
        </w:rPr>
        <w:t>Absatz 64: „</w:t>
      </w:r>
      <w:r w:rsidR="00FA0884" w:rsidRPr="0088229B">
        <w:rPr>
          <w:i/>
          <w:w w:val="103"/>
          <w:lang w:val="de-DE"/>
        </w:rPr>
        <w:t>Das Wort „ship“ wurde im Englischen durch „vessel“ ersetzt.</w:t>
      </w:r>
      <w:r w:rsidRPr="0088229B">
        <w:rPr>
          <w:i/>
          <w:lang w:val="de-DE"/>
        </w:rPr>
        <w:t xml:space="preserve"> </w:t>
      </w:r>
      <w:r w:rsidR="00FA0884" w:rsidRPr="0088229B">
        <w:rPr>
          <w:i/>
          <w:lang w:val="de-DE"/>
        </w:rPr>
        <w:t>In diesem Zusammenhang wurde die Frage aufgeworfen, ob in Abschnitt 1.2.1 und Absatz 1.6.7.2.2.5 Schubleichter erwähnt werden sollten, weil der Ausdruck „Schiff“ Schubleichter grundsätzlich einschließt; die Korrespondenzgruppe wurde gebeten, diese Frage zu prüfen.</w:t>
      </w:r>
      <w:r w:rsidR="00FA0884" w:rsidRPr="0088229B">
        <w:rPr>
          <w:lang w:val="de-DE"/>
        </w:rPr>
        <w:t>“</w:t>
      </w:r>
    </w:p>
    <w:p w:rsidR="0029755E" w:rsidRPr="0088229B" w:rsidRDefault="00FA0884" w:rsidP="00B07745">
      <w:pPr>
        <w:pStyle w:val="Bullet1G"/>
      </w:pPr>
      <w:r w:rsidRPr="0088229B">
        <w:rPr>
          <w:lang w:val="de-DE"/>
        </w:rPr>
        <w:t>Der Ausdruck „ship“ wird durch den Ausdruck „vessel“ ersetzt.</w:t>
      </w:r>
      <w:r w:rsidR="0029755E" w:rsidRPr="0088229B">
        <w:rPr>
          <w:lang w:val="de-DE"/>
        </w:rPr>
        <w:t xml:space="preserve"> </w:t>
      </w:r>
      <w:r w:rsidR="00820568" w:rsidRPr="0088229B">
        <w:rPr>
          <w:i/>
          <w:lang w:val="de-DE"/>
        </w:rPr>
        <w:t>I</w:t>
      </w:r>
      <w:r w:rsidRPr="0088229B">
        <w:rPr>
          <w:i/>
          <w:lang w:val="de-DE"/>
        </w:rPr>
        <w:t>n o. g. Anlage 1 enthalten</w:t>
      </w:r>
      <w:r w:rsidR="00B07745" w:rsidRPr="0088229B">
        <w:rPr>
          <w:i/>
          <w:lang w:val="de-DE"/>
        </w:rPr>
        <w:t>.</w:t>
      </w:r>
      <w:r w:rsidR="00820568" w:rsidRPr="0088229B">
        <w:rPr>
          <w:lang w:val="de-DE"/>
        </w:rPr>
        <w:t xml:space="preserve"> </w:t>
      </w:r>
      <w:r w:rsidR="00820568" w:rsidRPr="0088229B">
        <w:t>(Betrifft nicht die deutsche Fassung)</w:t>
      </w:r>
    </w:p>
    <w:p w:rsidR="00AC177C" w:rsidRPr="0088229B" w:rsidRDefault="00662DDA" w:rsidP="00662DDA">
      <w:pPr>
        <w:pStyle w:val="Bullet1G"/>
        <w:rPr>
          <w:lang w:val="de-DE"/>
        </w:rPr>
      </w:pPr>
      <w:r w:rsidRPr="0088229B">
        <w:rPr>
          <w:lang w:val="de-DE"/>
        </w:rPr>
        <w:t>Verwendung des Ausdrucks „Schubleichter“ im geänderten Abschnitt 1.2.1 und im geänderten Absatz 1.6.7.2.2.5 (siehe Anlage 1); es wird vorgeschlagen,</w:t>
      </w:r>
    </w:p>
    <w:p w:rsidR="0029755E" w:rsidRPr="0088229B" w:rsidRDefault="00662DDA" w:rsidP="004305EF">
      <w:pPr>
        <w:pStyle w:val="Bullet2G"/>
        <w:rPr>
          <w:lang w:val="de-DE"/>
        </w:rPr>
      </w:pPr>
      <w:r w:rsidRPr="0088229B">
        <w:rPr>
          <w:lang w:val="de-DE"/>
        </w:rPr>
        <w:t xml:space="preserve">den Ausdruck „Schubleichter“ beizubehalten, da dieser Ausdruck in Teil I </w:t>
      </w:r>
      <w:r w:rsidR="004305EF" w:rsidRPr="0088229B">
        <w:rPr>
          <w:lang w:val="de-DE"/>
        </w:rPr>
        <w:t xml:space="preserve">[der englischen Fassung] </w:t>
      </w:r>
      <w:r w:rsidRPr="0088229B">
        <w:rPr>
          <w:lang w:val="de-DE"/>
        </w:rPr>
        <w:t xml:space="preserve">21 Mal verwendet wird, </w:t>
      </w:r>
      <w:r w:rsidR="00FF789A" w:rsidRPr="0088229B">
        <w:rPr>
          <w:lang w:val="de-DE"/>
        </w:rPr>
        <w:t xml:space="preserve">wobei </w:t>
      </w:r>
      <w:r w:rsidRPr="0088229B">
        <w:rPr>
          <w:lang w:val="de-DE"/>
        </w:rPr>
        <w:t xml:space="preserve">teilweise </w:t>
      </w:r>
      <w:r w:rsidR="00FF789A" w:rsidRPr="0088229B">
        <w:rPr>
          <w:lang w:val="de-DE"/>
        </w:rPr>
        <w:t>ein Zusammenhang zu</w:t>
      </w:r>
      <w:r w:rsidRPr="0088229B">
        <w:rPr>
          <w:lang w:val="de-DE"/>
        </w:rPr>
        <w:t xml:space="preserve"> besonderen </w:t>
      </w:r>
      <w:r w:rsidR="00FF789A" w:rsidRPr="0088229B">
        <w:rPr>
          <w:lang w:val="de-DE"/>
        </w:rPr>
        <w:t>Vorschriften</w:t>
      </w:r>
      <w:r w:rsidRPr="0088229B">
        <w:rPr>
          <w:lang w:val="de-DE"/>
        </w:rPr>
        <w:t xml:space="preserve"> </w:t>
      </w:r>
      <w:r w:rsidR="00FF789A" w:rsidRPr="0088229B">
        <w:rPr>
          <w:lang w:val="de-DE"/>
        </w:rPr>
        <w:t>besteht (z. B. in 1.6.8, 7.1.3.15, 7.2.3.15, 8.1.2.6 usw.)</w:t>
      </w:r>
      <w:r w:rsidR="00E033A7" w:rsidRPr="0088229B">
        <w:rPr>
          <w:lang w:val="de-DE"/>
        </w:rPr>
        <w:t>,</w:t>
      </w:r>
    </w:p>
    <w:p w:rsidR="00AC177C" w:rsidRPr="0088229B" w:rsidRDefault="00FF789A" w:rsidP="004305EF">
      <w:pPr>
        <w:pStyle w:val="Bullet2G"/>
        <w:rPr>
          <w:lang w:val="de-DE"/>
        </w:rPr>
      </w:pPr>
      <w:r w:rsidRPr="0088229B">
        <w:rPr>
          <w:lang w:val="de-DE"/>
        </w:rPr>
        <w:t>und in Abschnitt 1.2.1 folgende Begriffsbestimmung hinzu</w:t>
      </w:r>
      <w:r w:rsidR="008D577B" w:rsidRPr="0088229B">
        <w:rPr>
          <w:lang w:val="de-DE"/>
        </w:rPr>
        <w:t>zu</w:t>
      </w:r>
      <w:r w:rsidRPr="0088229B">
        <w:rPr>
          <w:lang w:val="de-DE"/>
        </w:rPr>
        <w:t>fügen (siehe Richtlinie 2006/87/EG und Entschließung Nr. 61 der UN-ECE):</w:t>
      </w:r>
    </w:p>
    <w:p w:rsidR="00AC177C" w:rsidRPr="0088229B" w:rsidRDefault="00E033A7" w:rsidP="004305EF">
      <w:pPr>
        <w:pStyle w:val="SingleTxtG"/>
        <w:rPr>
          <w:b/>
          <w:lang w:val="de-DE"/>
        </w:rPr>
      </w:pPr>
      <w:r w:rsidRPr="0088229B">
        <w:rPr>
          <w:b/>
          <w:iCs/>
          <w:lang w:val="de-DE"/>
        </w:rPr>
        <w:t>„</w:t>
      </w:r>
      <w:r w:rsidRPr="0088229B">
        <w:rPr>
          <w:b/>
          <w:i/>
          <w:iCs/>
          <w:lang w:val="de-DE"/>
        </w:rPr>
        <w:t xml:space="preserve">Schubleichter: </w:t>
      </w:r>
      <w:r w:rsidRPr="0088229B">
        <w:rPr>
          <w:b/>
          <w:iCs/>
          <w:lang w:val="de-DE"/>
        </w:rPr>
        <w:t>Ein zur Güterbeförderung bestimmtes und zur Fortbewegung durch Schleppen gebautes Schiff ohne eigene Triebkraft oder mit eigener Triebkraft, die nur erlaubt, kleine Ortsveränderungen vorzunehmen.“</w:t>
      </w:r>
    </w:p>
    <w:p w:rsidR="0029755E" w:rsidRPr="0088229B" w:rsidRDefault="006C595D" w:rsidP="00E033A7">
      <w:pPr>
        <w:pStyle w:val="SingleTxtG"/>
        <w:rPr>
          <w:lang w:val="de-DE"/>
        </w:rPr>
      </w:pPr>
      <w:r w:rsidRPr="0088229B">
        <w:rPr>
          <w:lang w:val="de-DE"/>
        </w:rPr>
        <w:lastRenderedPageBreak/>
        <w:t>3</w:t>
      </w:r>
      <w:r w:rsidR="009933A5" w:rsidRPr="0088229B">
        <w:rPr>
          <w:lang w:val="de-DE"/>
        </w:rPr>
        <w:t>.</w:t>
      </w:r>
      <w:r w:rsidRPr="0088229B">
        <w:rPr>
          <w:lang w:val="de-DE"/>
        </w:rPr>
        <w:tab/>
      </w:r>
      <w:r w:rsidR="00E033A7" w:rsidRPr="0088229B">
        <w:rPr>
          <w:lang w:val="de-DE"/>
        </w:rPr>
        <w:t>Absatz 65: „</w:t>
      </w:r>
      <w:r w:rsidR="00E033A7" w:rsidRPr="0088229B">
        <w:rPr>
          <w:i/>
          <w:lang w:val="de-DE"/>
        </w:rPr>
        <w:t>65. Der Ausdruck „classification certificate“ wurde in der englischen Fassung durch „certificate of class“ ersetzt; die Verordnung muss diesbezüglich vollständig überprüft werden, um eine konsistente Verwendung dieses Ausdrucks zu gewährleisten.</w:t>
      </w:r>
      <w:r w:rsidR="00E033A7" w:rsidRPr="0088229B">
        <w:rPr>
          <w:lang w:val="de-DE"/>
        </w:rPr>
        <w:t>“</w:t>
      </w:r>
    </w:p>
    <w:p w:rsidR="006C595D" w:rsidRPr="0088229B" w:rsidRDefault="00E033A7" w:rsidP="00E033A7">
      <w:pPr>
        <w:pStyle w:val="Bullet1G"/>
        <w:rPr>
          <w:lang w:val="de-DE"/>
        </w:rPr>
      </w:pPr>
      <w:r w:rsidRPr="0088229B">
        <w:rPr>
          <w:lang w:val="de-DE"/>
        </w:rPr>
        <w:t xml:space="preserve">Der Ausdruck „classification certificate“ tritt in der englischen Fassung vier Mal auf (8.1.2.3 e), 9.3.1.8.1, 9.3.2.8.1 and 9.3.3.8.1): </w:t>
      </w:r>
      <w:r w:rsidRPr="0088229B">
        <w:rPr>
          <w:i/>
          <w:lang w:val="de-DE"/>
        </w:rPr>
        <w:t>in o. g. Anlage 1 enthalten.</w:t>
      </w:r>
    </w:p>
    <w:p w:rsidR="006C595D" w:rsidRPr="0088229B" w:rsidRDefault="00E033A7" w:rsidP="00E033A7">
      <w:pPr>
        <w:pStyle w:val="Bullet1G"/>
        <w:rPr>
          <w:lang w:val="de-DE"/>
        </w:rPr>
      </w:pPr>
      <w:r w:rsidRPr="0088229B">
        <w:rPr>
          <w:lang w:val="de-DE"/>
        </w:rPr>
        <w:t>Der Ausdruck „class certificate“ tritt in der englischen Fassung nur einmal in Absatz 9.2.0.91.2 auf, der wie folgt geändert wird:</w:t>
      </w:r>
      <w:r w:rsidR="006C595D" w:rsidRPr="0088229B">
        <w:rPr>
          <w:lang w:val="de-DE"/>
        </w:rPr>
        <w:t xml:space="preserve"> </w:t>
      </w:r>
    </w:p>
    <w:p w:rsidR="006C595D" w:rsidRPr="0088229B" w:rsidRDefault="00E033A7" w:rsidP="00E033A7">
      <w:pPr>
        <w:pStyle w:val="Bullet1G"/>
        <w:numPr>
          <w:ilvl w:val="0"/>
          <w:numId w:val="0"/>
        </w:numPr>
        <w:ind w:left="1701"/>
      </w:pPr>
      <w:r w:rsidRPr="0088229B">
        <w:rPr>
          <w:u w:val="single"/>
          <w:lang w:val="en-US"/>
        </w:rPr>
        <w:t>9.2.0.91.2 (letzter Satz)</w:t>
      </w:r>
      <w:r w:rsidRPr="0088229B">
        <w:rPr>
          <w:lang w:val="en-US"/>
        </w:rPr>
        <w:t>:</w:t>
      </w:r>
      <w:r w:rsidR="006C595D" w:rsidRPr="0088229B">
        <w:t xml:space="preserve"> The sufficient structural</w:t>
      </w:r>
      <w:r w:rsidR="008E6B15" w:rsidRPr="0088229B">
        <w:t xml:space="preserve"> </w:t>
      </w:r>
      <w:r w:rsidR="006C595D" w:rsidRPr="0088229B">
        <w:t>strength of the vessel (longitudinal, transverse and local strength) shall be confirmed by the</w:t>
      </w:r>
      <w:r w:rsidR="008E6B15" w:rsidRPr="0088229B">
        <w:t xml:space="preserve"> </w:t>
      </w:r>
      <w:r w:rsidR="006C595D" w:rsidRPr="0088229B">
        <w:rPr>
          <w:b/>
          <w:bCs/>
          <w:strike/>
          <w:u w:val="single"/>
        </w:rPr>
        <w:t>class</w:t>
      </w:r>
      <w:r w:rsidR="006C595D" w:rsidRPr="0088229B">
        <w:t xml:space="preserve"> certificate</w:t>
      </w:r>
      <w:r w:rsidR="008E6B15" w:rsidRPr="0088229B">
        <w:rPr>
          <w:b/>
          <w:bCs/>
          <w:u w:val="single"/>
        </w:rPr>
        <w:t xml:space="preserve"> of class</w:t>
      </w:r>
    </w:p>
    <w:p w:rsidR="005B3EFE" w:rsidRPr="0088229B" w:rsidRDefault="00E033A7" w:rsidP="002722A7">
      <w:pPr>
        <w:pStyle w:val="Bullet1G"/>
        <w:rPr>
          <w:lang w:val="de-DE"/>
        </w:rPr>
      </w:pPr>
      <w:r w:rsidRPr="0088229B">
        <w:rPr>
          <w:lang w:val="de-DE"/>
        </w:rPr>
        <w:t>Diese Änderungen betreffen nicht die französische [und die deutsche] Fassung.</w:t>
      </w:r>
    </w:p>
    <w:p w:rsidR="000F2AA3" w:rsidRPr="00C70675" w:rsidRDefault="00C70675" w:rsidP="005B3EFE">
      <w:pPr>
        <w:spacing w:before="120"/>
        <w:jc w:val="center"/>
      </w:pPr>
      <w:r w:rsidRPr="0088229B">
        <w:t>***</w:t>
      </w:r>
    </w:p>
    <w:sectPr w:rsidR="000F2AA3" w:rsidRPr="00C70675" w:rsidSect="00003557">
      <w:headerReference w:type="even" r:id="rId20"/>
      <w:headerReference w:type="default" r:id="rId21"/>
      <w:footerReference w:type="even" r:id="rId22"/>
      <w:footerReference w:type="default" r:id="rId23"/>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0B0" w:rsidRDefault="005E70B0"/>
  </w:endnote>
  <w:endnote w:type="continuationSeparator" w:id="0">
    <w:p w:rsidR="005E70B0" w:rsidRDefault="005E70B0"/>
  </w:endnote>
  <w:endnote w:type="continuationNotice" w:id="1">
    <w:p w:rsidR="005E70B0" w:rsidRDefault="005E7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sig w:usb0="00000001"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B0" w:rsidRPr="00C70675" w:rsidRDefault="005E70B0" w:rsidP="00C70675">
    <w:pPr>
      <w:tabs>
        <w:tab w:val="center" w:pos="4536"/>
        <w:tab w:val="left" w:pos="7177"/>
        <w:tab w:val="right" w:pos="9070"/>
      </w:tabs>
      <w:suppressAutoHyphens w:val="0"/>
      <w:spacing w:line="240" w:lineRule="auto"/>
      <w:jc w:val="right"/>
      <w:rPr>
        <w:lang w:val="fr-FR"/>
      </w:rPr>
    </w:pPr>
    <w:r>
      <w:rPr>
        <w:rFonts w:ascii="Arial" w:hAnsi="Arial"/>
        <w:noProof/>
        <w:sz w:val="12"/>
        <w:szCs w:val="24"/>
        <w:lang w:val="fr-FR"/>
      </w:rPr>
      <w:t>m</w:t>
    </w:r>
    <w:r w:rsidRPr="00F66431">
      <w:rPr>
        <w:rFonts w:ascii="Arial" w:hAnsi="Arial"/>
        <w:noProof/>
        <w:sz w:val="12"/>
        <w:szCs w:val="24"/>
        <w:lang w:val="fr-FR"/>
      </w:rPr>
      <w:t>m</w:t>
    </w:r>
    <w:r>
      <w:rPr>
        <w:rFonts w:ascii="Arial" w:hAnsi="Arial"/>
        <w:noProof/>
        <w:sz w:val="12"/>
        <w:szCs w:val="24"/>
        <w:lang w:val="fr-FR"/>
      </w:rPr>
      <w:t>_ba</w:t>
    </w:r>
    <w:r w:rsidRPr="00F66431">
      <w:rPr>
        <w:rFonts w:ascii="Arial" w:hAnsi="Arial"/>
        <w:noProof/>
        <w:sz w:val="12"/>
        <w:szCs w:val="24"/>
        <w:lang w:val="fr-FR"/>
      </w:rPr>
      <w:t>/adn_wp15_ac2_201</w:t>
    </w:r>
    <w:r>
      <w:rPr>
        <w:rFonts w:ascii="Arial" w:hAnsi="Arial"/>
        <w:noProof/>
        <w:sz w:val="12"/>
        <w:szCs w:val="24"/>
        <w:lang w:val="fr-FR"/>
      </w:rPr>
      <w:t>6</w:t>
    </w:r>
    <w:r w:rsidRPr="00F66431">
      <w:rPr>
        <w:rFonts w:ascii="Arial" w:hAnsi="Arial"/>
        <w:noProof/>
        <w:sz w:val="12"/>
        <w:szCs w:val="24"/>
        <w:lang w:val="fr-FR"/>
      </w:rPr>
      <w:t>_</w:t>
    </w:r>
    <w:r>
      <w:rPr>
        <w:rFonts w:ascii="Arial" w:hAnsi="Arial"/>
        <w:noProof/>
        <w:sz w:val="12"/>
        <w:szCs w:val="24"/>
        <w:lang w:val="fr-FR"/>
      </w:rPr>
      <w:t>20d</w:t>
    </w:r>
    <w:r w:rsidRPr="00F66431">
      <w:rPr>
        <w:rFonts w:ascii="Arial" w:hAnsi="Arial"/>
        <w:noProof/>
        <w:sz w:val="12"/>
        <w:szCs w:val="24"/>
        <w:lang w:val="fr-FR"/>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B0" w:rsidRDefault="005E70B0" w:rsidP="00891D8D">
    <w:pPr>
      <w:pStyle w:val="Footer"/>
      <w:tabs>
        <w:tab w:val="right" w:pos="9598"/>
      </w:tabs>
      <w:jc w:val="right"/>
      <w:rPr>
        <w:b/>
        <w:sz w:val="18"/>
      </w:rPr>
    </w:pPr>
    <w:r>
      <w:rPr>
        <w:b/>
        <w:sz w:val="18"/>
      </w:rPr>
      <w:fldChar w:fldCharType="begin"/>
    </w:r>
    <w:r>
      <w:rPr>
        <w:b/>
        <w:sz w:val="18"/>
      </w:rPr>
      <w:instrText xml:space="preserve"> PAGE  \* MERGEFORMAT </w:instrText>
    </w:r>
    <w:r>
      <w:rPr>
        <w:b/>
        <w:sz w:val="18"/>
      </w:rPr>
      <w:fldChar w:fldCharType="separate"/>
    </w:r>
    <w:r w:rsidR="007907E9">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B0" w:rsidRPr="00891D8D" w:rsidRDefault="005E70B0" w:rsidP="005E684E">
    <w:pPr>
      <w:pStyle w:val="Footer"/>
      <w:jc w:val="right"/>
      <w:rPr>
        <w:b/>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B0" w:rsidRPr="00123964" w:rsidRDefault="005E70B0" w:rsidP="00C70675">
    <w:pPr>
      <w:tabs>
        <w:tab w:val="center" w:pos="4536"/>
        <w:tab w:val="left" w:pos="7177"/>
        <w:tab w:val="right" w:pos="9070"/>
      </w:tabs>
      <w:suppressAutoHyphens w:val="0"/>
      <w:spacing w:line="240" w:lineRule="auto"/>
      <w:jc w:val="right"/>
      <w:rPr>
        <w:lang w:val="fr-FR"/>
      </w:rPr>
    </w:pPr>
    <w:r>
      <w:rPr>
        <w:rFonts w:ascii="Arial" w:hAnsi="Arial"/>
        <w:noProof/>
        <w:sz w:val="12"/>
        <w:szCs w:val="24"/>
        <w:lang w:val="fr-FR"/>
      </w:rPr>
      <w:t>m</w:t>
    </w:r>
    <w:r w:rsidRPr="00F66431">
      <w:rPr>
        <w:rFonts w:ascii="Arial" w:hAnsi="Arial"/>
        <w:noProof/>
        <w:sz w:val="12"/>
        <w:szCs w:val="24"/>
        <w:lang w:val="fr-FR"/>
      </w:rPr>
      <w:t>m</w:t>
    </w:r>
    <w:r>
      <w:rPr>
        <w:rFonts w:ascii="Arial" w:hAnsi="Arial"/>
        <w:noProof/>
        <w:sz w:val="12"/>
        <w:szCs w:val="24"/>
        <w:lang w:val="fr-FR"/>
      </w:rPr>
      <w:t>_ba</w:t>
    </w:r>
    <w:r w:rsidRPr="00F66431">
      <w:rPr>
        <w:rFonts w:ascii="Arial" w:hAnsi="Arial"/>
        <w:noProof/>
        <w:sz w:val="12"/>
        <w:szCs w:val="24"/>
        <w:lang w:val="fr-FR"/>
      </w:rPr>
      <w:t>/adn_wp15_ac2_201</w:t>
    </w:r>
    <w:r>
      <w:rPr>
        <w:rFonts w:ascii="Arial" w:hAnsi="Arial"/>
        <w:noProof/>
        <w:sz w:val="12"/>
        <w:szCs w:val="24"/>
        <w:lang w:val="fr-FR"/>
      </w:rPr>
      <w:t>6</w:t>
    </w:r>
    <w:r w:rsidRPr="00F66431">
      <w:rPr>
        <w:rFonts w:ascii="Arial" w:hAnsi="Arial"/>
        <w:noProof/>
        <w:sz w:val="12"/>
        <w:szCs w:val="24"/>
        <w:lang w:val="fr-FR"/>
      </w:rPr>
      <w:t>_</w:t>
    </w:r>
    <w:r>
      <w:rPr>
        <w:rFonts w:ascii="Arial" w:hAnsi="Arial"/>
        <w:noProof/>
        <w:sz w:val="12"/>
        <w:szCs w:val="24"/>
        <w:lang w:val="fr-FR"/>
      </w:rPr>
      <w:t>20d</w:t>
    </w:r>
    <w:r w:rsidRPr="00F66431">
      <w:rPr>
        <w:rFonts w:ascii="Arial" w:hAnsi="Arial"/>
        <w:noProof/>
        <w:sz w:val="12"/>
        <w:szCs w:val="24"/>
        <w:lang w:val="fr-FR"/>
      </w:rPr>
      <w:t>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B0" w:rsidRPr="00C70675" w:rsidRDefault="005E70B0" w:rsidP="00C70675">
    <w:pPr>
      <w:tabs>
        <w:tab w:val="center" w:pos="4536"/>
        <w:tab w:val="left" w:pos="7177"/>
        <w:tab w:val="right" w:pos="9070"/>
      </w:tabs>
      <w:suppressAutoHyphens w:val="0"/>
      <w:spacing w:line="240" w:lineRule="auto"/>
      <w:jc w:val="right"/>
      <w:rPr>
        <w:lang w:val="fr-FR"/>
      </w:rPr>
    </w:pPr>
    <w:r>
      <w:rPr>
        <w:rFonts w:ascii="Arial" w:hAnsi="Arial"/>
        <w:noProof/>
        <w:sz w:val="12"/>
        <w:szCs w:val="24"/>
        <w:lang w:val="fr-FR"/>
      </w:rPr>
      <w:t>m</w:t>
    </w:r>
    <w:r w:rsidRPr="00F66431">
      <w:rPr>
        <w:rFonts w:ascii="Arial" w:hAnsi="Arial"/>
        <w:noProof/>
        <w:sz w:val="12"/>
        <w:szCs w:val="24"/>
        <w:lang w:val="fr-FR"/>
      </w:rPr>
      <w:t>m</w:t>
    </w:r>
    <w:r>
      <w:rPr>
        <w:rFonts w:ascii="Arial" w:hAnsi="Arial"/>
        <w:noProof/>
        <w:sz w:val="12"/>
        <w:szCs w:val="24"/>
        <w:lang w:val="fr-FR"/>
      </w:rPr>
      <w:t>_ba</w:t>
    </w:r>
    <w:r w:rsidRPr="00F66431">
      <w:rPr>
        <w:rFonts w:ascii="Arial" w:hAnsi="Arial"/>
        <w:noProof/>
        <w:sz w:val="12"/>
        <w:szCs w:val="24"/>
        <w:lang w:val="fr-FR"/>
      </w:rPr>
      <w:t>/adn_wp15_ac2_201</w:t>
    </w:r>
    <w:r>
      <w:rPr>
        <w:rFonts w:ascii="Arial" w:hAnsi="Arial"/>
        <w:noProof/>
        <w:sz w:val="12"/>
        <w:szCs w:val="24"/>
        <w:lang w:val="fr-FR"/>
      </w:rPr>
      <w:t>6</w:t>
    </w:r>
    <w:r w:rsidRPr="00F66431">
      <w:rPr>
        <w:rFonts w:ascii="Arial" w:hAnsi="Arial"/>
        <w:noProof/>
        <w:sz w:val="12"/>
        <w:szCs w:val="24"/>
        <w:lang w:val="fr-FR"/>
      </w:rPr>
      <w:t>_</w:t>
    </w:r>
    <w:r>
      <w:rPr>
        <w:rFonts w:ascii="Arial" w:hAnsi="Arial"/>
        <w:noProof/>
        <w:sz w:val="12"/>
        <w:szCs w:val="24"/>
        <w:lang w:val="fr-FR"/>
      </w:rPr>
      <w:t>20d</w:t>
    </w:r>
    <w:r w:rsidRPr="00F66431">
      <w:rPr>
        <w:rFonts w:ascii="Arial" w:hAnsi="Arial"/>
        <w:noProof/>
        <w:sz w:val="12"/>
        <w:szCs w:val="24"/>
        <w:lang w:val="fr-FR"/>
      </w:rPr>
      <w:t>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B0" w:rsidRPr="00C70675" w:rsidRDefault="005E70B0" w:rsidP="009C4620">
    <w:pPr>
      <w:tabs>
        <w:tab w:val="center" w:pos="4536"/>
        <w:tab w:val="left" w:pos="7177"/>
        <w:tab w:val="right" w:pos="9070"/>
      </w:tabs>
      <w:suppressAutoHyphens w:val="0"/>
      <w:spacing w:line="240" w:lineRule="auto"/>
      <w:jc w:val="right"/>
      <w:rPr>
        <w:lang w:val="fr-FR"/>
      </w:rPr>
    </w:pPr>
    <w:r>
      <w:rPr>
        <w:rFonts w:ascii="Arial" w:hAnsi="Arial"/>
        <w:noProof/>
        <w:sz w:val="12"/>
        <w:szCs w:val="24"/>
        <w:lang w:val="fr-FR"/>
      </w:rPr>
      <w:t>m</w:t>
    </w:r>
    <w:r w:rsidRPr="00F66431">
      <w:rPr>
        <w:rFonts w:ascii="Arial" w:hAnsi="Arial"/>
        <w:noProof/>
        <w:sz w:val="12"/>
        <w:szCs w:val="24"/>
        <w:lang w:val="fr-FR"/>
      </w:rPr>
      <w:t>m</w:t>
    </w:r>
    <w:r>
      <w:rPr>
        <w:rFonts w:ascii="Arial" w:hAnsi="Arial"/>
        <w:noProof/>
        <w:sz w:val="12"/>
        <w:szCs w:val="24"/>
        <w:lang w:val="fr-FR"/>
      </w:rPr>
      <w:t>_ba</w:t>
    </w:r>
    <w:r w:rsidRPr="00F66431">
      <w:rPr>
        <w:rFonts w:ascii="Arial" w:hAnsi="Arial"/>
        <w:noProof/>
        <w:sz w:val="12"/>
        <w:szCs w:val="24"/>
        <w:lang w:val="fr-FR"/>
      </w:rPr>
      <w:t>/adn_wp15_ac2_201</w:t>
    </w:r>
    <w:r>
      <w:rPr>
        <w:rFonts w:ascii="Arial" w:hAnsi="Arial"/>
        <w:noProof/>
        <w:sz w:val="12"/>
        <w:szCs w:val="24"/>
        <w:lang w:val="fr-FR"/>
      </w:rPr>
      <w:t>6</w:t>
    </w:r>
    <w:r w:rsidRPr="00F66431">
      <w:rPr>
        <w:rFonts w:ascii="Arial" w:hAnsi="Arial"/>
        <w:noProof/>
        <w:sz w:val="12"/>
        <w:szCs w:val="24"/>
        <w:lang w:val="fr-FR"/>
      </w:rPr>
      <w:t>_</w:t>
    </w:r>
    <w:r>
      <w:rPr>
        <w:rFonts w:ascii="Arial" w:hAnsi="Arial"/>
        <w:noProof/>
        <w:sz w:val="12"/>
        <w:szCs w:val="24"/>
        <w:lang w:val="fr-FR"/>
      </w:rPr>
      <w:t>20d</w:t>
    </w:r>
    <w:r w:rsidRPr="00F66431">
      <w:rPr>
        <w:rFonts w:ascii="Arial" w:hAnsi="Arial"/>
        <w:noProof/>
        <w:sz w:val="12"/>
        <w:szCs w:val="24"/>
        <w:lang w:val="fr-FR"/>
      </w:rPr>
      <w:t>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B0" w:rsidRPr="00C70675" w:rsidRDefault="005E70B0" w:rsidP="009C4620">
    <w:pPr>
      <w:tabs>
        <w:tab w:val="center" w:pos="4536"/>
        <w:tab w:val="left" w:pos="7177"/>
        <w:tab w:val="right" w:pos="9070"/>
      </w:tabs>
      <w:suppressAutoHyphens w:val="0"/>
      <w:spacing w:line="240" w:lineRule="auto"/>
      <w:jc w:val="right"/>
      <w:rPr>
        <w:lang w:val="fr-FR"/>
      </w:rPr>
    </w:pPr>
    <w:r>
      <w:rPr>
        <w:rFonts w:ascii="Arial" w:hAnsi="Arial"/>
        <w:noProof/>
        <w:sz w:val="12"/>
        <w:szCs w:val="24"/>
        <w:lang w:val="fr-FR"/>
      </w:rPr>
      <w:t>m</w:t>
    </w:r>
    <w:r w:rsidRPr="00F66431">
      <w:rPr>
        <w:rFonts w:ascii="Arial" w:hAnsi="Arial"/>
        <w:noProof/>
        <w:sz w:val="12"/>
        <w:szCs w:val="24"/>
        <w:lang w:val="fr-FR"/>
      </w:rPr>
      <w:t>m</w:t>
    </w:r>
    <w:r>
      <w:rPr>
        <w:rFonts w:ascii="Arial" w:hAnsi="Arial"/>
        <w:noProof/>
        <w:sz w:val="12"/>
        <w:szCs w:val="24"/>
        <w:lang w:val="fr-FR"/>
      </w:rPr>
      <w:t>_ba</w:t>
    </w:r>
    <w:r w:rsidRPr="00F66431">
      <w:rPr>
        <w:rFonts w:ascii="Arial" w:hAnsi="Arial"/>
        <w:noProof/>
        <w:sz w:val="12"/>
        <w:szCs w:val="24"/>
        <w:lang w:val="fr-FR"/>
      </w:rPr>
      <w:t>/adn_wp15_ac2_201</w:t>
    </w:r>
    <w:r>
      <w:rPr>
        <w:rFonts w:ascii="Arial" w:hAnsi="Arial"/>
        <w:noProof/>
        <w:sz w:val="12"/>
        <w:szCs w:val="24"/>
        <w:lang w:val="fr-FR"/>
      </w:rPr>
      <w:t>6</w:t>
    </w:r>
    <w:r w:rsidRPr="00F66431">
      <w:rPr>
        <w:rFonts w:ascii="Arial" w:hAnsi="Arial"/>
        <w:noProof/>
        <w:sz w:val="12"/>
        <w:szCs w:val="24"/>
        <w:lang w:val="fr-FR"/>
      </w:rPr>
      <w:t>_</w:t>
    </w:r>
    <w:r>
      <w:rPr>
        <w:rFonts w:ascii="Arial" w:hAnsi="Arial"/>
        <w:noProof/>
        <w:sz w:val="12"/>
        <w:szCs w:val="24"/>
        <w:lang w:val="fr-FR"/>
      </w:rPr>
      <w:t>20d</w:t>
    </w:r>
    <w:r w:rsidRPr="00F66431">
      <w:rPr>
        <w:rFonts w:ascii="Arial" w:hAnsi="Arial"/>
        <w:noProof/>
        <w:sz w:val="12"/>
        <w:szCs w:val="24"/>
        <w:lang w:val="fr-FR"/>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0B0" w:rsidRDefault="005E70B0">
      <w:pPr>
        <w:tabs>
          <w:tab w:val="right" w:pos="2155"/>
        </w:tabs>
        <w:spacing w:after="80"/>
        <w:ind w:left="680"/>
        <w:rPr>
          <w:u w:val="single"/>
        </w:rPr>
      </w:pPr>
      <w:r>
        <w:rPr>
          <w:u w:val="single"/>
        </w:rPr>
        <w:tab/>
      </w:r>
    </w:p>
  </w:footnote>
  <w:footnote w:type="continuationSeparator" w:id="0">
    <w:p w:rsidR="005E70B0" w:rsidRDefault="005E70B0">
      <w:pPr>
        <w:tabs>
          <w:tab w:val="left" w:pos="2155"/>
        </w:tabs>
        <w:spacing w:after="80"/>
        <w:ind w:left="680"/>
        <w:rPr>
          <w:u w:val="single"/>
        </w:rPr>
      </w:pPr>
      <w:r>
        <w:rPr>
          <w:u w:val="single"/>
        </w:rPr>
        <w:tab/>
      </w:r>
    </w:p>
  </w:footnote>
  <w:footnote w:type="continuationNotice" w:id="1">
    <w:p w:rsidR="005E70B0" w:rsidRDefault="005E70B0"/>
  </w:footnote>
  <w:footnote w:id="2">
    <w:p w:rsidR="005E70B0" w:rsidRDefault="005E70B0" w:rsidP="00185B0A">
      <w:pPr>
        <w:pStyle w:val="FootnoteText"/>
        <w:widowControl w:val="0"/>
        <w:tabs>
          <w:tab w:val="clear" w:pos="1021"/>
          <w:tab w:val="left" w:pos="284"/>
          <w:tab w:val="right" w:pos="426"/>
        </w:tabs>
        <w:ind w:left="567" w:right="566" w:hanging="283"/>
        <w:rPr>
          <w:sz w:val="16"/>
          <w:szCs w:val="24"/>
          <w:lang w:val="de-DE"/>
        </w:rPr>
      </w:pPr>
      <w:r w:rsidRPr="00617340">
        <w:rPr>
          <w:rStyle w:val="FootnoteReference"/>
          <w:sz w:val="16"/>
          <w:szCs w:val="24"/>
          <w:lang w:val="de-DE"/>
        </w:rPr>
        <w:footnoteRef/>
      </w:r>
      <w:r w:rsidRPr="00617340">
        <w:rPr>
          <w:sz w:val="16"/>
          <w:szCs w:val="24"/>
          <w:lang w:val="de-DE"/>
        </w:rPr>
        <w:tab/>
      </w:r>
      <w:r w:rsidRPr="00617340">
        <w:rPr>
          <w:sz w:val="16"/>
          <w:szCs w:val="24"/>
          <w:lang w:val="de-DE"/>
        </w:rPr>
        <w:tab/>
      </w:r>
      <w:r w:rsidRPr="00617340">
        <w:rPr>
          <w:noProof/>
          <w:sz w:val="16"/>
          <w:szCs w:val="24"/>
          <w:lang w:val="de-DE"/>
        </w:rPr>
        <w:t>Von der UN-ECE in Englisch, Französisch und Russisch unter dem Aktenzeichen ECE/</w:t>
      </w:r>
      <w:r w:rsidRPr="00617340">
        <w:rPr>
          <w:noProof/>
          <w:color w:val="000000"/>
          <w:sz w:val="16"/>
          <w:szCs w:val="24"/>
          <w:lang w:val="de-DE"/>
        </w:rPr>
        <w:t>TRANS/WP.15/AC.2/2016/20</w:t>
      </w:r>
      <w:r w:rsidRPr="00617340">
        <w:rPr>
          <w:noProof/>
          <w:sz w:val="16"/>
          <w:szCs w:val="24"/>
          <w:lang w:val="de-DE"/>
        </w:rPr>
        <w:t xml:space="preserve"> verteilt.</w:t>
      </w:r>
    </w:p>
  </w:footnote>
  <w:footnote w:id="3">
    <w:p w:rsidR="005E70B0" w:rsidRPr="007907E9" w:rsidRDefault="005E70B0" w:rsidP="00B37F52">
      <w:pPr>
        <w:pStyle w:val="FootnoteText"/>
        <w:rPr>
          <w:bCs/>
          <w:shd w:val="clear" w:color="auto" w:fill="B3B3B3"/>
          <w:lang w:val="de-DE"/>
        </w:rPr>
      </w:pPr>
      <w:r w:rsidRPr="007907E9">
        <w:rPr>
          <w:bCs/>
          <w:shd w:val="clear" w:color="auto" w:fill="FFFFFF" w:themeFill="background1"/>
          <w:lang w:val="de-DE"/>
        </w:rPr>
        <w:tab/>
      </w:r>
      <w:r w:rsidRPr="007907E9">
        <w:rPr>
          <w:rStyle w:val="FootnoteReference"/>
          <w:bCs/>
          <w:shd w:val="clear" w:color="auto" w:fill="FFFFFF" w:themeFill="background1"/>
          <w:lang w:val="de-DE"/>
        </w:rPr>
        <w:t>(1)</w:t>
      </w:r>
      <w:r w:rsidRPr="007907E9">
        <w:rPr>
          <w:bCs/>
          <w:shd w:val="clear" w:color="auto" w:fill="FFFFFF" w:themeFill="background1"/>
          <w:lang w:val="de-DE"/>
        </w:rPr>
        <w:t xml:space="preserve"> </w:t>
      </w:r>
      <w:r w:rsidRPr="007907E9">
        <w:rPr>
          <w:bCs/>
          <w:shd w:val="clear" w:color="auto" w:fill="FFFFFF" w:themeFill="background1"/>
          <w:lang w:val="de-DE"/>
        </w:rPr>
        <w:tab/>
      </w:r>
      <w:r w:rsidR="007907E9" w:rsidRPr="007907E9">
        <w:rPr>
          <w:bCs/>
          <w:shd w:val="clear" w:color="auto" w:fill="FFFFFF" w:themeFill="background1"/>
          <w:lang w:val="de-DE"/>
        </w:rPr>
        <w:t>Der Ausdruck</w:t>
      </w:r>
      <w:r w:rsidRPr="007907E9">
        <w:rPr>
          <w:rStyle w:val="FootnoteReference"/>
          <w:bCs/>
          <w:szCs w:val="18"/>
          <w:shd w:val="clear" w:color="auto" w:fill="FFFFFF" w:themeFill="background1"/>
          <w:vertAlign w:val="baseline"/>
          <w:lang w:val="de-DE"/>
        </w:rPr>
        <w:t xml:space="preserve"> </w:t>
      </w:r>
      <w:r w:rsidR="007907E9" w:rsidRPr="007907E9">
        <w:rPr>
          <w:rStyle w:val="FootnoteReference"/>
          <w:bCs/>
          <w:szCs w:val="18"/>
          <w:shd w:val="clear" w:color="auto" w:fill="FFFFFF" w:themeFill="background1"/>
          <w:vertAlign w:val="baseline"/>
          <w:lang w:val="de-DE"/>
        </w:rPr>
        <w:t>„S</w:t>
      </w:r>
      <w:r w:rsidR="007907E9" w:rsidRPr="007907E9">
        <w:rPr>
          <w:bCs/>
          <w:szCs w:val="18"/>
          <w:shd w:val="clear" w:color="auto" w:fill="FFFFFF" w:themeFill="background1"/>
          <w:lang w:val="de-DE"/>
        </w:rPr>
        <w:t>chiffszeugnis</w:t>
      </w:r>
      <w:r w:rsidR="007907E9" w:rsidRPr="007907E9">
        <w:rPr>
          <w:rFonts w:ascii="Arial" w:hAnsi="Arial" w:cs="Arial"/>
          <w:bCs/>
          <w:szCs w:val="18"/>
          <w:shd w:val="clear" w:color="auto" w:fill="FFFFFF" w:themeFill="background1"/>
          <w:lang w:val="de-DE"/>
        </w:rPr>
        <w:t>“</w:t>
      </w:r>
      <w:r w:rsidRPr="007907E9">
        <w:rPr>
          <w:bCs/>
          <w:szCs w:val="18"/>
          <w:shd w:val="clear" w:color="auto" w:fill="FFFFFF" w:themeFill="background1"/>
          <w:lang w:val="de-DE"/>
        </w:rPr>
        <w:t xml:space="preserve"> </w:t>
      </w:r>
      <w:r w:rsidR="007907E9" w:rsidRPr="007907E9">
        <w:rPr>
          <w:bCs/>
          <w:szCs w:val="18"/>
          <w:shd w:val="clear" w:color="auto" w:fill="FFFFFF" w:themeFill="background1"/>
          <w:lang w:val="de-DE"/>
        </w:rPr>
        <w:t>könnte geändert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B0" w:rsidRPr="00C70675" w:rsidRDefault="005E70B0" w:rsidP="00C70675">
    <w:pPr>
      <w:spacing w:line="240" w:lineRule="auto"/>
      <w:jc w:val="right"/>
    </w:pPr>
    <w:r w:rsidRPr="00AA28C1">
      <w:rPr>
        <w:rFonts w:ascii="Arial" w:hAnsi="Arial"/>
        <w:sz w:val="16"/>
        <w:szCs w:val="16"/>
        <w:lang w:eastAsia="fr-FR"/>
      </w:rPr>
      <w:t>CCNR-ZKR/ADN/WP.15/AC.2/2016/</w:t>
    </w:r>
    <w:r>
      <w:rPr>
        <w:rFonts w:ascii="Arial" w:hAnsi="Arial"/>
        <w:sz w:val="16"/>
        <w:szCs w:val="16"/>
        <w:lang w:eastAsia="fr-FR"/>
      </w:rPr>
      <w:t>20</w:t>
    </w:r>
    <w:r>
      <w:rPr>
        <w:rFonts w:ascii="Arial" w:hAnsi="Arial"/>
        <w:sz w:val="16"/>
        <w:szCs w:val="16"/>
        <w:lang w:eastAsia="fr-FR"/>
      </w:rPr>
      <w:br/>
    </w:r>
    <w:r w:rsidRPr="00AA28C1">
      <w:rPr>
        <w:rFonts w:ascii="Arial" w:hAnsi="Arial"/>
        <w:sz w:val="16"/>
        <w:szCs w:val="16"/>
        <w:lang w:val="fr-CH" w:eastAsia="fr-FR"/>
      </w:rPr>
      <w:t xml:space="preserve">Seite </w:t>
    </w:r>
    <w:r w:rsidRPr="00AA28C1">
      <w:rPr>
        <w:rFonts w:ascii="Arial" w:hAnsi="Arial"/>
        <w:sz w:val="16"/>
        <w:szCs w:val="16"/>
        <w:lang w:val="fr-CH" w:eastAsia="fr-FR"/>
      </w:rPr>
      <w:fldChar w:fldCharType="begin"/>
    </w:r>
    <w:r w:rsidRPr="00AA28C1">
      <w:rPr>
        <w:rFonts w:ascii="Arial" w:hAnsi="Arial"/>
        <w:sz w:val="16"/>
        <w:szCs w:val="16"/>
        <w:lang w:val="fr-CH" w:eastAsia="fr-FR"/>
      </w:rPr>
      <w:instrText xml:space="preserve"> PAGE  \* MERGEFORMAT </w:instrText>
    </w:r>
    <w:r w:rsidRPr="00AA28C1">
      <w:rPr>
        <w:rFonts w:ascii="Arial" w:hAnsi="Arial"/>
        <w:sz w:val="16"/>
        <w:szCs w:val="16"/>
        <w:lang w:val="fr-CH" w:eastAsia="fr-FR"/>
      </w:rPr>
      <w:fldChar w:fldCharType="separate"/>
    </w:r>
    <w:r w:rsidR="00C64CA2" w:rsidRPr="00C64CA2">
      <w:rPr>
        <w:rFonts w:ascii="Arial" w:hAnsi="Arial"/>
        <w:b/>
        <w:noProof/>
        <w:sz w:val="16"/>
        <w:szCs w:val="16"/>
        <w:lang w:val="fr-CH" w:eastAsia="fr-FR"/>
      </w:rPr>
      <w:t>2</w:t>
    </w:r>
    <w:r w:rsidRPr="00AA28C1">
      <w:rPr>
        <w:rFonts w:ascii="Arial" w:hAnsi="Arial"/>
        <w:sz w:val="16"/>
        <w:szCs w:val="16"/>
        <w:lang w:val="fr-CH" w:eastAsia="fr-F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B0" w:rsidRPr="007D1368" w:rsidRDefault="005E70B0" w:rsidP="007D1368">
    <w:pPr>
      <w:pStyle w:val="Header"/>
      <w:jc w:val="right"/>
      <w:rPr>
        <w:color w:val="FF0000"/>
      </w:rPr>
    </w:pPr>
    <w:r>
      <w:rPr>
        <w:color w:val="FF0000"/>
      </w:rPr>
      <w:t>INF.</w:t>
    </w:r>
    <w:r w:rsidRPr="007D1368">
      <w:rPr>
        <w:color w:val="FF0000"/>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B0" w:rsidRPr="00AA28C1" w:rsidRDefault="005E70B0" w:rsidP="00C70675">
    <w:pPr>
      <w:spacing w:line="240" w:lineRule="auto"/>
      <w:rPr>
        <w:rFonts w:ascii="Arial" w:hAnsi="Arial"/>
        <w:sz w:val="16"/>
        <w:szCs w:val="16"/>
        <w:lang w:eastAsia="fr-FR"/>
      </w:rPr>
    </w:pPr>
    <w:r w:rsidRPr="00AA28C1">
      <w:rPr>
        <w:rFonts w:ascii="Arial" w:hAnsi="Arial"/>
        <w:sz w:val="16"/>
        <w:szCs w:val="16"/>
        <w:lang w:eastAsia="fr-FR"/>
      </w:rPr>
      <w:t>CCNR-ZKR/ADN/WP.15/AC.2/2016/</w:t>
    </w:r>
    <w:r>
      <w:rPr>
        <w:rFonts w:ascii="Arial" w:hAnsi="Arial"/>
        <w:sz w:val="16"/>
        <w:szCs w:val="16"/>
        <w:lang w:eastAsia="fr-FR"/>
      </w:rPr>
      <w:t>20</w:t>
    </w:r>
  </w:p>
  <w:p w:rsidR="005E70B0" w:rsidRPr="00E7429E" w:rsidRDefault="005E70B0" w:rsidP="00C70675">
    <w:r w:rsidRPr="00AA28C1">
      <w:rPr>
        <w:rFonts w:ascii="Arial" w:hAnsi="Arial"/>
        <w:sz w:val="16"/>
        <w:szCs w:val="16"/>
        <w:lang w:val="fr-CH" w:eastAsia="fr-FR"/>
      </w:rPr>
      <w:t xml:space="preserve">Seite </w:t>
    </w:r>
    <w:r w:rsidRPr="00AA28C1">
      <w:rPr>
        <w:rFonts w:ascii="Arial" w:hAnsi="Arial"/>
        <w:sz w:val="16"/>
        <w:szCs w:val="16"/>
        <w:lang w:val="fr-CH" w:eastAsia="fr-FR"/>
      </w:rPr>
      <w:fldChar w:fldCharType="begin"/>
    </w:r>
    <w:r w:rsidRPr="00AA28C1">
      <w:rPr>
        <w:rFonts w:ascii="Arial" w:hAnsi="Arial"/>
        <w:sz w:val="16"/>
        <w:szCs w:val="16"/>
        <w:lang w:val="fr-CH" w:eastAsia="fr-FR"/>
      </w:rPr>
      <w:instrText xml:space="preserve"> PAGE  \* MERGEFORMAT </w:instrText>
    </w:r>
    <w:r w:rsidRPr="00AA28C1">
      <w:rPr>
        <w:rFonts w:ascii="Arial" w:hAnsi="Arial"/>
        <w:sz w:val="16"/>
        <w:szCs w:val="16"/>
        <w:lang w:val="fr-CH" w:eastAsia="fr-FR"/>
      </w:rPr>
      <w:fldChar w:fldCharType="separate"/>
    </w:r>
    <w:r w:rsidR="00C64CA2" w:rsidRPr="00C64CA2">
      <w:rPr>
        <w:rFonts w:ascii="Arial" w:hAnsi="Arial"/>
        <w:b/>
        <w:noProof/>
        <w:sz w:val="16"/>
        <w:szCs w:val="16"/>
        <w:lang w:val="fr-CH" w:eastAsia="fr-FR"/>
      </w:rPr>
      <w:t>14</w:t>
    </w:r>
    <w:r w:rsidRPr="00AA28C1">
      <w:rPr>
        <w:rFonts w:ascii="Arial" w:hAnsi="Arial"/>
        <w:sz w:val="16"/>
        <w:szCs w:val="16"/>
        <w:lang w:val="fr-CH" w:eastAsia="fr-F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B0" w:rsidRPr="00E7429E" w:rsidRDefault="005E70B0" w:rsidP="00C70675">
    <w:pPr>
      <w:spacing w:line="240" w:lineRule="auto"/>
      <w:jc w:val="right"/>
    </w:pPr>
    <w:r w:rsidRPr="00AA28C1">
      <w:rPr>
        <w:rFonts w:ascii="Arial" w:hAnsi="Arial"/>
        <w:sz w:val="16"/>
        <w:szCs w:val="16"/>
        <w:lang w:eastAsia="fr-FR"/>
      </w:rPr>
      <w:t>CCNR-ZKR/ADN/WP.15/AC.2/2016/</w:t>
    </w:r>
    <w:r>
      <w:rPr>
        <w:rFonts w:ascii="Arial" w:hAnsi="Arial"/>
        <w:sz w:val="16"/>
        <w:szCs w:val="16"/>
        <w:lang w:eastAsia="fr-FR"/>
      </w:rPr>
      <w:t>20</w:t>
    </w:r>
    <w:r>
      <w:rPr>
        <w:rFonts w:ascii="Arial" w:hAnsi="Arial"/>
        <w:sz w:val="16"/>
        <w:szCs w:val="16"/>
        <w:lang w:eastAsia="fr-FR"/>
      </w:rPr>
      <w:br/>
    </w:r>
    <w:r w:rsidRPr="00AA28C1">
      <w:rPr>
        <w:rFonts w:ascii="Arial" w:hAnsi="Arial"/>
        <w:sz w:val="16"/>
        <w:szCs w:val="16"/>
        <w:lang w:val="fr-CH" w:eastAsia="fr-FR"/>
      </w:rPr>
      <w:t xml:space="preserve">Seite </w:t>
    </w:r>
    <w:r w:rsidRPr="00AA28C1">
      <w:rPr>
        <w:rFonts w:ascii="Arial" w:hAnsi="Arial"/>
        <w:sz w:val="16"/>
        <w:szCs w:val="16"/>
        <w:lang w:val="fr-CH" w:eastAsia="fr-FR"/>
      </w:rPr>
      <w:fldChar w:fldCharType="begin"/>
    </w:r>
    <w:r w:rsidRPr="00AA28C1">
      <w:rPr>
        <w:rFonts w:ascii="Arial" w:hAnsi="Arial"/>
        <w:sz w:val="16"/>
        <w:szCs w:val="16"/>
        <w:lang w:val="fr-CH" w:eastAsia="fr-FR"/>
      </w:rPr>
      <w:instrText xml:space="preserve"> PAGE  \* MERGEFORMAT </w:instrText>
    </w:r>
    <w:r w:rsidRPr="00AA28C1">
      <w:rPr>
        <w:rFonts w:ascii="Arial" w:hAnsi="Arial"/>
        <w:sz w:val="16"/>
        <w:szCs w:val="16"/>
        <w:lang w:val="fr-CH" w:eastAsia="fr-FR"/>
      </w:rPr>
      <w:fldChar w:fldCharType="separate"/>
    </w:r>
    <w:r w:rsidR="00C64CA2" w:rsidRPr="00C64CA2">
      <w:rPr>
        <w:rFonts w:ascii="Arial" w:hAnsi="Arial"/>
        <w:b/>
        <w:noProof/>
        <w:sz w:val="16"/>
        <w:szCs w:val="16"/>
        <w:lang w:val="fr-CH" w:eastAsia="fr-FR"/>
      </w:rPr>
      <w:t>13</w:t>
    </w:r>
    <w:r w:rsidRPr="00AA28C1">
      <w:rPr>
        <w:rFonts w:ascii="Arial" w:hAnsi="Arial"/>
        <w:sz w:val="16"/>
        <w:szCs w:val="16"/>
        <w:lang w:val="fr-CH" w:eastAsia="fr-F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B0" w:rsidRPr="00F4048C" w:rsidRDefault="005E70B0" w:rsidP="003B0BC1">
    <w:pPr>
      <w:pStyle w:val="Header"/>
      <w:jc w:val="right"/>
      <w:rPr>
        <w:color w:val="000000"/>
      </w:rPr>
    </w:pPr>
    <w:r w:rsidRPr="00F4048C">
      <w:rPr>
        <w:color w:val="000000"/>
      </w:rPr>
      <w:t>INF.17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B0" w:rsidRPr="00AA28C1" w:rsidRDefault="005E70B0" w:rsidP="00C70675">
    <w:pPr>
      <w:spacing w:line="240" w:lineRule="auto"/>
      <w:rPr>
        <w:rFonts w:ascii="Arial" w:hAnsi="Arial"/>
        <w:sz w:val="16"/>
        <w:szCs w:val="16"/>
        <w:lang w:eastAsia="fr-FR"/>
      </w:rPr>
    </w:pPr>
    <w:r w:rsidRPr="00AA28C1">
      <w:rPr>
        <w:rFonts w:ascii="Arial" w:hAnsi="Arial"/>
        <w:sz w:val="16"/>
        <w:szCs w:val="16"/>
        <w:lang w:eastAsia="fr-FR"/>
      </w:rPr>
      <w:t>CCNR-ZKR/ADN/WP.15/AC.2/2016/</w:t>
    </w:r>
    <w:r w:rsidRPr="009C4620">
      <w:rPr>
        <w:rFonts w:ascii="Arial" w:hAnsi="Arial"/>
        <w:sz w:val="16"/>
        <w:szCs w:val="16"/>
        <w:lang w:eastAsia="fr-FR"/>
      </w:rPr>
      <w:t>20</w:t>
    </w:r>
  </w:p>
  <w:p w:rsidR="005E70B0" w:rsidRPr="009C4620" w:rsidRDefault="005E70B0" w:rsidP="00AC163B">
    <w:pPr>
      <w:pStyle w:val="Header"/>
      <w:pBdr>
        <w:bottom w:val="none" w:sz="0" w:space="0" w:color="auto"/>
      </w:pBdr>
      <w:rPr>
        <w:b w:val="0"/>
      </w:rPr>
    </w:pPr>
    <w:r w:rsidRPr="009C4620">
      <w:rPr>
        <w:rFonts w:ascii="Arial" w:hAnsi="Arial"/>
        <w:b w:val="0"/>
        <w:sz w:val="16"/>
        <w:szCs w:val="16"/>
        <w:lang w:val="fr-CH" w:eastAsia="fr-FR"/>
      </w:rPr>
      <w:t xml:space="preserve">Seite </w:t>
    </w:r>
    <w:r w:rsidRPr="009C4620">
      <w:rPr>
        <w:rFonts w:ascii="Arial" w:hAnsi="Arial"/>
        <w:b w:val="0"/>
        <w:sz w:val="16"/>
        <w:szCs w:val="16"/>
        <w:lang w:val="fr-CH" w:eastAsia="fr-FR"/>
      </w:rPr>
      <w:fldChar w:fldCharType="begin"/>
    </w:r>
    <w:r w:rsidRPr="009C4620">
      <w:rPr>
        <w:rFonts w:ascii="Arial" w:hAnsi="Arial"/>
        <w:b w:val="0"/>
        <w:sz w:val="16"/>
        <w:szCs w:val="16"/>
        <w:lang w:val="fr-CH" w:eastAsia="fr-FR"/>
      </w:rPr>
      <w:instrText xml:space="preserve"> PAGE  \* MERGEFORMAT </w:instrText>
    </w:r>
    <w:r w:rsidRPr="009C4620">
      <w:rPr>
        <w:rFonts w:ascii="Arial" w:hAnsi="Arial"/>
        <w:b w:val="0"/>
        <w:sz w:val="16"/>
        <w:szCs w:val="16"/>
        <w:lang w:val="fr-CH" w:eastAsia="fr-FR"/>
      </w:rPr>
      <w:fldChar w:fldCharType="separate"/>
    </w:r>
    <w:r w:rsidR="00C64CA2">
      <w:rPr>
        <w:rFonts w:ascii="Arial" w:hAnsi="Arial"/>
        <w:b w:val="0"/>
        <w:noProof/>
        <w:sz w:val="16"/>
        <w:szCs w:val="16"/>
        <w:lang w:val="fr-CH" w:eastAsia="fr-FR"/>
      </w:rPr>
      <w:t>16</w:t>
    </w:r>
    <w:r w:rsidRPr="009C4620">
      <w:rPr>
        <w:rFonts w:ascii="Arial" w:hAnsi="Arial"/>
        <w:b w:val="0"/>
        <w:sz w:val="16"/>
        <w:szCs w:val="16"/>
        <w:lang w:val="fr-CH" w:eastAsia="fr-F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B0" w:rsidRPr="00AA28C1" w:rsidRDefault="005E70B0" w:rsidP="00C70675">
    <w:pPr>
      <w:spacing w:line="240" w:lineRule="auto"/>
      <w:jc w:val="right"/>
      <w:rPr>
        <w:rFonts w:ascii="Arial" w:hAnsi="Arial"/>
        <w:sz w:val="16"/>
        <w:szCs w:val="16"/>
        <w:lang w:eastAsia="fr-FR"/>
      </w:rPr>
    </w:pPr>
    <w:r w:rsidRPr="00AA28C1">
      <w:rPr>
        <w:rFonts w:ascii="Arial" w:hAnsi="Arial"/>
        <w:sz w:val="16"/>
        <w:szCs w:val="16"/>
        <w:lang w:eastAsia="fr-FR"/>
      </w:rPr>
      <w:t>CCNR-ZKR/ADN/WP.15/AC.2/2016/</w:t>
    </w:r>
    <w:r>
      <w:rPr>
        <w:rFonts w:ascii="Arial" w:hAnsi="Arial"/>
        <w:sz w:val="16"/>
        <w:szCs w:val="16"/>
        <w:lang w:eastAsia="fr-FR"/>
      </w:rPr>
      <w:t>20</w:t>
    </w:r>
  </w:p>
  <w:p w:rsidR="005E70B0" w:rsidRPr="00AA28C1" w:rsidRDefault="005E70B0" w:rsidP="00AC163B">
    <w:pPr>
      <w:pStyle w:val="Header"/>
      <w:pBdr>
        <w:bottom w:val="none" w:sz="0" w:space="0" w:color="auto"/>
      </w:pBdr>
      <w:jc w:val="right"/>
    </w:pPr>
    <w:r w:rsidRPr="00AA28C1">
      <w:rPr>
        <w:rFonts w:ascii="Arial" w:hAnsi="Arial"/>
        <w:b w:val="0"/>
        <w:sz w:val="16"/>
        <w:szCs w:val="16"/>
        <w:lang w:val="fr-CH" w:eastAsia="fr-FR"/>
      </w:rPr>
      <w:t xml:space="preserve">Seite </w:t>
    </w:r>
    <w:r w:rsidRPr="00AA28C1">
      <w:rPr>
        <w:rFonts w:ascii="Arial" w:hAnsi="Arial"/>
        <w:sz w:val="16"/>
        <w:szCs w:val="16"/>
        <w:lang w:val="fr-CH" w:eastAsia="fr-FR"/>
      </w:rPr>
      <w:fldChar w:fldCharType="begin"/>
    </w:r>
    <w:r w:rsidRPr="00AA28C1">
      <w:rPr>
        <w:rFonts w:ascii="Arial" w:hAnsi="Arial"/>
        <w:b w:val="0"/>
        <w:sz w:val="16"/>
        <w:szCs w:val="16"/>
        <w:lang w:val="fr-CH" w:eastAsia="fr-FR"/>
      </w:rPr>
      <w:instrText xml:space="preserve"> PAGE  \* MERGEFORMAT </w:instrText>
    </w:r>
    <w:r w:rsidRPr="00AA28C1">
      <w:rPr>
        <w:rFonts w:ascii="Arial" w:hAnsi="Arial"/>
        <w:sz w:val="16"/>
        <w:szCs w:val="16"/>
        <w:lang w:val="fr-CH" w:eastAsia="fr-FR"/>
      </w:rPr>
      <w:fldChar w:fldCharType="separate"/>
    </w:r>
    <w:r w:rsidR="00C64CA2" w:rsidRPr="00C64CA2">
      <w:rPr>
        <w:rFonts w:ascii="Arial" w:hAnsi="Arial"/>
        <w:noProof/>
        <w:sz w:val="16"/>
        <w:szCs w:val="16"/>
        <w:lang w:val="fr-CH" w:eastAsia="fr-FR"/>
      </w:rPr>
      <w:t>15</w:t>
    </w:r>
    <w:r w:rsidRPr="00AA28C1">
      <w:rPr>
        <w:rFonts w:ascii="Arial" w:hAnsi="Arial"/>
        <w:sz w:val="16"/>
        <w:szCs w:val="16"/>
        <w:lang w:val="fr-CH" w:eastAsia="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9937C5"/>
    <w:multiLevelType w:val="hybridMultilevel"/>
    <w:tmpl w:val="ACA6CB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AB9522A"/>
    <w:multiLevelType w:val="hybridMultilevel"/>
    <w:tmpl w:val="9E22291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nsid w:val="1D877A96"/>
    <w:multiLevelType w:val="hybridMultilevel"/>
    <w:tmpl w:val="3A3C64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604305"/>
    <w:multiLevelType w:val="hybridMultilevel"/>
    <w:tmpl w:val="9A6A72DE"/>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1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F90CA9"/>
    <w:multiLevelType w:val="hybridMultilevel"/>
    <w:tmpl w:val="DE2E19BA"/>
    <w:lvl w:ilvl="0" w:tplc="693C826C">
      <w:start w:val="1"/>
      <w:numFmt w:val="low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3612D53"/>
    <w:multiLevelType w:val="hybridMultilevel"/>
    <w:tmpl w:val="179AE2F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nsid w:val="440125E1"/>
    <w:multiLevelType w:val="hybridMultilevel"/>
    <w:tmpl w:val="D62C13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C2A08FD"/>
    <w:multiLevelType w:val="hybridMultilevel"/>
    <w:tmpl w:val="2326D7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A4F3398"/>
    <w:multiLevelType w:val="hybridMultilevel"/>
    <w:tmpl w:val="19DA06E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8"/>
  </w:num>
  <w:num w:numId="16">
    <w:abstractNumId w:val="20"/>
  </w:num>
  <w:num w:numId="17">
    <w:abstractNumId w:val="11"/>
  </w:num>
  <w:num w:numId="18">
    <w:abstractNumId w:val="21"/>
  </w:num>
  <w:num w:numId="19">
    <w:abstractNumId w:val="19"/>
  </w:num>
  <w:num w:numId="20">
    <w:abstractNumId w:val="13"/>
  </w:num>
  <w:num w:numId="21">
    <w:abstractNumId w:val="15"/>
  </w:num>
  <w:num w:numId="22">
    <w:abstractNumId w:val="16"/>
  </w:num>
  <w:num w:numId="2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fr-CH" w:vendorID="64" w:dllVersion="131078" w:nlCheck="1" w:checkStyle="1"/>
  <w:attachedTemplate r:id="rId1"/>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40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BA"/>
    <w:rsid w:val="00003557"/>
    <w:rsid w:val="000240B8"/>
    <w:rsid w:val="00032BCA"/>
    <w:rsid w:val="000338DA"/>
    <w:rsid w:val="000401CE"/>
    <w:rsid w:val="00045D1E"/>
    <w:rsid w:val="00045D37"/>
    <w:rsid w:val="00045FDE"/>
    <w:rsid w:val="0005091C"/>
    <w:rsid w:val="000517E2"/>
    <w:rsid w:val="00057106"/>
    <w:rsid w:val="0006413B"/>
    <w:rsid w:val="00073D8C"/>
    <w:rsid w:val="0007416F"/>
    <w:rsid w:val="0007517C"/>
    <w:rsid w:val="00093541"/>
    <w:rsid w:val="0009700B"/>
    <w:rsid w:val="000B337A"/>
    <w:rsid w:val="000C242E"/>
    <w:rsid w:val="000C2B7F"/>
    <w:rsid w:val="000C54D8"/>
    <w:rsid w:val="000D3066"/>
    <w:rsid w:val="000D63C6"/>
    <w:rsid w:val="000D6DB2"/>
    <w:rsid w:val="000E0446"/>
    <w:rsid w:val="000F2AA3"/>
    <w:rsid w:val="000F5C89"/>
    <w:rsid w:val="000F626D"/>
    <w:rsid w:val="000F69B0"/>
    <w:rsid w:val="001007D8"/>
    <w:rsid w:val="00105163"/>
    <w:rsid w:val="00106B11"/>
    <w:rsid w:val="00112D7A"/>
    <w:rsid w:val="00112E69"/>
    <w:rsid w:val="00113973"/>
    <w:rsid w:val="00114DCA"/>
    <w:rsid w:val="001177EE"/>
    <w:rsid w:val="00123727"/>
    <w:rsid w:val="0012656F"/>
    <w:rsid w:val="00136DFD"/>
    <w:rsid w:val="0014220F"/>
    <w:rsid w:val="00144348"/>
    <w:rsid w:val="00151529"/>
    <w:rsid w:val="00151B62"/>
    <w:rsid w:val="0016094E"/>
    <w:rsid w:val="00167350"/>
    <w:rsid w:val="00167467"/>
    <w:rsid w:val="0017140D"/>
    <w:rsid w:val="0018416D"/>
    <w:rsid w:val="00185B0A"/>
    <w:rsid w:val="0018765D"/>
    <w:rsid w:val="00196EF4"/>
    <w:rsid w:val="001A136F"/>
    <w:rsid w:val="001A63AC"/>
    <w:rsid w:val="001A74D2"/>
    <w:rsid w:val="001A752B"/>
    <w:rsid w:val="001B1E4B"/>
    <w:rsid w:val="001B78C6"/>
    <w:rsid w:val="001E1210"/>
    <w:rsid w:val="001F1613"/>
    <w:rsid w:val="001F2C99"/>
    <w:rsid w:val="00202FBB"/>
    <w:rsid w:val="00210044"/>
    <w:rsid w:val="00213C99"/>
    <w:rsid w:val="0022283B"/>
    <w:rsid w:val="00224AF3"/>
    <w:rsid w:val="00244988"/>
    <w:rsid w:val="00250A44"/>
    <w:rsid w:val="00253571"/>
    <w:rsid w:val="002542E3"/>
    <w:rsid w:val="00255A0D"/>
    <w:rsid w:val="0026730E"/>
    <w:rsid w:val="002722A7"/>
    <w:rsid w:val="002727DA"/>
    <w:rsid w:val="00290107"/>
    <w:rsid w:val="002928A3"/>
    <w:rsid w:val="00296086"/>
    <w:rsid w:val="0029755E"/>
    <w:rsid w:val="002A244A"/>
    <w:rsid w:val="002A4805"/>
    <w:rsid w:val="002A6C9F"/>
    <w:rsid w:val="002D39F0"/>
    <w:rsid w:val="002E68A0"/>
    <w:rsid w:val="002E6C4A"/>
    <w:rsid w:val="00302A0A"/>
    <w:rsid w:val="00317A61"/>
    <w:rsid w:val="00337276"/>
    <w:rsid w:val="00337504"/>
    <w:rsid w:val="00340F33"/>
    <w:rsid w:val="0034439A"/>
    <w:rsid w:val="0034563C"/>
    <w:rsid w:val="00347589"/>
    <w:rsid w:val="003574AF"/>
    <w:rsid w:val="0036513E"/>
    <w:rsid w:val="00371DEB"/>
    <w:rsid w:val="003762E9"/>
    <w:rsid w:val="00381A41"/>
    <w:rsid w:val="00386B4E"/>
    <w:rsid w:val="00387CCD"/>
    <w:rsid w:val="00391587"/>
    <w:rsid w:val="00394277"/>
    <w:rsid w:val="003A0DC0"/>
    <w:rsid w:val="003A3FBA"/>
    <w:rsid w:val="003A55D0"/>
    <w:rsid w:val="003B0890"/>
    <w:rsid w:val="003B0BC1"/>
    <w:rsid w:val="003C46A0"/>
    <w:rsid w:val="003C704A"/>
    <w:rsid w:val="003E4E69"/>
    <w:rsid w:val="003E65EC"/>
    <w:rsid w:val="003F270A"/>
    <w:rsid w:val="004202BD"/>
    <w:rsid w:val="0042401A"/>
    <w:rsid w:val="004305B1"/>
    <w:rsid w:val="004305EF"/>
    <w:rsid w:val="00440BBD"/>
    <w:rsid w:val="00446DF6"/>
    <w:rsid w:val="004477CE"/>
    <w:rsid w:val="004531C4"/>
    <w:rsid w:val="0045368F"/>
    <w:rsid w:val="00461104"/>
    <w:rsid w:val="00467076"/>
    <w:rsid w:val="00471D7A"/>
    <w:rsid w:val="00472859"/>
    <w:rsid w:val="00476A6C"/>
    <w:rsid w:val="004801A0"/>
    <w:rsid w:val="004808A8"/>
    <w:rsid w:val="004819CF"/>
    <w:rsid w:val="004828B7"/>
    <w:rsid w:val="00483375"/>
    <w:rsid w:val="004A1F60"/>
    <w:rsid w:val="004A443C"/>
    <w:rsid w:val="004B170B"/>
    <w:rsid w:val="004B1841"/>
    <w:rsid w:val="004B5AA9"/>
    <w:rsid w:val="004D4787"/>
    <w:rsid w:val="004E2028"/>
    <w:rsid w:val="004E4C77"/>
    <w:rsid w:val="004E4CC3"/>
    <w:rsid w:val="005055CC"/>
    <w:rsid w:val="00505839"/>
    <w:rsid w:val="0051398E"/>
    <w:rsid w:val="00515A2B"/>
    <w:rsid w:val="00516856"/>
    <w:rsid w:val="005235DD"/>
    <w:rsid w:val="00525493"/>
    <w:rsid w:val="00526A9D"/>
    <w:rsid w:val="00526CCA"/>
    <w:rsid w:val="00530FFE"/>
    <w:rsid w:val="00537B62"/>
    <w:rsid w:val="00541A11"/>
    <w:rsid w:val="0054379F"/>
    <w:rsid w:val="005553BB"/>
    <w:rsid w:val="00561D65"/>
    <w:rsid w:val="005658CD"/>
    <w:rsid w:val="00572236"/>
    <w:rsid w:val="005727EA"/>
    <w:rsid w:val="00573F2E"/>
    <w:rsid w:val="005827CD"/>
    <w:rsid w:val="005833CB"/>
    <w:rsid w:val="0058438D"/>
    <w:rsid w:val="0059170C"/>
    <w:rsid w:val="005A181A"/>
    <w:rsid w:val="005B16DC"/>
    <w:rsid w:val="005B1B5E"/>
    <w:rsid w:val="005B34D6"/>
    <w:rsid w:val="005B3EFE"/>
    <w:rsid w:val="005B54FA"/>
    <w:rsid w:val="005C037C"/>
    <w:rsid w:val="005C467F"/>
    <w:rsid w:val="005C67EE"/>
    <w:rsid w:val="005C75D9"/>
    <w:rsid w:val="005C77E7"/>
    <w:rsid w:val="005D1935"/>
    <w:rsid w:val="005E4990"/>
    <w:rsid w:val="005E6668"/>
    <w:rsid w:val="005E684E"/>
    <w:rsid w:val="005E70B0"/>
    <w:rsid w:val="005F34E6"/>
    <w:rsid w:val="0060173D"/>
    <w:rsid w:val="0060225A"/>
    <w:rsid w:val="006166F4"/>
    <w:rsid w:val="00617340"/>
    <w:rsid w:val="006234CC"/>
    <w:rsid w:val="00626057"/>
    <w:rsid w:val="006264EB"/>
    <w:rsid w:val="00627471"/>
    <w:rsid w:val="00635F8D"/>
    <w:rsid w:val="00647C6D"/>
    <w:rsid w:val="00652C53"/>
    <w:rsid w:val="00661D28"/>
    <w:rsid w:val="00662DDA"/>
    <w:rsid w:val="0067429C"/>
    <w:rsid w:val="00677230"/>
    <w:rsid w:val="00684A12"/>
    <w:rsid w:val="00694E75"/>
    <w:rsid w:val="00696FBC"/>
    <w:rsid w:val="00697CA2"/>
    <w:rsid w:val="006A5BAF"/>
    <w:rsid w:val="006B2957"/>
    <w:rsid w:val="006B63BD"/>
    <w:rsid w:val="006C595D"/>
    <w:rsid w:val="006C6784"/>
    <w:rsid w:val="006C78AD"/>
    <w:rsid w:val="006E04EA"/>
    <w:rsid w:val="006E1FA4"/>
    <w:rsid w:val="006F025C"/>
    <w:rsid w:val="006F3225"/>
    <w:rsid w:val="006F55E4"/>
    <w:rsid w:val="006F765D"/>
    <w:rsid w:val="00703069"/>
    <w:rsid w:val="00704C49"/>
    <w:rsid w:val="00715A30"/>
    <w:rsid w:val="00716E45"/>
    <w:rsid w:val="00722D7D"/>
    <w:rsid w:val="007455D9"/>
    <w:rsid w:val="007503D0"/>
    <w:rsid w:val="00753755"/>
    <w:rsid w:val="00753ABE"/>
    <w:rsid w:val="00766059"/>
    <w:rsid w:val="007721BD"/>
    <w:rsid w:val="00775959"/>
    <w:rsid w:val="00776067"/>
    <w:rsid w:val="00781BB4"/>
    <w:rsid w:val="007848CB"/>
    <w:rsid w:val="007907E9"/>
    <w:rsid w:val="00791A74"/>
    <w:rsid w:val="00792939"/>
    <w:rsid w:val="00797DEA"/>
    <w:rsid w:val="007A17FC"/>
    <w:rsid w:val="007A30BD"/>
    <w:rsid w:val="007A63E9"/>
    <w:rsid w:val="007B799C"/>
    <w:rsid w:val="007C2E8E"/>
    <w:rsid w:val="007C5E57"/>
    <w:rsid w:val="007C6011"/>
    <w:rsid w:val="007D1368"/>
    <w:rsid w:val="007E697E"/>
    <w:rsid w:val="007E781D"/>
    <w:rsid w:val="0080168B"/>
    <w:rsid w:val="00806A75"/>
    <w:rsid w:val="008129E4"/>
    <w:rsid w:val="00817A1C"/>
    <w:rsid w:val="00820568"/>
    <w:rsid w:val="00820A23"/>
    <w:rsid w:val="00831E12"/>
    <w:rsid w:val="00835F82"/>
    <w:rsid w:val="0085389B"/>
    <w:rsid w:val="00856A9B"/>
    <w:rsid w:val="008610F7"/>
    <w:rsid w:val="00867AAE"/>
    <w:rsid w:val="00873FDB"/>
    <w:rsid w:val="00874E4D"/>
    <w:rsid w:val="00877E7D"/>
    <w:rsid w:val="0088229B"/>
    <w:rsid w:val="00882429"/>
    <w:rsid w:val="00890A0F"/>
    <w:rsid w:val="00890A31"/>
    <w:rsid w:val="00891D8D"/>
    <w:rsid w:val="008B29D4"/>
    <w:rsid w:val="008B415A"/>
    <w:rsid w:val="008B670D"/>
    <w:rsid w:val="008B707C"/>
    <w:rsid w:val="008C4C09"/>
    <w:rsid w:val="008C69F5"/>
    <w:rsid w:val="008D17B4"/>
    <w:rsid w:val="008D3F56"/>
    <w:rsid w:val="008D577B"/>
    <w:rsid w:val="008D5B58"/>
    <w:rsid w:val="008D7A1F"/>
    <w:rsid w:val="008E03F7"/>
    <w:rsid w:val="008E4A57"/>
    <w:rsid w:val="008E6B15"/>
    <w:rsid w:val="00906FB6"/>
    <w:rsid w:val="009113CA"/>
    <w:rsid w:val="0092011E"/>
    <w:rsid w:val="009208A8"/>
    <w:rsid w:val="00933D84"/>
    <w:rsid w:val="009342A3"/>
    <w:rsid w:val="00934B5F"/>
    <w:rsid w:val="00936035"/>
    <w:rsid w:val="00941BD9"/>
    <w:rsid w:val="0094315C"/>
    <w:rsid w:val="00944BD8"/>
    <w:rsid w:val="00945226"/>
    <w:rsid w:val="009531C6"/>
    <w:rsid w:val="009559F7"/>
    <w:rsid w:val="00960211"/>
    <w:rsid w:val="00960DB8"/>
    <w:rsid w:val="009823A5"/>
    <w:rsid w:val="0098464F"/>
    <w:rsid w:val="00984E09"/>
    <w:rsid w:val="0098672F"/>
    <w:rsid w:val="009933A5"/>
    <w:rsid w:val="009960EE"/>
    <w:rsid w:val="009A030B"/>
    <w:rsid w:val="009A5187"/>
    <w:rsid w:val="009A6F28"/>
    <w:rsid w:val="009B04B9"/>
    <w:rsid w:val="009B7958"/>
    <w:rsid w:val="009C00FB"/>
    <w:rsid w:val="009C4620"/>
    <w:rsid w:val="009C5DEE"/>
    <w:rsid w:val="009C77F5"/>
    <w:rsid w:val="009D3F9F"/>
    <w:rsid w:val="009D5B92"/>
    <w:rsid w:val="009D60B7"/>
    <w:rsid w:val="009D7966"/>
    <w:rsid w:val="009E7B20"/>
    <w:rsid w:val="00A00160"/>
    <w:rsid w:val="00A061DF"/>
    <w:rsid w:val="00A1385B"/>
    <w:rsid w:val="00A42D5D"/>
    <w:rsid w:val="00A54C98"/>
    <w:rsid w:val="00A562D3"/>
    <w:rsid w:val="00A56814"/>
    <w:rsid w:val="00A677E6"/>
    <w:rsid w:val="00A70354"/>
    <w:rsid w:val="00AA28C1"/>
    <w:rsid w:val="00AB4079"/>
    <w:rsid w:val="00AB5FE4"/>
    <w:rsid w:val="00AC163B"/>
    <w:rsid w:val="00AC177C"/>
    <w:rsid w:val="00AC5440"/>
    <w:rsid w:val="00AC7A34"/>
    <w:rsid w:val="00AD000C"/>
    <w:rsid w:val="00AD3254"/>
    <w:rsid w:val="00AE1969"/>
    <w:rsid w:val="00AE1C51"/>
    <w:rsid w:val="00AE3611"/>
    <w:rsid w:val="00B01B63"/>
    <w:rsid w:val="00B03772"/>
    <w:rsid w:val="00B06434"/>
    <w:rsid w:val="00B07745"/>
    <w:rsid w:val="00B12181"/>
    <w:rsid w:val="00B12D35"/>
    <w:rsid w:val="00B17DF9"/>
    <w:rsid w:val="00B2080A"/>
    <w:rsid w:val="00B2208E"/>
    <w:rsid w:val="00B32EEA"/>
    <w:rsid w:val="00B36EED"/>
    <w:rsid w:val="00B37628"/>
    <w:rsid w:val="00B37697"/>
    <w:rsid w:val="00B37F52"/>
    <w:rsid w:val="00B52413"/>
    <w:rsid w:val="00B6345C"/>
    <w:rsid w:val="00B64AFA"/>
    <w:rsid w:val="00B65E66"/>
    <w:rsid w:val="00B71A8E"/>
    <w:rsid w:val="00B75A88"/>
    <w:rsid w:val="00B92A07"/>
    <w:rsid w:val="00BA2D5F"/>
    <w:rsid w:val="00BB1382"/>
    <w:rsid w:val="00BB5D71"/>
    <w:rsid w:val="00BB7A08"/>
    <w:rsid w:val="00BC56E0"/>
    <w:rsid w:val="00BC76D8"/>
    <w:rsid w:val="00BD1757"/>
    <w:rsid w:val="00BE0FE8"/>
    <w:rsid w:val="00BE28B7"/>
    <w:rsid w:val="00BE2F1C"/>
    <w:rsid w:val="00BE4121"/>
    <w:rsid w:val="00C030EB"/>
    <w:rsid w:val="00C05474"/>
    <w:rsid w:val="00C12963"/>
    <w:rsid w:val="00C22A52"/>
    <w:rsid w:val="00C339A0"/>
    <w:rsid w:val="00C33A25"/>
    <w:rsid w:val="00C460FB"/>
    <w:rsid w:val="00C51684"/>
    <w:rsid w:val="00C53189"/>
    <w:rsid w:val="00C57581"/>
    <w:rsid w:val="00C6221E"/>
    <w:rsid w:val="00C642C4"/>
    <w:rsid w:val="00C64CA2"/>
    <w:rsid w:val="00C65925"/>
    <w:rsid w:val="00C70675"/>
    <w:rsid w:val="00C711F2"/>
    <w:rsid w:val="00C80CCE"/>
    <w:rsid w:val="00C944F0"/>
    <w:rsid w:val="00CA0695"/>
    <w:rsid w:val="00CA1683"/>
    <w:rsid w:val="00CA4C81"/>
    <w:rsid w:val="00CA51A8"/>
    <w:rsid w:val="00CA704A"/>
    <w:rsid w:val="00CB562A"/>
    <w:rsid w:val="00CC2982"/>
    <w:rsid w:val="00CC6ED7"/>
    <w:rsid w:val="00CD5EBC"/>
    <w:rsid w:val="00CE1E80"/>
    <w:rsid w:val="00CE2FC5"/>
    <w:rsid w:val="00CE4D3E"/>
    <w:rsid w:val="00CF1270"/>
    <w:rsid w:val="00CF17EB"/>
    <w:rsid w:val="00CF663B"/>
    <w:rsid w:val="00CF6BF6"/>
    <w:rsid w:val="00D0177A"/>
    <w:rsid w:val="00D02E0F"/>
    <w:rsid w:val="00D11D6E"/>
    <w:rsid w:val="00D14932"/>
    <w:rsid w:val="00D20433"/>
    <w:rsid w:val="00D2091B"/>
    <w:rsid w:val="00D21631"/>
    <w:rsid w:val="00D21A03"/>
    <w:rsid w:val="00D2330F"/>
    <w:rsid w:val="00D53C6B"/>
    <w:rsid w:val="00D56FD2"/>
    <w:rsid w:val="00D61720"/>
    <w:rsid w:val="00D66C42"/>
    <w:rsid w:val="00D71354"/>
    <w:rsid w:val="00D811FF"/>
    <w:rsid w:val="00D8691E"/>
    <w:rsid w:val="00D86CD5"/>
    <w:rsid w:val="00D9326B"/>
    <w:rsid w:val="00DC1937"/>
    <w:rsid w:val="00DC1FB4"/>
    <w:rsid w:val="00DC5CF4"/>
    <w:rsid w:val="00DD4208"/>
    <w:rsid w:val="00DE024B"/>
    <w:rsid w:val="00DE2CD7"/>
    <w:rsid w:val="00DF2D67"/>
    <w:rsid w:val="00DF2DC6"/>
    <w:rsid w:val="00DF410F"/>
    <w:rsid w:val="00E033A7"/>
    <w:rsid w:val="00E16A8D"/>
    <w:rsid w:val="00E16C6E"/>
    <w:rsid w:val="00E230BE"/>
    <w:rsid w:val="00E30A67"/>
    <w:rsid w:val="00E31D5D"/>
    <w:rsid w:val="00E351E4"/>
    <w:rsid w:val="00E42E4B"/>
    <w:rsid w:val="00E45432"/>
    <w:rsid w:val="00E565A4"/>
    <w:rsid w:val="00E6101D"/>
    <w:rsid w:val="00E62C81"/>
    <w:rsid w:val="00E74289"/>
    <w:rsid w:val="00E7429E"/>
    <w:rsid w:val="00E742AA"/>
    <w:rsid w:val="00E80222"/>
    <w:rsid w:val="00E9440F"/>
    <w:rsid w:val="00E9660B"/>
    <w:rsid w:val="00EA117D"/>
    <w:rsid w:val="00EA66AE"/>
    <w:rsid w:val="00EB0FEA"/>
    <w:rsid w:val="00EB13A1"/>
    <w:rsid w:val="00EB1E5C"/>
    <w:rsid w:val="00EB3DDC"/>
    <w:rsid w:val="00EB4E6A"/>
    <w:rsid w:val="00EC23E6"/>
    <w:rsid w:val="00EC3683"/>
    <w:rsid w:val="00EE50A9"/>
    <w:rsid w:val="00EF3C3C"/>
    <w:rsid w:val="00F152A8"/>
    <w:rsid w:val="00F1616D"/>
    <w:rsid w:val="00F16614"/>
    <w:rsid w:val="00F21E77"/>
    <w:rsid w:val="00F21F0F"/>
    <w:rsid w:val="00F25AF2"/>
    <w:rsid w:val="00F26256"/>
    <w:rsid w:val="00F26E48"/>
    <w:rsid w:val="00F309A2"/>
    <w:rsid w:val="00F36784"/>
    <w:rsid w:val="00F36D0F"/>
    <w:rsid w:val="00F4048C"/>
    <w:rsid w:val="00F502B5"/>
    <w:rsid w:val="00F517BB"/>
    <w:rsid w:val="00F54486"/>
    <w:rsid w:val="00F609B7"/>
    <w:rsid w:val="00F711AA"/>
    <w:rsid w:val="00F714AB"/>
    <w:rsid w:val="00F75D32"/>
    <w:rsid w:val="00F81F24"/>
    <w:rsid w:val="00F84B81"/>
    <w:rsid w:val="00FA0884"/>
    <w:rsid w:val="00FA497C"/>
    <w:rsid w:val="00FA58F8"/>
    <w:rsid w:val="00FA687B"/>
    <w:rsid w:val="00FB4712"/>
    <w:rsid w:val="00FC6D5D"/>
    <w:rsid w:val="00FC6FDC"/>
    <w:rsid w:val="00FD5B29"/>
    <w:rsid w:val="00FD7AA1"/>
    <w:rsid w:val="00FE021B"/>
    <w:rsid w:val="00FE19D0"/>
    <w:rsid w:val="00FE19DA"/>
    <w:rsid w:val="00FE59FB"/>
    <w:rsid w:val="00FF7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character" w:styleId="PageNumber">
    <w:name w:val="page number"/>
    <w:aliases w:val="7_G"/>
    <w:semiHidden/>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semiHidden/>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link w:val="FootnoteTextChar"/>
    <w:pPr>
      <w:tabs>
        <w:tab w:val="right" w:pos="1021"/>
      </w:tabs>
      <w:spacing w:line="220" w:lineRule="exact"/>
      <w:ind w:left="1134" w:right="1134" w:hanging="1134"/>
    </w:pPr>
    <w:rPr>
      <w:sz w:val="18"/>
      <w:lang w:val="x-none"/>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emiHidden/>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semiHidden/>
    <w:pPr>
      <w:spacing w:line="240" w:lineRule="auto"/>
    </w:pPr>
    <w:rPr>
      <w:sz w:val="16"/>
    </w:rPr>
  </w:style>
  <w:style w:type="paragraph" w:styleId="Header">
    <w:name w:val="header"/>
    <w:aliases w:val="6_G"/>
    <w:basedOn w:val="Normal"/>
    <w:semiHidden/>
    <w:pPr>
      <w:pBdr>
        <w:bottom w:val="single" w:sz="4" w:space="4" w:color="auto"/>
      </w:pBdr>
      <w:spacing w:line="240" w:lineRule="auto"/>
    </w:pPr>
    <w:rPr>
      <w:b/>
      <w:sz w:val="18"/>
    </w:rPr>
  </w:style>
  <w:style w:type="character" w:customStyle="1" w:styleId="FootnoteTextChar">
    <w:name w:val="Footnote Text Char"/>
    <w:aliases w:val="5_G Char"/>
    <w:link w:val="FootnoteText"/>
    <w:rsid w:val="004E4CC3"/>
    <w:rPr>
      <w:sz w:val="18"/>
      <w:lang w:eastAsia="en-US"/>
    </w:rPr>
  </w:style>
  <w:style w:type="table" w:styleId="TableGrid">
    <w:name w:val="Table Grid"/>
    <w:basedOn w:val="TableNormal"/>
    <w:rsid w:val="0033727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5C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C8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character" w:styleId="PageNumber">
    <w:name w:val="page number"/>
    <w:aliases w:val="7_G"/>
    <w:semiHidden/>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semiHidden/>
    <w:rPr>
      <w:rFonts w:ascii="Times New Roman" w:hAnsi="Times New Roman"/>
      <w:sz w:val="18"/>
      <w:vertAlign w:val="superscript"/>
    </w:rPr>
  </w:style>
  <w:style w:type="character" w:styleId="FootnoteReference">
    <w:name w:val="footnote reference"/>
    <w:aliases w:val="4_G"/>
    <w:rPr>
      <w:rFonts w:ascii="Times New Roman" w:hAnsi="Times New Roman"/>
      <w:sz w:val="18"/>
      <w:vertAlign w:val="superscript"/>
    </w:rPr>
  </w:style>
  <w:style w:type="paragraph" w:styleId="FootnoteText">
    <w:name w:val="footnote text"/>
    <w:aliases w:val="5_G"/>
    <w:basedOn w:val="Normal"/>
    <w:link w:val="FootnoteTextChar"/>
    <w:pPr>
      <w:tabs>
        <w:tab w:val="right" w:pos="1021"/>
      </w:tabs>
      <w:spacing w:line="220" w:lineRule="exact"/>
      <w:ind w:left="1134" w:right="1134" w:hanging="1134"/>
    </w:pPr>
    <w:rPr>
      <w:sz w:val="18"/>
      <w:lang w:val="x-none"/>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emiHidden/>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semiHidden/>
    <w:pPr>
      <w:spacing w:line="240" w:lineRule="auto"/>
    </w:pPr>
    <w:rPr>
      <w:sz w:val="16"/>
    </w:rPr>
  </w:style>
  <w:style w:type="paragraph" w:styleId="Header">
    <w:name w:val="header"/>
    <w:aliases w:val="6_G"/>
    <w:basedOn w:val="Normal"/>
    <w:semiHidden/>
    <w:pPr>
      <w:pBdr>
        <w:bottom w:val="single" w:sz="4" w:space="4" w:color="auto"/>
      </w:pBdr>
      <w:spacing w:line="240" w:lineRule="auto"/>
    </w:pPr>
    <w:rPr>
      <w:b/>
      <w:sz w:val="18"/>
    </w:rPr>
  </w:style>
  <w:style w:type="character" w:customStyle="1" w:styleId="FootnoteTextChar">
    <w:name w:val="Footnote Text Char"/>
    <w:aliases w:val="5_G Char"/>
    <w:link w:val="FootnoteText"/>
    <w:rsid w:val="004E4CC3"/>
    <w:rPr>
      <w:sz w:val="18"/>
      <w:lang w:eastAsia="en-US"/>
    </w:rPr>
  </w:style>
  <w:style w:type="table" w:styleId="TableGrid">
    <w:name w:val="Table Grid"/>
    <w:basedOn w:val="TableNormal"/>
    <w:rsid w:val="00337276"/>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5C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C8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8D6A2-319B-4A4A-B9C3-60D7F8A3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Template>
  <TotalTime>4</TotalTime>
  <Pages>16</Pages>
  <Words>4787</Words>
  <Characters>27289</Characters>
  <Application>Microsoft Office Word</Application>
  <DocSecurity>0</DocSecurity>
  <Lines>227</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ECE-TRANS-WP15-AC2-2016-20_VA.doc</vt:lpstr>
      <vt:lpstr>ECE-TRANS-WP15-AC2-2016-20_VA.doc</vt:lpstr>
    </vt:vector>
  </TitlesOfParts>
  <Company>MEDDE</Company>
  <LinksUpToDate>false</LinksUpToDate>
  <CharactersWithSpaces>32012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ECE-TRANS-WP15-AC2-2016-20_VA.doc</dc:title>
  <dc:creator>Pierre Dufour</dc:creator>
  <cp:lastModifiedBy>Caillot</cp:lastModifiedBy>
  <cp:revision>2</cp:revision>
  <cp:lastPrinted>2015-12-14T13:21:00Z</cp:lastPrinted>
  <dcterms:created xsi:type="dcterms:W3CDTF">2015-12-14T15:01:00Z</dcterms:created>
  <dcterms:modified xsi:type="dcterms:W3CDTF">2015-12-14T15:01:00Z</dcterms:modified>
</cp:coreProperties>
</file>