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A17EEC" w:rsidTr="00F01516">
        <w:trPr>
          <w:trHeight w:hRule="exact" w:val="851"/>
        </w:trPr>
        <w:tc>
          <w:tcPr>
            <w:tcW w:w="1277" w:type="dxa"/>
            <w:tcBorders>
              <w:bottom w:val="single" w:sz="4" w:space="0" w:color="auto"/>
            </w:tcBorders>
          </w:tcPr>
          <w:p w:rsidR="003D1DF3" w:rsidRPr="00A17EEC" w:rsidRDefault="003D1DF3" w:rsidP="00F01516">
            <w:pPr>
              <w:rPr>
                <w:lang w:val="fr-FR"/>
              </w:rPr>
            </w:pPr>
          </w:p>
        </w:tc>
        <w:tc>
          <w:tcPr>
            <w:tcW w:w="2268" w:type="dxa"/>
            <w:tcBorders>
              <w:bottom w:val="single" w:sz="4" w:space="0" w:color="auto"/>
            </w:tcBorders>
            <w:vAlign w:val="bottom"/>
          </w:tcPr>
          <w:p w:rsidR="003D1DF3" w:rsidRPr="00A17EEC" w:rsidRDefault="003D1DF3" w:rsidP="00F01516">
            <w:pPr>
              <w:spacing w:after="80" w:line="300" w:lineRule="exact"/>
              <w:rPr>
                <w:sz w:val="28"/>
                <w:lang w:val="fr-FR"/>
              </w:rPr>
            </w:pPr>
            <w:r w:rsidRPr="00A17EEC">
              <w:rPr>
                <w:sz w:val="28"/>
                <w:lang w:val="fr-FR"/>
              </w:rPr>
              <w:t>Nations Unies</w:t>
            </w:r>
          </w:p>
        </w:tc>
        <w:tc>
          <w:tcPr>
            <w:tcW w:w="6094" w:type="dxa"/>
            <w:gridSpan w:val="2"/>
            <w:tcBorders>
              <w:bottom w:val="single" w:sz="4" w:space="0" w:color="auto"/>
            </w:tcBorders>
            <w:vAlign w:val="bottom"/>
          </w:tcPr>
          <w:p w:rsidR="003D1DF3" w:rsidRPr="00A17EEC" w:rsidRDefault="00E56809" w:rsidP="002C0B1E">
            <w:pPr>
              <w:jc w:val="right"/>
              <w:rPr>
                <w:lang w:val="fr-FR"/>
              </w:rPr>
            </w:pPr>
            <w:r w:rsidRPr="00E56809">
              <w:rPr>
                <w:sz w:val="40"/>
                <w:lang w:val="fr-FR"/>
              </w:rPr>
              <w:t>ECE</w:t>
            </w:r>
            <w:r>
              <w:rPr>
                <w:lang w:val="fr-FR"/>
              </w:rPr>
              <w:t>/TRANS/WP.15/AC.2/2016/</w:t>
            </w:r>
            <w:r w:rsidR="00FF2F7F">
              <w:rPr>
                <w:lang w:val="fr-FR"/>
              </w:rPr>
              <w:t>2</w:t>
            </w:r>
            <w:r w:rsidR="002C0B1E">
              <w:rPr>
                <w:lang w:val="fr-FR"/>
              </w:rPr>
              <w:t>2</w:t>
            </w:r>
          </w:p>
        </w:tc>
      </w:tr>
      <w:tr w:rsidR="003D1DF3" w:rsidRPr="00A17EEC" w:rsidTr="00F01516">
        <w:trPr>
          <w:trHeight w:hRule="exact" w:val="2835"/>
        </w:trPr>
        <w:tc>
          <w:tcPr>
            <w:tcW w:w="1276" w:type="dxa"/>
            <w:tcBorders>
              <w:top w:val="single" w:sz="4" w:space="0" w:color="auto"/>
              <w:bottom w:val="single" w:sz="12" w:space="0" w:color="auto"/>
            </w:tcBorders>
          </w:tcPr>
          <w:p w:rsidR="003D1DF3" w:rsidRPr="00A17EEC" w:rsidRDefault="00A17EEC" w:rsidP="00F01516">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A17EEC" w:rsidRDefault="003D1DF3" w:rsidP="00F01516">
            <w:pPr>
              <w:spacing w:before="120" w:line="420" w:lineRule="exact"/>
              <w:rPr>
                <w:b/>
                <w:sz w:val="40"/>
                <w:szCs w:val="40"/>
                <w:lang w:val="fr-FR"/>
              </w:rPr>
            </w:pPr>
            <w:r w:rsidRPr="00A17EEC">
              <w:rPr>
                <w:b/>
                <w:sz w:val="40"/>
                <w:szCs w:val="40"/>
                <w:lang w:val="fr-FR"/>
              </w:rPr>
              <w:t>Conseil économique et social</w:t>
            </w:r>
          </w:p>
        </w:tc>
        <w:tc>
          <w:tcPr>
            <w:tcW w:w="2835" w:type="dxa"/>
            <w:tcBorders>
              <w:top w:val="single" w:sz="4" w:space="0" w:color="auto"/>
              <w:bottom w:val="single" w:sz="12" w:space="0" w:color="auto"/>
            </w:tcBorders>
          </w:tcPr>
          <w:p w:rsidR="003D1DF3" w:rsidRDefault="00E56809" w:rsidP="00E56809">
            <w:pPr>
              <w:spacing w:before="240" w:line="240" w:lineRule="exact"/>
              <w:rPr>
                <w:lang w:val="fr-FR"/>
              </w:rPr>
            </w:pPr>
            <w:proofErr w:type="spellStart"/>
            <w:r>
              <w:rPr>
                <w:lang w:val="fr-FR"/>
              </w:rPr>
              <w:t>Distr</w:t>
            </w:r>
            <w:proofErr w:type="spellEnd"/>
            <w:r>
              <w:rPr>
                <w:lang w:val="fr-FR"/>
              </w:rPr>
              <w:t>. Générale</w:t>
            </w:r>
          </w:p>
          <w:p w:rsidR="00E56809" w:rsidRDefault="003767DE" w:rsidP="00E56809">
            <w:pPr>
              <w:spacing w:line="240" w:lineRule="exact"/>
              <w:rPr>
                <w:lang w:val="fr-FR"/>
              </w:rPr>
            </w:pPr>
            <w:r>
              <w:rPr>
                <w:lang w:val="fr-FR"/>
              </w:rPr>
              <w:t>6</w:t>
            </w:r>
            <w:r w:rsidR="00E56809">
              <w:rPr>
                <w:lang w:val="fr-FR"/>
              </w:rPr>
              <w:t xml:space="preserve"> </w:t>
            </w:r>
            <w:r w:rsidR="005044DC">
              <w:rPr>
                <w:lang w:val="fr-FR"/>
              </w:rPr>
              <w:t>novembre</w:t>
            </w:r>
            <w:r w:rsidR="00E56809">
              <w:rPr>
                <w:lang w:val="fr-FR"/>
              </w:rPr>
              <w:t xml:space="preserve"> 2015</w:t>
            </w:r>
          </w:p>
          <w:p w:rsidR="00E56809" w:rsidRDefault="00E56809" w:rsidP="00E56809">
            <w:pPr>
              <w:spacing w:line="240" w:lineRule="exact"/>
              <w:rPr>
                <w:lang w:val="fr-FR"/>
              </w:rPr>
            </w:pPr>
          </w:p>
          <w:p w:rsidR="00E56809" w:rsidRPr="00A17EEC" w:rsidRDefault="00E56809" w:rsidP="00E56809">
            <w:pPr>
              <w:spacing w:line="240" w:lineRule="exact"/>
              <w:rPr>
                <w:lang w:val="fr-FR"/>
              </w:rPr>
            </w:pPr>
            <w:r>
              <w:rPr>
                <w:lang w:val="fr-FR"/>
              </w:rPr>
              <w:t xml:space="preserve">Original: français </w:t>
            </w:r>
          </w:p>
        </w:tc>
      </w:tr>
    </w:tbl>
    <w:p w:rsidR="00FF1DBD" w:rsidRPr="00A17EEC" w:rsidRDefault="000312C0" w:rsidP="000312C0">
      <w:pPr>
        <w:spacing w:before="120"/>
        <w:rPr>
          <w:b/>
          <w:sz w:val="28"/>
          <w:szCs w:val="28"/>
          <w:lang w:val="fr-FR"/>
        </w:rPr>
      </w:pPr>
      <w:r w:rsidRPr="00A17EEC">
        <w:rPr>
          <w:b/>
          <w:sz w:val="28"/>
          <w:szCs w:val="28"/>
          <w:lang w:val="fr-FR"/>
        </w:rPr>
        <w:t>Commission économique pour l’Europe</w:t>
      </w:r>
    </w:p>
    <w:p w:rsidR="00B93E72" w:rsidRPr="00A17EEC" w:rsidRDefault="00B93E72" w:rsidP="00B93E72">
      <w:pPr>
        <w:spacing w:before="120"/>
        <w:rPr>
          <w:sz w:val="28"/>
          <w:szCs w:val="28"/>
          <w:lang w:val="fr-FR"/>
        </w:rPr>
      </w:pPr>
      <w:r w:rsidRPr="00A17EEC">
        <w:rPr>
          <w:sz w:val="28"/>
          <w:szCs w:val="28"/>
          <w:lang w:val="fr-FR"/>
        </w:rPr>
        <w:t>Comité des transports intérieurs</w:t>
      </w:r>
    </w:p>
    <w:p w:rsidR="00B93E72" w:rsidRPr="00A17EEC" w:rsidRDefault="00B93E72" w:rsidP="00B93E72">
      <w:pPr>
        <w:spacing w:before="120"/>
        <w:rPr>
          <w:b/>
          <w:sz w:val="24"/>
          <w:szCs w:val="24"/>
          <w:lang w:val="fr-FR"/>
        </w:rPr>
      </w:pPr>
      <w:r w:rsidRPr="00A17EEC">
        <w:rPr>
          <w:b/>
          <w:sz w:val="24"/>
          <w:szCs w:val="24"/>
          <w:lang w:val="fr-FR"/>
        </w:rPr>
        <w:t>Groupe de travail des transports</w:t>
      </w:r>
      <w:r w:rsidR="002F4E78" w:rsidRPr="00A17EEC">
        <w:rPr>
          <w:b/>
          <w:sz w:val="24"/>
          <w:szCs w:val="24"/>
          <w:lang w:val="fr-FR"/>
        </w:rPr>
        <w:t xml:space="preserve"> </w:t>
      </w:r>
      <w:r w:rsidRPr="00A17EEC">
        <w:rPr>
          <w:b/>
          <w:sz w:val="24"/>
          <w:szCs w:val="24"/>
          <w:lang w:val="fr-FR"/>
        </w:rPr>
        <w:t>de marchandises dangereuses</w:t>
      </w:r>
    </w:p>
    <w:p w:rsidR="00B93E72" w:rsidRPr="00A17EEC" w:rsidRDefault="00234E40" w:rsidP="00B93E72">
      <w:pPr>
        <w:spacing w:before="120"/>
        <w:rPr>
          <w:b/>
          <w:lang w:val="fr-FR"/>
        </w:rPr>
      </w:pPr>
      <w:r w:rsidRPr="00A17EEC">
        <w:rPr>
          <w:b/>
          <w:lang w:val="fr-FR"/>
        </w:rPr>
        <w:t>Réunion commune d’experts sur le Règlement annexé</w:t>
      </w:r>
      <w:r w:rsidR="00CE5BF6" w:rsidRPr="00A17EEC">
        <w:rPr>
          <w:b/>
          <w:lang w:val="fr-FR"/>
        </w:rPr>
        <w:br/>
      </w:r>
      <w:r w:rsidRPr="00A17EEC">
        <w:rPr>
          <w:b/>
          <w:lang w:val="fr-FR"/>
        </w:rPr>
        <w:t>à l’Accord européen</w:t>
      </w:r>
      <w:r w:rsidR="00CE5BF6" w:rsidRPr="00A17EEC">
        <w:rPr>
          <w:b/>
          <w:lang w:val="fr-FR"/>
        </w:rPr>
        <w:t xml:space="preserve"> </w:t>
      </w:r>
      <w:r w:rsidRPr="00A17EEC">
        <w:rPr>
          <w:b/>
          <w:lang w:val="fr-FR"/>
        </w:rPr>
        <w:t>relatif au transport international</w:t>
      </w:r>
      <w:r w:rsidR="00CE5BF6" w:rsidRPr="00A17EEC">
        <w:rPr>
          <w:b/>
          <w:lang w:val="fr-FR"/>
        </w:rPr>
        <w:br/>
      </w:r>
      <w:r w:rsidRPr="00A17EEC">
        <w:rPr>
          <w:b/>
          <w:lang w:val="fr-FR"/>
        </w:rPr>
        <w:t xml:space="preserve">des marchandises </w:t>
      </w:r>
      <w:r w:rsidRPr="00A17EEC">
        <w:rPr>
          <w:b/>
          <w:bCs/>
          <w:iCs/>
          <w:lang w:val="fr-FR"/>
        </w:rPr>
        <w:t>dangereuses par voies</w:t>
      </w:r>
      <w:r w:rsidR="00CE5BF6" w:rsidRPr="00A17EEC">
        <w:rPr>
          <w:b/>
          <w:bCs/>
          <w:iCs/>
          <w:lang w:val="fr-FR"/>
        </w:rPr>
        <w:t xml:space="preserve"> </w:t>
      </w:r>
      <w:r w:rsidRPr="00A17EEC">
        <w:rPr>
          <w:b/>
          <w:bCs/>
          <w:iCs/>
          <w:lang w:val="fr-FR"/>
        </w:rPr>
        <w:t>de navigation</w:t>
      </w:r>
      <w:r w:rsidR="00CE5BF6" w:rsidRPr="00A17EEC">
        <w:rPr>
          <w:b/>
          <w:bCs/>
          <w:iCs/>
          <w:lang w:val="fr-FR"/>
        </w:rPr>
        <w:br/>
      </w:r>
      <w:r w:rsidRPr="00A17EEC">
        <w:rPr>
          <w:b/>
          <w:bCs/>
          <w:iCs/>
          <w:lang w:val="fr-FR"/>
        </w:rPr>
        <w:t xml:space="preserve">intérieures (ADN) </w:t>
      </w:r>
      <w:r w:rsidRPr="00A17EEC">
        <w:rPr>
          <w:b/>
          <w:bCs/>
          <w:lang w:val="fr-FR"/>
        </w:rPr>
        <w:t>(Comité de sécurité de l’ADN)</w:t>
      </w:r>
    </w:p>
    <w:p w:rsidR="00950A22" w:rsidRPr="00234E40" w:rsidRDefault="00950A22" w:rsidP="00950A22">
      <w:pPr>
        <w:spacing w:before="120"/>
        <w:rPr>
          <w:b/>
        </w:rPr>
      </w:pPr>
      <w:r>
        <w:rPr>
          <w:b/>
        </w:rPr>
        <w:t xml:space="preserve">Vingt-huitième </w:t>
      </w:r>
      <w:r w:rsidRPr="00234E40">
        <w:rPr>
          <w:b/>
        </w:rPr>
        <w:t>session</w:t>
      </w:r>
    </w:p>
    <w:p w:rsidR="00950A22" w:rsidRDefault="00950A22" w:rsidP="00950A22">
      <w:r>
        <w:t>Genève, 25-29 janvier 2016</w:t>
      </w:r>
    </w:p>
    <w:p w:rsidR="00950A22" w:rsidRDefault="00950A22" w:rsidP="00950A22">
      <w:r w:rsidRPr="00B93E72">
        <w:t xml:space="preserve">Point </w:t>
      </w:r>
      <w:r w:rsidR="00B6151C">
        <w:t>5</w:t>
      </w:r>
      <w:r>
        <w:t xml:space="preserve"> b)</w:t>
      </w:r>
      <w:r w:rsidRPr="00B93E72">
        <w:t xml:space="preserve"> de l</w:t>
      </w:r>
      <w:r>
        <w:t>’</w:t>
      </w:r>
      <w:r w:rsidRPr="00B93E72">
        <w:t>ordre du jour provisoire</w:t>
      </w:r>
    </w:p>
    <w:p w:rsidR="00950A22" w:rsidRPr="00602512" w:rsidRDefault="00950A22" w:rsidP="00950A22">
      <w:pPr>
        <w:rPr>
          <w:b/>
          <w:lang w:val="fr-FR"/>
        </w:rPr>
      </w:pPr>
      <w:r w:rsidRPr="00602512">
        <w:rPr>
          <w:b/>
          <w:lang w:val="fr-FR"/>
        </w:rPr>
        <w:t>Propositions d’amendements au règlement annexé à l’ADN</w:t>
      </w:r>
      <w:r>
        <w:rPr>
          <w:b/>
          <w:lang w:val="fr-FR"/>
        </w:rPr>
        <w:t>:</w:t>
      </w:r>
    </w:p>
    <w:p w:rsidR="000312C0" w:rsidRPr="00A17EEC" w:rsidRDefault="00950A22" w:rsidP="00950A22">
      <w:pPr>
        <w:rPr>
          <w:lang w:val="fr-FR"/>
        </w:rPr>
      </w:pPr>
      <w:r w:rsidRPr="00602512">
        <w:rPr>
          <w:b/>
          <w:color w:val="000000"/>
          <w:szCs w:val="24"/>
          <w:lang w:val="fr-FR" w:eastAsia="fr-FR"/>
        </w:rPr>
        <w:t>Autres propositions</w:t>
      </w:r>
    </w:p>
    <w:p w:rsidR="00B76647" w:rsidRPr="00B76647" w:rsidRDefault="00B76647" w:rsidP="00427190">
      <w:pPr>
        <w:pStyle w:val="HChG"/>
        <w:rPr>
          <w:bCs/>
          <w:szCs w:val="28"/>
          <w:lang w:val="fr-FR" w:eastAsia="fr-FR"/>
        </w:rPr>
      </w:pPr>
      <w:r>
        <w:rPr>
          <w:lang w:val="fr-FR" w:eastAsia="fr-FR"/>
        </w:rPr>
        <w:tab/>
      </w:r>
      <w:r>
        <w:rPr>
          <w:lang w:val="fr-FR" w:eastAsia="fr-FR"/>
        </w:rPr>
        <w:tab/>
      </w:r>
      <w:r w:rsidRPr="00B76647">
        <w:rPr>
          <w:lang w:val="fr-FR" w:eastAsia="fr-FR"/>
        </w:rPr>
        <w:t xml:space="preserve">Matériaux de </w:t>
      </w:r>
      <w:r w:rsidRPr="00427190">
        <w:t>construction</w:t>
      </w:r>
    </w:p>
    <w:p w:rsidR="00B76647" w:rsidRPr="00B76647" w:rsidRDefault="00374C3C" w:rsidP="00427190">
      <w:pPr>
        <w:pStyle w:val="H1G"/>
        <w:rPr>
          <w:vertAlign w:val="superscript"/>
          <w:lang w:val="fr-FR" w:eastAsia="fr-FR"/>
        </w:rPr>
      </w:pPr>
      <w:r>
        <w:rPr>
          <w:lang w:val="fr-FR" w:eastAsia="fr-FR"/>
        </w:rPr>
        <w:tab/>
      </w:r>
      <w:r>
        <w:rPr>
          <w:lang w:val="fr-FR" w:eastAsia="fr-FR"/>
        </w:rPr>
        <w:tab/>
      </w:r>
      <w:r w:rsidR="00B76647" w:rsidRPr="00B76647">
        <w:rPr>
          <w:lang w:val="fr-FR" w:eastAsia="fr-FR"/>
        </w:rPr>
        <w:t>Communication conjointe de l’Union Européenne de la Navigation Fluviale (UENF), l’ERSTU (</w:t>
      </w:r>
      <w:proofErr w:type="spellStart"/>
      <w:r w:rsidR="00B76647" w:rsidRPr="00B76647">
        <w:rPr>
          <w:lang w:val="fr-FR" w:eastAsia="fr-FR"/>
        </w:rPr>
        <w:t>European</w:t>
      </w:r>
      <w:proofErr w:type="spellEnd"/>
      <w:r w:rsidR="00B76647" w:rsidRPr="00B76647">
        <w:rPr>
          <w:lang w:val="fr-FR" w:eastAsia="fr-FR"/>
        </w:rPr>
        <w:t xml:space="preserve"> River </w:t>
      </w:r>
      <w:proofErr w:type="spellStart"/>
      <w:r w:rsidR="00B76647" w:rsidRPr="00B76647">
        <w:rPr>
          <w:lang w:val="fr-FR" w:eastAsia="fr-FR"/>
        </w:rPr>
        <w:t>Sea</w:t>
      </w:r>
      <w:proofErr w:type="spellEnd"/>
      <w:r w:rsidR="00B76647" w:rsidRPr="00B76647">
        <w:rPr>
          <w:lang w:val="fr-FR" w:eastAsia="fr-FR"/>
        </w:rPr>
        <w:t xml:space="preserve"> </w:t>
      </w:r>
      <w:r w:rsidR="00B76647" w:rsidRPr="00427190">
        <w:t>Transport</w:t>
      </w:r>
      <w:r w:rsidR="00B76647" w:rsidRPr="00B76647">
        <w:rPr>
          <w:lang w:val="fr-FR" w:eastAsia="fr-FR"/>
        </w:rPr>
        <w:t xml:space="preserve"> Union) et l’Organisation Européenne des Bateliers (OEB)</w:t>
      </w:r>
      <w:r w:rsidR="00B76647" w:rsidRPr="00B76647">
        <w:rPr>
          <w:snapToGrid w:val="0"/>
          <w:szCs w:val="24"/>
          <w:vertAlign w:val="superscript"/>
          <w:lang w:val="fr-FR" w:eastAsia="fr-FR"/>
        </w:rPr>
        <w:footnoteReference w:id="2"/>
      </w:r>
    </w:p>
    <w:p w:rsidR="00B76647" w:rsidRPr="00B76647" w:rsidRDefault="00B76647" w:rsidP="00427190">
      <w:pPr>
        <w:pStyle w:val="HChG"/>
        <w:rPr>
          <w:rFonts w:eastAsia="Calibri" w:cs="Arial"/>
          <w:bCs/>
          <w:szCs w:val="28"/>
          <w:lang w:val="fr-FR" w:eastAsia="fr-FR"/>
        </w:rPr>
      </w:pPr>
      <w:r>
        <w:rPr>
          <w:lang w:val="fr-FR" w:eastAsia="fr-FR"/>
        </w:rPr>
        <w:tab/>
      </w:r>
      <w:r>
        <w:rPr>
          <w:lang w:val="fr-FR" w:eastAsia="fr-FR"/>
        </w:rPr>
        <w:tab/>
      </w:r>
      <w:r w:rsidRPr="00427190">
        <w:t>Introduction</w:t>
      </w:r>
    </w:p>
    <w:p w:rsidR="00B76647" w:rsidRPr="00B76647" w:rsidRDefault="00B76647" w:rsidP="00427190">
      <w:pPr>
        <w:pStyle w:val="SingleTxtG"/>
        <w:rPr>
          <w:lang w:val="fr-FR" w:eastAsia="fr-FR"/>
        </w:rPr>
      </w:pPr>
      <w:r w:rsidRPr="00B76647">
        <w:rPr>
          <w:lang w:val="fr-FR" w:eastAsia="fr-FR"/>
        </w:rPr>
        <w:t>1.</w:t>
      </w:r>
      <w:r w:rsidRPr="00B76647">
        <w:rPr>
          <w:lang w:val="fr-FR" w:eastAsia="fr-FR"/>
        </w:rPr>
        <w:tab/>
        <w:t xml:space="preserve">Lors de la 27ème session du comité de sécurité </w:t>
      </w:r>
      <w:r w:rsidR="00987705">
        <w:rPr>
          <w:lang w:val="fr-FR" w:eastAsia="fr-FR"/>
        </w:rPr>
        <w:t>de l'</w:t>
      </w:r>
      <w:r w:rsidRPr="00B76647">
        <w:rPr>
          <w:lang w:val="fr-FR" w:eastAsia="fr-FR"/>
        </w:rPr>
        <w:t>ADN, les organisations professionnelles de la navigation intérieure avaient soumis un document (</w:t>
      </w:r>
      <w:r w:rsidR="00827263">
        <w:rPr>
          <w:lang w:val="fr-FR" w:eastAsia="fr-FR"/>
        </w:rPr>
        <w:t>ECE/TRANS</w:t>
      </w:r>
      <w:r w:rsidRPr="00B76647">
        <w:rPr>
          <w:lang w:val="fr-FR" w:eastAsia="fr-FR"/>
        </w:rPr>
        <w:t xml:space="preserve">/WP.15/AC.2/2015/19) visant à actualiser les prescriptions pour les matériaux de construction de l’équipement se trouvant à </w:t>
      </w:r>
      <w:r w:rsidRPr="00427190">
        <w:t>bord</w:t>
      </w:r>
      <w:r w:rsidRPr="00B76647">
        <w:rPr>
          <w:lang w:val="fr-FR" w:eastAsia="fr-FR"/>
        </w:rPr>
        <w:t>. Le comité de sécurité a constaté que les points abordés doivent être présentés d’une manière plus claire et plus compréhensible avant de pouvoir évaluer le contenu de la demande.</w:t>
      </w:r>
    </w:p>
    <w:p w:rsidR="00B76647" w:rsidRPr="00B76647" w:rsidRDefault="00B76647" w:rsidP="00427190">
      <w:pPr>
        <w:pStyle w:val="HChG"/>
        <w:rPr>
          <w:szCs w:val="28"/>
          <w:lang w:val="fr-FR" w:eastAsia="fr-FR"/>
        </w:rPr>
      </w:pPr>
      <w:r>
        <w:rPr>
          <w:lang w:val="fr-FR" w:eastAsia="fr-FR"/>
        </w:rPr>
        <w:tab/>
      </w:r>
      <w:r>
        <w:rPr>
          <w:lang w:val="fr-FR" w:eastAsia="fr-FR"/>
        </w:rPr>
        <w:tab/>
      </w:r>
      <w:r w:rsidRPr="00427190">
        <w:t>Proposition</w:t>
      </w:r>
      <w:r w:rsidRPr="00B76647">
        <w:rPr>
          <w:lang w:val="fr-FR" w:eastAsia="fr-FR"/>
        </w:rPr>
        <w:t xml:space="preserve"> 1</w:t>
      </w:r>
    </w:p>
    <w:p w:rsidR="00B76647" w:rsidRPr="00B76647" w:rsidRDefault="00B76647" w:rsidP="00427190">
      <w:pPr>
        <w:pStyle w:val="SingleTxtG"/>
        <w:rPr>
          <w:lang w:val="fr-FR" w:eastAsia="fr-FR"/>
        </w:rPr>
      </w:pPr>
      <w:r w:rsidRPr="00B76647">
        <w:rPr>
          <w:lang w:val="fr-FR" w:eastAsia="fr-FR"/>
        </w:rPr>
        <w:t>2.</w:t>
      </w:r>
      <w:r w:rsidRPr="00B76647">
        <w:rPr>
          <w:lang w:val="fr-FR" w:eastAsia="fr-FR"/>
        </w:rPr>
        <w:tab/>
        <w:t xml:space="preserve">Les organisations professionnelles de la navigation intérieure proposent de présenter sous forme de tableau les points réglés jusqu’alors dans l’ADN aux 9.3.x.0.3 a) à c). Une </w:t>
      </w:r>
      <w:r w:rsidRPr="00B76647">
        <w:rPr>
          <w:lang w:val="fr-FR" w:eastAsia="fr-FR"/>
        </w:rPr>
        <w:lastRenderedPageBreak/>
        <w:t>proposition correspondante est jointe en annexe 1 à la présente demande. Le sous-point d) des 9.3.x.0.3 est maintenu sans changements.</w:t>
      </w:r>
    </w:p>
    <w:p w:rsidR="00B76647" w:rsidRPr="00B76647" w:rsidRDefault="00B76647" w:rsidP="00B76647">
      <w:pPr>
        <w:pStyle w:val="HChG"/>
        <w:rPr>
          <w:szCs w:val="28"/>
          <w:lang w:val="fr-FR" w:eastAsia="fr-FR"/>
        </w:rPr>
      </w:pPr>
      <w:r>
        <w:rPr>
          <w:lang w:val="fr-FR" w:eastAsia="fr-FR"/>
        </w:rPr>
        <w:tab/>
      </w:r>
      <w:r>
        <w:rPr>
          <w:lang w:val="fr-FR" w:eastAsia="fr-FR"/>
        </w:rPr>
        <w:tab/>
      </w:r>
      <w:r w:rsidRPr="00B76647">
        <w:rPr>
          <w:lang w:val="fr-FR" w:eastAsia="fr-FR"/>
        </w:rPr>
        <w:t>Proposition 2</w:t>
      </w:r>
    </w:p>
    <w:p w:rsidR="00B76647" w:rsidRPr="00B76647" w:rsidRDefault="00B76647" w:rsidP="00427190">
      <w:pPr>
        <w:pStyle w:val="SingleTxtG"/>
        <w:rPr>
          <w:lang w:val="fr-FR" w:eastAsia="fr-FR"/>
        </w:rPr>
      </w:pPr>
      <w:r w:rsidRPr="00B76647">
        <w:rPr>
          <w:lang w:val="fr-FR" w:eastAsia="fr-FR"/>
        </w:rPr>
        <w:t>3.</w:t>
      </w:r>
      <w:r w:rsidRPr="00B76647">
        <w:rPr>
          <w:lang w:val="fr-FR" w:eastAsia="fr-FR"/>
        </w:rPr>
        <w:tab/>
        <w:t xml:space="preserve">Les organisations professionnelles de la navigation intérieure proposent de modifier la situation actuelle présentée à l’annexe 1 de la manière présentée à l’annexe 2. Cette modification présente la nécessaire adaptation aux matériaux modernes actuellement disponibles. </w:t>
      </w:r>
    </w:p>
    <w:p w:rsidR="00B76647" w:rsidRPr="00B76647" w:rsidRDefault="00B76647" w:rsidP="00427190">
      <w:pPr>
        <w:pStyle w:val="HChG"/>
        <w:rPr>
          <w:szCs w:val="28"/>
          <w:lang w:val="fr-FR" w:eastAsia="fr-FR"/>
        </w:rPr>
      </w:pPr>
      <w:r>
        <w:rPr>
          <w:lang w:val="fr-FR" w:eastAsia="fr-FR"/>
        </w:rPr>
        <w:tab/>
      </w:r>
      <w:r>
        <w:rPr>
          <w:lang w:val="fr-FR" w:eastAsia="fr-FR"/>
        </w:rPr>
        <w:tab/>
      </w:r>
      <w:r w:rsidRPr="00B76647">
        <w:rPr>
          <w:lang w:val="fr-FR" w:eastAsia="fr-FR"/>
        </w:rPr>
        <w:t>Proposition 3</w:t>
      </w:r>
    </w:p>
    <w:p w:rsidR="00B76647" w:rsidRPr="00B76647" w:rsidRDefault="00B76647" w:rsidP="00B76647">
      <w:pPr>
        <w:pStyle w:val="SingleTxtG"/>
        <w:rPr>
          <w:lang w:val="fr-FR" w:eastAsia="fr-FR"/>
        </w:rPr>
      </w:pPr>
      <w:r w:rsidRPr="00B76647">
        <w:rPr>
          <w:lang w:val="fr-FR" w:eastAsia="fr-FR"/>
        </w:rPr>
        <w:t>4.</w:t>
      </w:r>
      <w:r w:rsidRPr="00B76647">
        <w:rPr>
          <w:lang w:val="fr-FR" w:eastAsia="fr-FR"/>
        </w:rPr>
        <w:tab/>
        <w:t>9.3.x.0.5 s’énonce comme suit :</w:t>
      </w:r>
    </w:p>
    <w:p w:rsidR="00B76647" w:rsidRPr="00B76647" w:rsidRDefault="00C42FD0" w:rsidP="00B76647">
      <w:pPr>
        <w:pStyle w:val="SingleTxtG"/>
        <w:rPr>
          <w:rFonts w:eastAsia="Calibri"/>
          <w:lang w:val="fr-FR" w:eastAsia="fr-FR"/>
        </w:rPr>
      </w:pPr>
      <w:r>
        <w:rPr>
          <w:lang w:val="fr-FR" w:eastAsia="fr-FR"/>
        </w:rPr>
        <w:t>«</w:t>
      </w:r>
      <w:r w:rsidR="00B76647" w:rsidRPr="00B76647">
        <w:rPr>
          <w:lang w:val="fr-FR" w:eastAsia="fr-FR"/>
        </w:rPr>
        <w:t>L’emploi de matières plastiques pour les canots n’est autorisé que si le matériau est difficilement inflammable.»</w:t>
      </w:r>
    </w:p>
    <w:p w:rsidR="00B76647" w:rsidRPr="00B76647" w:rsidRDefault="00B76647" w:rsidP="00B76647">
      <w:pPr>
        <w:pStyle w:val="SingleTxtG"/>
        <w:rPr>
          <w:lang w:val="fr-FR" w:eastAsia="fr-FR"/>
        </w:rPr>
      </w:pPr>
      <w:r w:rsidRPr="00B76647">
        <w:rPr>
          <w:lang w:val="fr-FR" w:eastAsia="fr-FR"/>
        </w:rPr>
        <w:tab/>
        <w:t>9.3</w:t>
      </w:r>
      <w:proofErr w:type="gramStart"/>
      <w:r w:rsidRPr="00B76647">
        <w:rPr>
          <w:lang w:val="fr-FR" w:eastAsia="fr-FR"/>
        </w:rPr>
        <w:t>.x.0.5</w:t>
      </w:r>
      <w:proofErr w:type="gramEnd"/>
      <w:r w:rsidRPr="00B76647">
        <w:rPr>
          <w:lang w:val="fr-FR" w:eastAsia="fr-FR"/>
        </w:rPr>
        <w:t xml:space="preserve"> est modifié comme suit:</w:t>
      </w:r>
    </w:p>
    <w:p w:rsidR="00B76647" w:rsidRPr="00B76647" w:rsidRDefault="00C42FD0" w:rsidP="00B76647">
      <w:pPr>
        <w:pStyle w:val="SingleTxtG"/>
        <w:rPr>
          <w:rFonts w:eastAsia="Calibri"/>
          <w:lang w:val="fr-FR" w:eastAsia="fr-FR"/>
        </w:rPr>
      </w:pPr>
      <w:r>
        <w:rPr>
          <w:lang w:val="fr-FR" w:eastAsia="fr-FR"/>
        </w:rPr>
        <w:t>«</w:t>
      </w:r>
      <w:r w:rsidR="00B76647" w:rsidRPr="00B76647">
        <w:rPr>
          <w:lang w:val="fr-FR" w:eastAsia="fr-FR"/>
        </w:rPr>
        <w:t xml:space="preserve">L’emploi de matières plastiques pour les canots dans la zone de cargaison n’est autorisé que si le matériau est difficilement inflammable. </w:t>
      </w:r>
    </w:p>
    <w:p w:rsidR="00B76647" w:rsidRPr="00B76647" w:rsidRDefault="00B76647" w:rsidP="00B76647">
      <w:pPr>
        <w:pStyle w:val="SingleTxtG"/>
        <w:rPr>
          <w:rFonts w:eastAsia="Calibri"/>
          <w:lang w:val="fr-FR" w:eastAsia="fr-FR"/>
        </w:rPr>
      </w:pPr>
      <w:r w:rsidRPr="00B76647">
        <w:rPr>
          <w:lang w:val="fr-FR" w:eastAsia="fr-FR"/>
        </w:rPr>
        <w:t>L’emploi d’alliages d’aluminium ou de matières plastiques pour des passages (passerelles) dans la zone de cargaison n’est autorisé que si le matériau est difficilement inflammable et électriquement conducteur.</w:t>
      </w:r>
    </w:p>
    <w:p w:rsidR="00B76647" w:rsidRPr="00B76647" w:rsidRDefault="00B76647" w:rsidP="00B76647">
      <w:pPr>
        <w:pStyle w:val="SingleTxtG"/>
        <w:rPr>
          <w:lang w:val="fr-FR" w:eastAsia="fr-FR"/>
        </w:rPr>
      </w:pPr>
      <w:r w:rsidRPr="00B76647">
        <w:rPr>
          <w:lang w:val="fr-FR" w:eastAsia="fr-FR"/>
        </w:rPr>
        <w:t>Les tapis en caoutchouc doivent être fabriqués en un matériau</w:t>
      </w:r>
      <w:r w:rsidR="00C42FD0">
        <w:rPr>
          <w:lang w:val="fr-FR" w:eastAsia="fr-FR"/>
        </w:rPr>
        <w:t xml:space="preserve"> électriquement non conducteur.</w:t>
      </w:r>
      <w:bookmarkStart w:id="0" w:name="_GoBack"/>
      <w:bookmarkEnd w:id="0"/>
      <w:r w:rsidRPr="00B76647">
        <w:rPr>
          <w:lang w:val="fr-FR" w:eastAsia="fr-FR"/>
        </w:rPr>
        <w:t>»</w:t>
      </w:r>
    </w:p>
    <w:p w:rsidR="00B76647" w:rsidRPr="00B76647" w:rsidRDefault="00B76647" w:rsidP="00427190">
      <w:pPr>
        <w:pStyle w:val="HChG"/>
        <w:rPr>
          <w:szCs w:val="28"/>
          <w:lang w:val="fr-FR" w:eastAsia="fr-FR"/>
        </w:rPr>
      </w:pPr>
      <w:r>
        <w:rPr>
          <w:lang w:val="fr-FR" w:eastAsia="fr-FR"/>
        </w:rPr>
        <w:tab/>
      </w:r>
      <w:r>
        <w:rPr>
          <w:lang w:val="fr-FR" w:eastAsia="fr-FR"/>
        </w:rPr>
        <w:tab/>
      </w:r>
      <w:r w:rsidRPr="00427190">
        <w:t>Motif</w:t>
      </w:r>
    </w:p>
    <w:p w:rsidR="00B76647" w:rsidRPr="00B76647" w:rsidRDefault="00B76647" w:rsidP="00427190">
      <w:pPr>
        <w:pStyle w:val="SingleTxtG"/>
        <w:rPr>
          <w:lang w:val="fr-FR" w:eastAsia="fr-FR"/>
        </w:rPr>
      </w:pPr>
      <w:r w:rsidRPr="00B76647">
        <w:rPr>
          <w:lang w:val="fr-FR" w:eastAsia="fr-FR"/>
        </w:rPr>
        <w:t>5.</w:t>
      </w:r>
      <w:r w:rsidRPr="00B76647">
        <w:rPr>
          <w:lang w:val="fr-FR" w:eastAsia="fr-FR"/>
        </w:rPr>
        <w:tab/>
        <w:t>Dans les cas présentés par l’UENF, l’ERSTU et l’OEB, les matériaux modernes ne comportent pas de risque accru pour la sécurité. La révision rédactionnelle des prescriptions réduit considérablement le besoin de règles pour des cas particuliers. Les prescriptions deviennent plus transparentes pour toutes les parties prenantes au système.</w:t>
      </w:r>
    </w:p>
    <w:p w:rsidR="00CA2A73" w:rsidRDefault="00CA2A73" w:rsidP="00DB45C8">
      <w:pPr>
        <w:pStyle w:val="SingleTxtG"/>
        <w:rPr>
          <w:lang w:val="fr-FR"/>
        </w:rPr>
      </w:pPr>
    </w:p>
    <w:p w:rsidR="00CA2A73" w:rsidRDefault="00CA2A73" w:rsidP="00DB45C8">
      <w:pPr>
        <w:pStyle w:val="SingleTxtG"/>
        <w:rPr>
          <w:lang w:val="fr-FR"/>
        </w:rPr>
        <w:sectPr w:rsidR="00CA2A73" w:rsidSect="00E5680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rsidR="00B76647" w:rsidRDefault="00B76647" w:rsidP="002E2DAA">
      <w:pPr>
        <w:pStyle w:val="HChG"/>
        <w:rPr>
          <w:lang w:val="fr-FR" w:eastAsia="fr-FR"/>
        </w:rPr>
      </w:pPr>
      <w:r w:rsidRPr="00B76647">
        <w:rPr>
          <w:lang w:val="fr-FR" w:eastAsia="fr-FR"/>
        </w:rPr>
        <w:lastRenderedPageBreak/>
        <w:t>Annexe 1</w:t>
      </w:r>
    </w:p>
    <w:p w:rsidR="002E2DAA" w:rsidRPr="002E2DAA" w:rsidRDefault="002E2DAA" w:rsidP="002E2DAA">
      <w:pPr>
        <w:pStyle w:val="HChG"/>
        <w:rPr>
          <w:lang w:val="fr-FR" w:eastAsia="fr-FR"/>
        </w:rPr>
      </w:pPr>
      <w:r>
        <w:rPr>
          <w:lang w:val="fr-FR" w:eastAsia="fr-FR"/>
        </w:rPr>
        <w:tab/>
      </w:r>
      <w:r>
        <w:rPr>
          <w:lang w:val="fr-FR" w:eastAsia="fr-FR"/>
        </w:rPr>
        <w:tab/>
        <w:t xml:space="preserve">Proposition 1 - </w:t>
      </w:r>
      <w:r w:rsidRPr="002E2DAA">
        <w:rPr>
          <w:lang w:val="fr-FR" w:eastAsia="fr-FR"/>
        </w:rPr>
        <w:t>9.3.x.0.3 (situation actuelle)</w:t>
      </w:r>
    </w:p>
    <w:p w:rsidR="00B76647" w:rsidRPr="00B76647" w:rsidRDefault="00B76647" w:rsidP="00B76647">
      <w:pPr>
        <w:widowControl w:val="0"/>
        <w:tabs>
          <w:tab w:val="left" w:pos="-142"/>
          <w:tab w:val="left" w:pos="1418"/>
        </w:tabs>
        <w:suppressAutoHyphens w:val="0"/>
        <w:overflowPunct w:val="0"/>
        <w:autoSpaceDE w:val="0"/>
        <w:autoSpaceDN w:val="0"/>
        <w:adjustRightInd w:val="0"/>
        <w:spacing w:line="240" w:lineRule="exact"/>
        <w:jc w:val="right"/>
        <w:textAlignment w:val="baseline"/>
        <w:rPr>
          <w:b/>
          <w:lang w:val="fr-FR" w:eastAsia="fr-FR"/>
        </w:rPr>
      </w:pP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80"/>
        <w:gridCol w:w="1134"/>
        <w:gridCol w:w="1984"/>
        <w:gridCol w:w="1559"/>
        <w:gridCol w:w="1302"/>
      </w:tblGrid>
      <w:tr w:rsidR="00794038" w:rsidRPr="002E2DAA" w:rsidTr="00794038">
        <w:trPr>
          <w:trHeight w:val="270"/>
          <w:tblHeader/>
        </w:trPr>
        <w:tc>
          <w:tcPr>
            <w:tcW w:w="6380" w:type="dxa"/>
            <w:tcBorders>
              <w:top w:val="single" w:sz="4" w:space="0" w:color="auto"/>
              <w:bottom w:val="single" w:sz="12" w:space="0" w:color="auto"/>
            </w:tcBorders>
            <w:shd w:val="clear" w:color="auto" w:fill="auto"/>
            <w:noWrap/>
            <w:vAlign w:val="bottom"/>
            <w:hideMark/>
          </w:tcPr>
          <w:p w:rsidR="00B76647" w:rsidRPr="002E2DAA" w:rsidRDefault="00B76647" w:rsidP="002E2DAA">
            <w:pPr>
              <w:suppressAutoHyphens w:val="0"/>
              <w:spacing w:before="80" w:after="80" w:line="200" w:lineRule="exact"/>
              <w:ind w:right="113"/>
              <w:rPr>
                <w:i/>
                <w:sz w:val="16"/>
                <w:lang w:val="fr-FR" w:eastAsia="fr-FR"/>
              </w:rPr>
            </w:pPr>
            <w:r w:rsidRPr="002E2DAA">
              <w:rPr>
                <w:i/>
                <w:sz w:val="16"/>
                <w:lang w:val="fr-FR" w:eastAsia="fr-FR"/>
              </w:rPr>
              <w:t> </w:t>
            </w:r>
          </w:p>
        </w:tc>
        <w:tc>
          <w:tcPr>
            <w:tcW w:w="1134" w:type="dxa"/>
            <w:tcBorders>
              <w:top w:val="single" w:sz="4" w:space="0" w:color="auto"/>
              <w:bottom w:val="single" w:sz="12" w:space="0" w:color="auto"/>
            </w:tcBorders>
            <w:shd w:val="clear" w:color="auto" w:fill="auto"/>
            <w:noWrap/>
            <w:vAlign w:val="bottom"/>
            <w:hideMark/>
          </w:tcPr>
          <w:p w:rsidR="00B76647" w:rsidRPr="002E2DAA" w:rsidRDefault="00B76647" w:rsidP="002E2DAA">
            <w:pPr>
              <w:suppressAutoHyphens w:val="0"/>
              <w:spacing w:before="80" w:after="80" w:line="200" w:lineRule="exact"/>
              <w:ind w:right="113"/>
              <w:jc w:val="center"/>
              <w:rPr>
                <w:i/>
                <w:sz w:val="16"/>
                <w:lang w:val="fr-FR" w:eastAsia="fr-FR"/>
              </w:rPr>
            </w:pPr>
            <w:r w:rsidRPr="002E2DAA">
              <w:rPr>
                <w:i/>
                <w:sz w:val="16"/>
                <w:lang w:val="fr-FR" w:eastAsia="fr-FR"/>
              </w:rPr>
              <w:t>Bois</w:t>
            </w:r>
          </w:p>
        </w:tc>
        <w:tc>
          <w:tcPr>
            <w:tcW w:w="1984" w:type="dxa"/>
            <w:tcBorders>
              <w:top w:val="single" w:sz="4" w:space="0" w:color="auto"/>
              <w:bottom w:val="single" w:sz="12" w:space="0" w:color="auto"/>
            </w:tcBorders>
            <w:shd w:val="clear" w:color="auto" w:fill="auto"/>
            <w:noWrap/>
            <w:vAlign w:val="bottom"/>
            <w:hideMark/>
          </w:tcPr>
          <w:p w:rsidR="00B76647" w:rsidRPr="002E2DAA" w:rsidRDefault="00B76647" w:rsidP="002E2DAA">
            <w:pPr>
              <w:suppressAutoHyphens w:val="0"/>
              <w:spacing w:before="80" w:after="80" w:line="200" w:lineRule="exact"/>
              <w:ind w:right="113"/>
              <w:jc w:val="center"/>
              <w:rPr>
                <w:i/>
                <w:sz w:val="16"/>
                <w:lang w:val="fr-FR" w:eastAsia="fr-FR"/>
              </w:rPr>
            </w:pPr>
            <w:r w:rsidRPr="002E2DAA">
              <w:rPr>
                <w:i/>
                <w:sz w:val="16"/>
                <w:lang w:val="fr-FR" w:eastAsia="fr-FR"/>
              </w:rPr>
              <w:t>Alliages d'aluminium</w:t>
            </w:r>
          </w:p>
        </w:tc>
        <w:tc>
          <w:tcPr>
            <w:tcW w:w="1559" w:type="dxa"/>
            <w:tcBorders>
              <w:top w:val="single" w:sz="4" w:space="0" w:color="auto"/>
              <w:bottom w:val="single" w:sz="12" w:space="0" w:color="auto"/>
            </w:tcBorders>
            <w:shd w:val="clear" w:color="auto" w:fill="auto"/>
            <w:noWrap/>
            <w:vAlign w:val="bottom"/>
            <w:hideMark/>
          </w:tcPr>
          <w:p w:rsidR="00B76647" w:rsidRPr="002E2DAA" w:rsidRDefault="00B76647" w:rsidP="002E2DAA">
            <w:pPr>
              <w:suppressAutoHyphens w:val="0"/>
              <w:spacing w:before="80" w:after="80" w:line="200" w:lineRule="exact"/>
              <w:ind w:right="113"/>
              <w:jc w:val="center"/>
              <w:rPr>
                <w:i/>
                <w:sz w:val="16"/>
                <w:lang w:val="fr-FR" w:eastAsia="fr-FR"/>
              </w:rPr>
            </w:pPr>
            <w:r w:rsidRPr="002E2DAA">
              <w:rPr>
                <w:i/>
                <w:sz w:val="16"/>
                <w:lang w:val="fr-FR" w:eastAsia="fr-FR"/>
              </w:rPr>
              <w:t>Matière plastique</w:t>
            </w:r>
          </w:p>
        </w:tc>
        <w:tc>
          <w:tcPr>
            <w:tcW w:w="1302" w:type="dxa"/>
            <w:tcBorders>
              <w:top w:val="single" w:sz="4" w:space="0" w:color="auto"/>
              <w:bottom w:val="single" w:sz="12" w:space="0" w:color="auto"/>
            </w:tcBorders>
            <w:shd w:val="clear" w:color="auto" w:fill="auto"/>
            <w:noWrap/>
            <w:vAlign w:val="bottom"/>
            <w:hideMark/>
          </w:tcPr>
          <w:p w:rsidR="00B76647" w:rsidRPr="002E2DAA" w:rsidRDefault="00B76647" w:rsidP="002E2DAA">
            <w:pPr>
              <w:suppressAutoHyphens w:val="0"/>
              <w:spacing w:before="80" w:after="80" w:line="200" w:lineRule="exact"/>
              <w:ind w:right="113"/>
              <w:jc w:val="center"/>
              <w:rPr>
                <w:i/>
                <w:sz w:val="16"/>
                <w:lang w:val="fr-FR" w:eastAsia="fr-FR"/>
              </w:rPr>
            </w:pPr>
            <w:r w:rsidRPr="002E2DAA">
              <w:rPr>
                <w:i/>
                <w:sz w:val="16"/>
                <w:lang w:val="fr-FR" w:eastAsia="fr-FR"/>
              </w:rPr>
              <w:t>Caoutchouc</w:t>
            </w:r>
          </w:p>
        </w:tc>
      </w:tr>
      <w:tr w:rsidR="00794038" w:rsidRPr="002E2DAA" w:rsidTr="00794038">
        <w:trPr>
          <w:trHeight w:val="255"/>
        </w:trPr>
        <w:tc>
          <w:tcPr>
            <w:tcW w:w="6380" w:type="dxa"/>
            <w:tcBorders>
              <w:top w:val="single" w:sz="12" w:space="0" w:color="auto"/>
            </w:tcBorders>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Passerelles et échelles extérieures</w:t>
            </w:r>
          </w:p>
        </w:tc>
        <w:tc>
          <w:tcPr>
            <w:tcW w:w="1134" w:type="dxa"/>
            <w:tcBorders>
              <w:top w:val="single" w:sz="12" w:space="0" w:color="auto"/>
            </w:tcBorders>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tcBorders>
              <w:top w:val="single" w:sz="12" w:space="0" w:color="auto"/>
            </w:tcBorders>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tcBorders>
              <w:top w:val="single" w:sz="12" w:space="0" w:color="auto"/>
            </w:tcBorders>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tcBorders>
              <w:top w:val="single" w:sz="12" w:space="0" w:color="auto"/>
            </w:tcBorders>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8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proofErr w:type="spellStart"/>
            <w:r w:rsidRPr="002E2DAA">
              <w:rPr>
                <w:lang w:val="fr-FR" w:eastAsia="fr-FR"/>
              </w:rPr>
              <w:t>Equipement</w:t>
            </w:r>
            <w:proofErr w:type="spellEnd"/>
            <w:r w:rsidRPr="002E2DAA">
              <w:rPr>
                <w:lang w:val="fr-FR" w:eastAsia="fr-FR"/>
              </w:rPr>
              <w:t xml:space="preserve"> mobile […] </w:t>
            </w:r>
            <w:r w:rsidRPr="002E2DAA">
              <w:rPr>
                <w:vertAlign w:val="superscript"/>
                <w:lang w:val="fr-FR" w:eastAsia="fr-FR"/>
              </w:rPr>
              <w:t>2)</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510"/>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Calage de citernes à cargaison indépendantes de la coque et calage d'installations et équipements</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Mâts et mâtures similaires</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Parties de machines</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Parties de l'installation électrique</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8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 xml:space="preserve">[Parties de l'installation de chargement et de déchargement] </w:t>
            </w:r>
            <w:r w:rsidRPr="002E2DAA">
              <w:rPr>
                <w:vertAlign w:val="superscript"/>
                <w:lang w:val="fr-FR" w:eastAsia="fr-FR"/>
              </w:rPr>
              <w:t xml:space="preserve">3) </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Couvercles de caisses placées sur le pont</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Supports ou butées de tous types</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r>
      <w:tr w:rsidR="00794038" w:rsidRPr="002E2DAA" w:rsidTr="00794038">
        <w:trPr>
          <w:trHeight w:val="540"/>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 xml:space="preserve">[Revêtement des citernes à cargaison et des tuyauteries de chargement et de déchargement] </w:t>
            </w:r>
            <w:r w:rsidRPr="002E2DAA">
              <w:rPr>
                <w:vertAlign w:val="superscript"/>
                <w:lang w:val="fr-FR" w:eastAsia="fr-FR"/>
              </w:rPr>
              <w:t>4)</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r w:rsidR="00794038" w:rsidRPr="002E2DAA" w:rsidTr="00794038">
        <w:trPr>
          <w:trHeight w:val="510"/>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Tous types de joints (par exemple pour couvercles de dôme ou d'écoutille)</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Câbles électriques</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r w:rsidR="00794038" w:rsidRPr="002E2DAA" w:rsidTr="00794038">
        <w:trPr>
          <w:trHeight w:val="255"/>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Tuyauteries flexibles de chargement ou de déchargement</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r w:rsidR="00794038" w:rsidRPr="002E2DAA" w:rsidTr="00794038">
        <w:trPr>
          <w:trHeight w:val="510"/>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Isolation des citernes à cargaison et des tuyauteries rigides de chargement ou de déchargement</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r w:rsidR="00794038" w:rsidRPr="002E2DAA" w:rsidTr="00794038">
        <w:trPr>
          <w:trHeight w:val="270"/>
        </w:trPr>
        <w:tc>
          <w:tcPr>
            <w:tcW w:w="6380" w:type="dxa"/>
            <w:shd w:val="clear" w:color="auto" w:fill="auto"/>
            <w:hideMark/>
          </w:tcPr>
          <w:p w:rsidR="00B76647" w:rsidRPr="002E2DAA" w:rsidRDefault="00B76647" w:rsidP="002E2DAA">
            <w:pPr>
              <w:suppressAutoHyphens w:val="0"/>
              <w:spacing w:before="40" w:after="120" w:line="220" w:lineRule="exact"/>
              <w:ind w:right="113"/>
              <w:rPr>
                <w:lang w:val="fr-FR" w:eastAsia="fr-FR"/>
              </w:rPr>
            </w:pPr>
            <w:r w:rsidRPr="002E2DAA">
              <w:rPr>
                <w:lang w:val="fr-FR" w:eastAsia="fr-FR"/>
              </w:rPr>
              <w:t>Copies photo-optiques du certificat d'agrément selon 8.1.2.6 ou 8.1.2.7</w:t>
            </w:r>
          </w:p>
        </w:tc>
        <w:tc>
          <w:tcPr>
            <w:tcW w:w="113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984"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p>
        </w:tc>
        <w:tc>
          <w:tcPr>
            <w:tcW w:w="1559"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suppressAutoHyphens w:val="0"/>
              <w:spacing w:before="40" w:after="120" w:line="220" w:lineRule="exact"/>
              <w:ind w:right="113"/>
              <w:jc w:val="center"/>
              <w:rPr>
                <w:lang w:val="fr-FR" w:eastAsia="fr-FR"/>
              </w:rPr>
            </w:pPr>
            <w:r w:rsidRPr="002E2DAA">
              <w:rPr>
                <w:lang w:val="fr-FR" w:eastAsia="fr-FR"/>
              </w:rPr>
              <w:t>X</w:t>
            </w:r>
          </w:p>
        </w:tc>
      </w:tr>
    </w:tbl>
    <w:p w:rsidR="00B76647" w:rsidRPr="002E2DAA" w:rsidRDefault="003767DE" w:rsidP="003767DE">
      <w:pPr>
        <w:pStyle w:val="FootnoteText"/>
        <w:rPr>
          <w:lang w:val="fr-FR" w:eastAsia="fr-FR"/>
        </w:rPr>
      </w:pPr>
      <w:r>
        <w:rPr>
          <w:vertAlign w:val="superscript"/>
          <w:lang w:val="fr-FR" w:eastAsia="fr-FR"/>
        </w:rPr>
        <w:tab/>
      </w:r>
      <w:r w:rsidR="00B76647" w:rsidRPr="002E2DAA">
        <w:rPr>
          <w:vertAlign w:val="superscript"/>
          <w:lang w:val="fr-FR" w:eastAsia="fr-FR"/>
        </w:rPr>
        <w:t>2)</w:t>
      </w:r>
      <w:r w:rsidR="002E2DAA">
        <w:rPr>
          <w:vertAlign w:val="superscript"/>
          <w:lang w:val="fr-FR" w:eastAsia="fr-FR"/>
        </w:rPr>
        <w:t xml:space="preserve"> </w:t>
      </w:r>
      <w:r w:rsidR="00B76647" w:rsidRPr="002E2DAA">
        <w:rPr>
          <w:lang w:val="fr-FR" w:eastAsia="fr-FR"/>
        </w:rPr>
        <w:t xml:space="preserve"> </w:t>
      </w:r>
      <w:r>
        <w:rPr>
          <w:lang w:val="fr-FR" w:eastAsia="fr-FR"/>
        </w:rPr>
        <w:tab/>
      </w:r>
      <w:r w:rsidR="00B76647" w:rsidRPr="002E2DAA">
        <w:rPr>
          <w:lang w:val="fr-FR" w:eastAsia="fr-FR"/>
        </w:rPr>
        <w:t>Le texte entre les parenthèses concerne 9.3.2.0.3 et 9.3.3.03, mais non 9.3.1.0.3</w:t>
      </w:r>
    </w:p>
    <w:p w:rsidR="00B76647" w:rsidRPr="002E2DAA" w:rsidRDefault="003767DE" w:rsidP="003767DE">
      <w:pPr>
        <w:pStyle w:val="FootnoteText"/>
        <w:rPr>
          <w:lang w:val="fr-FR" w:eastAsia="fr-FR"/>
        </w:rPr>
      </w:pPr>
      <w:r>
        <w:rPr>
          <w:vertAlign w:val="superscript"/>
          <w:lang w:val="fr-FR" w:eastAsia="fr-FR"/>
        </w:rPr>
        <w:tab/>
      </w:r>
      <w:r w:rsidR="00B76647" w:rsidRPr="002E2DAA">
        <w:rPr>
          <w:vertAlign w:val="superscript"/>
          <w:lang w:val="fr-FR" w:eastAsia="fr-FR"/>
        </w:rPr>
        <w:t>3)</w:t>
      </w:r>
      <w:r w:rsidR="00B76647" w:rsidRPr="002E2DAA">
        <w:rPr>
          <w:lang w:val="fr-FR" w:eastAsia="fr-FR"/>
        </w:rPr>
        <w:t xml:space="preserve"> </w:t>
      </w:r>
      <w:r>
        <w:rPr>
          <w:lang w:val="fr-FR" w:eastAsia="fr-FR"/>
        </w:rPr>
        <w:tab/>
      </w:r>
      <w:r w:rsidR="002E2DAA">
        <w:rPr>
          <w:lang w:val="fr-FR" w:eastAsia="fr-FR"/>
        </w:rPr>
        <w:t xml:space="preserve"> </w:t>
      </w:r>
      <w:r w:rsidR="00B76647" w:rsidRPr="002E2DAA">
        <w:rPr>
          <w:lang w:val="fr-FR" w:eastAsia="fr-FR"/>
        </w:rPr>
        <w:t>Le texte entre les parenthèses concerne 9.3.2.0.3 et 9.3.3.03, mais non 9.3.1.0.3</w:t>
      </w:r>
    </w:p>
    <w:p w:rsidR="00B76647" w:rsidRPr="00B76647" w:rsidRDefault="003767DE" w:rsidP="003767DE">
      <w:pPr>
        <w:pStyle w:val="FootnoteText"/>
        <w:rPr>
          <w:lang w:val="fr-FR" w:eastAsia="fr-FR"/>
        </w:rPr>
      </w:pPr>
      <w:r>
        <w:rPr>
          <w:szCs w:val="18"/>
          <w:vertAlign w:val="superscript"/>
          <w:lang w:val="fr-FR" w:eastAsia="fr-FR"/>
        </w:rPr>
        <w:tab/>
      </w:r>
      <w:r w:rsidR="00B76647" w:rsidRPr="002E2DAA">
        <w:rPr>
          <w:szCs w:val="18"/>
          <w:vertAlign w:val="superscript"/>
          <w:lang w:val="fr-FR" w:eastAsia="fr-FR"/>
        </w:rPr>
        <w:t xml:space="preserve">4) </w:t>
      </w:r>
      <w:r>
        <w:rPr>
          <w:szCs w:val="18"/>
          <w:vertAlign w:val="superscript"/>
          <w:lang w:val="fr-FR" w:eastAsia="fr-FR"/>
        </w:rPr>
        <w:tab/>
      </w:r>
      <w:r w:rsidR="002E2DAA">
        <w:rPr>
          <w:szCs w:val="18"/>
          <w:vertAlign w:val="superscript"/>
          <w:lang w:val="fr-FR" w:eastAsia="fr-FR"/>
        </w:rPr>
        <w:t xml:space="preserve"> </w:t>
      </w:r>
      <w:r w:rsidR="00B76647" w:rsidRPr="002E2DAA">
        <w:rPr>
          <w:szCs w:val="18"/>
          <w:lang w:val="fr-FR" w:eastAsia="fr-FR"/>
        </w:rPr>
        <w:t>Le texte entre les parenthèses concerne 9.3.2.0.3 et 9.3.3.03, mais non 9.3.1.0.3</w:t>
      </w:r>
      <w:r w:rsidR="00B76647" w:rsidRPr="00B76647">
        <w:rPr>
          <w:lang w:val="fr-FR" w:eastAsia="fr-FR"/>
        </w:rPr>
        <w:br w:type="page"/>
      </w:r>
    </w:p>
    <w:tbl>
      <w:tblPr>
        <w:tblStyle w:val="TableGrid10"/>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0"/>
        <w:gridCol w:w="1134"/>
        <w:gridCol w:w="1984"/>
        <w:gridCol w:w="1559"/>
        <w:gridCol w:w="1302"/>
      </w:tblGrid>
      <w:tr w:rsidR="00794038" w:rsidRPr="002E2DAA" w:rsidTr="00794038">
        <w:trPr>
          <w:trHeight w:val="264"/>
          <w:tblHeader/>
        </w:trPr>
        <w:tc>
          <w:tcPr>
            <w:tcW w:w="6380" w:type="dxa"/>
            <w:tcBorders>
              <w:top w:val="single" w:sz="4" w:space="0" w:color="auto"/>
              <w:bottom w:val="single" w:sz="12" w:space="0" w:color="auto"/>
            </w:tcBorders>
            <w:shd w:val="clear" w:color="auto" w:fill="auto"/>
            <w:noWrap/>
            <w:vAlign w:val="bottom"/>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80" w:after="80" w:line="200" w:lineRule="exact"/>
              <w:ind w:right="113"/>
              <w:jc w:val="left"/>
              <w:textAlignment w:val="baseline"/>
              <w:rPr>
                <w:i/>
                <w:sz w:val="16"/>
                <w:lang w:val="fr-FR" w:eastAsia="fr-FR"/>
              </w:rPr>
            </w:pPr>
          </w:p>
        </w:tc>
        <w:tc>
          <w:tcPr>
            <w:tcW w:w="1134" w:type="dxa"/>
            <w:tcBorders>
              <w:top w:val="single" w:sz="4" w:space="0" w:color="auto"/>
              <w:bottom w:val="single" w:sz="12" w:space="0" w:color="auto"/>
            </w:tcBorders>
            <w:shd w:val="clear" w:color="auto" w:fill="auto"/>
            <w:noWrap/>
            <w:vAlign w:val="bottom"/>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80" w:after="80" w:line="200" w:lineRule="exact"/>
              <w:ind w:right="113"/>
              <w:jc w:val="center"/>
              <w:textAlignment w:val="baseline"/>
              <w:rPr>
                <w:i/>
                <w:sz w:val="16"/>
                <w:lang w:val="fr-FR" w:eastAsia="fr-FR"/>
              </w:rPr>
            </w:pPr>
            <w:r w:rsidRPr="002E2DAA">
              <w:rPr>
                <w:i/>
                <w:sz w:val="16"/>
                <w:lang w:val="fr-FR" w:eastAsia="fr-FR"/>
              </w:rPr>
              <w:t>Bois</w:t>
            </w:r>
          </w:p>
        </w:tc>
        <w:tc>
          <w:tcPr>
            <w:tcW w:w="1984" w:type="dxa"/>
            <w:tcBorders>
              <w:top w:val="single" w:sz="4" w:space="0" w:color="auto"/>
              <w:bottom w:val="single" w:sz="12" w:space="0" w:color="auto"/>
            </w:tcBorders>
            <w:shd w:val="clear" w:color="auto" w:fill="auto"/>
            <w:noWrap/>
            <w:vAlign w:val="bottom"/>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80" w:after="80" w:line="200" w:lineRule="exact"/>
              <w:ind w:right="113"/>
              <w:jc w:val="center"/>
              <w:textAlignment w:val="baseline"/>
              <w:rPr>
                <w:i/>
                <w:sz w:val="16"/>
                <w:lang w:val="fr-FR" w:eastAsia="fr-FR"/>
              </w:rPr>
            </w:pPr>
            <w:r w:rsidRPr="002E2DAA">
              <w:rPr>
                <w:i/>
                <w:sz w:val="16"/>
                <w:lang w:val="fr-FR" w:eastAsia="fr-FR"/>
              </w:rPr>
              <w:t>Aluminium</w:t>
            </w:r>
          </w:p>
        </w:tc>
        <w:tc>
          <w:tcPr>
            <w:tcW w:w="1559" w:type="dxa"/>
            <w:tcBorders>
              <w:top w:val="single" w:sz="4" w:space="0" w:color="auto"/>
              <w:bottom w:val="single" w:sz="12" w:space="0" w:color="auto"/>
            </w:tcBorders>
            <w:shd w:val="clear" w:color="auto" w:fill="auto"/>
            <w:vAlign w:val="bottom"/>
            <w:hideMark/>
          </w:tcPr>
          <w:p w:rsidR="00B76647" w:rsidRPr="002E2DAA" w:rsidRDefault="00B76647" w:rsidP="00794038">
            <w:pPr>
              <w:tabs>
                <w:tab w:val="clear" w:pos="425"/>
                <w:tab w:val="clear" w:pos="851"/>
                <w:tab w:val="clear" w:pos="1276"/>
              </w:tabs>
              <w:suppressAutoHyphens w:val="0"/>
              <w:overflowPunct w:val="0"/>
              <w:autoSpaceDE w:val="0"/>
              <w:autoSpaceDN w:val="0"/>
              <w:adjustRightInd w:val="0"/>
              <w:spacing w:before="80" w:after="80" w:line="200" w:lineRule="exact"/>
              <w:ind w:right="113"/>
              <w:jc w:val="center"/>
              <w:textAlignment w:val="baseline"/>
              <w:rPr>
                <w:i/>
                <w:sz w:val="16"/>
                <w:lang w:val="fr-FR" w:eastAsia="fr-FR"/>
              </w:rPr>
            </w:pPr>
            <w:r w:rsidRPr="002E2DAA">
              <w:rPr>
                <w:i/>
                <w:sz w:val="16"/>
                <w:lang w:val="fr-FR" w:eastAsia="fr-FR"/>
              </w:rPr>
              <w:t>Matières</w:t>
            </w:r>
            <w:r w:rsidR="00794038">
              <w:rPr>
                <w:i/>
                <w:sz w:val="16"/>
                <w:lang w:val="fr-FR" w:eastAsia="fr-FR"/>
              </w:rPr>
              <w:t xml:space="preserve"> </w:t>
            </w:r>
            <w:r w:rsidRPr="002E2DAA">
              <w:rPr>
                <w:i/>
                <w:sz w:val="16"/>
                <w:lang w:val="fr-FR" w:eastAsia="fr-FR"/>
              </w:rPr>
              <w:t>plastiques</w:t>
            </w:r>
          </w:p>
        </w:tc>
        <w:tc>
          <w:tcPr>
            <w:tcW w:w="1302" w:type="dxa"/>
            <w:tcBorders>
              <w:top w:val="single" w:sz="4" w:space="0" w:color="auto"/>
              <w:bottom w:val="single" w:sz="12" w:space="0" w:color="auto"/>
            </w:tcBorders>
            <w:shd w:val="clear" w:color="auto" w:fill="auto"/>
            <w:noWrap/>
            <w:vAlign w:val="bottom"/>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80" w:after="80" w:line="200" w:lineRule="exact"/>
              <w:ind w:right="113"/>
              <w:jc w:val="center"/>
              <w:textAlignment w:val="baseline"/>
              <w:rPr>
                <w:i/>
                <w:sz w:val="16"/>
                <w:lang w:val="fr-FR" w:eastAsia="fr-FR"/>
              </w:rPr>
            </w:pPr>
            <w:r w:rsidRPr="002E2DAA">
              <w:rPr>
                <w:i/>
                <w:sz w:val="16"/>
                <w:lang w:val="fr-FR" w:eastAsia="fr-FR"/>
              </w:rPr>
              <w:t>Caoutchouc</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Passerelles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Matériel de nettoyage tel que balais, etc.</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Supports ou butées de tous types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Mâts et mâtures similaires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Calage de citernes à cargaison indépendantes de la coque et calage d'installations et équipements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Passerelles, échelles extérieures et passages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Défenses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765"/>
        </w:trPr>
        <w:tc>
          <w:tcPr>
            <w:tcW w:w="6380" w:type="dxa"/>
            <w:shd w:val="clear" w:color="auto" w:fill="auto"/>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proofErr w:type="spellStart"/>
            <w:r w:rsidRPr="002E2DAA">
              <w:rPr>
                <w:lang w:val="fr-FR" w:eastAsia="fr-FR"/>
              </w:rPr>
              <w:t>Equipement</w:t>
            </w:r>
            <w:proofErr w:type="spellEnd"/>
            <w:r w:rsidRPr="002E2DAA">
              <w:rPr>
                <w:lang w:val="fr-FR" w:eastAsia="fr-FR"/>
              </w:rPr>
              <w:t xml:space="preserve"> mobile tel que extincteurs, détecteurs de gaz portatifs, treuils de sauvetage, etc. Les sondes en aluminium sont admises, à condition qu'elles soient munies d'un pied en laiton, ou protégées d'une autre manière pour éviter la production d'étincelles.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Isolation et revêtement des citernes à cargaison, des tuyauteries de chargement et de déchargement, des conduites d'évacuation de gaz et des conduites de chauffage</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Mâts et mâtures similaires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Parties de machines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Habillage de protection de moteurs etc.</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Ventilateurs, y compris les tuyauteries flexibles pour la ventilation</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Parties de l'installation d'aspersion d'eau et de la douche, et installation pour le rinçage des yeux et du visage</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Parties de l'installation électrique</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Parties de l'installation de chargement et de déchargement comme par exemple vannes de garde, joints d'étanchéité, etc.</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c>
          <w:tcPr>
            <w:tcW w:w="6380" w:type="dxa"/>
            <w:shd w:val="clear" w:color="auto" w:fill="auto"/>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Caisses, armoires ou conteneurs placés sur le pont pour le stockage de matériel, afin de supprimer ou de recueillir les cabestans, extincteurs, manches d'incendie, déchets, etc.</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Tous types de joints (par exemple : couvercles de dôme ou d'écoutille)</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lastRenderedPageBreak/>
              <w:t>Câbles pour les appareils électriques</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Tuyauteries flexibles de chargement ou de déchargement</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Extincteurs, tuyauteries flexibles de lavage de pont, cabestans, appareils et bouteilles de prélèvement d'échantillons etc.</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Tapis sous le raccordement à terre des tuyauteries de chargement et de déchargement</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55"/>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Câbles d'amarrage</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r w:rsidR="00794038" w:rsidRPr="002E2DAA" w:rsidTr="00794038">
        <w:trPr>
          <w:trHeight w:val="270"/>
        </w:trPr>
        <w:tc>
          <w:tcPr>
            <w:tcW w:w="6380"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left"/>
              <w:textAlignment w:val="baseline"/>
              <w:rPr>
                <w:lang w:val="fr-FR" w:eastAsia="fr-FR"/>
              </w:rPr>
            </w:pPr>
            <w:r w:rsidRPr="002E2DAA">
              <w:rPr>
                <w:lang w:val="fr-FR" w:eastAsia="fr-FR"/>
              </w:rPr>
              <w:t>Copies photo-optiques du certificat d'agrément selon 8.1.2.6 ou 8.1.2.7</w:t>
            </w:r>
          </w:p>
        </w:tc>
        <w:tc>
          <w:tcPr>
            <w:tcW w:w="113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984"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p>
        </w:tc>
        <w:tc>
          <w:tcPr>
            <w:tcW w:w="1559"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c>
          <w:tcPr>
            <w:tcW w:w="1302" w:type="dxa"/>
            <w:shd w:val="clear" w:color="auto" w:fill="auto"/>
            <w:noWrap/>
            <w:hideMark/>
          </w:tcPr>
          <w:p w:rsidR="00B76647" w:rsidRPr="002E2DAA" w:rsidRDefault="00B76647" w:rsidP="002E2DAA">
            <w:pPr>
              <w:tabs>
                <w:tab w:val="clear" w:pos="425"/>
                <w:tab w:val="clear" w:pos="851"/>
                <w:tab w:val="clear" w:pos="1276"/>
              </w:tabs>
              <w:suppressAutoHyphens w:val="0"/>
              <w:overflowPunct w:val="0"/>
              <w:autoSpaceDE w:val="0"/>
              <w:autoSpaceDN w:val="0"/>
              <w:adjustRightInd w:val="0"/>
              <w:spacing w:before="40" w:after="120" w:line="220" w:lineRule="exact"/>
              <w:ind w:right="113"/>
              <w:jc w:val="center"/>
              <w:textAlignment w:val="baseline"/>
              <w:rPr>
                <w:lang w:val="fr-FR" w:eastAsia="fr-FR"/>
              </w:rPr>
            </w:pPr>
            <w:r w:rsidRPr="002E2DAA">
              <w:rPr>
                <w:lang w:val="fr-FR" w:eastAsia="fr-FR"/>
              </w:rPr>
              <w:t>X</w:t>
            </w:r>
          </w:p>
        </w:tc>
      </w:tr>
    </w:tbl>
    <w:p w:rsidR="00B76647" w:rsidRDefault="00B76647" w:rsidP="00827263">
      <w:pPr>
        <w:suppressAutoHyphens w:val="0"/>
        <w:spacing w:line="240" w:lineRule="auto"/>
        <w:rPr>
          <w:lang w:val="fr-FR" w:eastAsia="fr-FR"/>
        </w:rPr>
      </w:pPr>
      <w:r w:rsidRPr="00B76647">
        <w:rPr>
          <w:lang w:val="fr-FR" w:eastAsia="fr-FR"/>
        </w:rPr>
        <w:br w:type="page"/>
      </w:r>
    </w:p>
    <w:p w:rsidR="00374C3C" w:rsidRDefault="00794038" w:rsidP="002E2DAA">
      <w:pPr>
        <w:pStyle w:val="HChG"/>
        <w:rPr>
          <w:lang w:val="fr-FR" w:eastAsia="fr-FR"/>
        </w:rPr>
      </w:pPr>
      <w:r>
        <w:lastRenderedPageBreak/>
        <w:tab/>
      </w:r>
      <w:r w:rsidR="00374C3C" w:rsidRPr="002E2DAA">
        <w:t>Annexe</w:t>
      </w:r>
      <w:r w:rsidR="00374C3C">
        <w:rPr>
          <w:lang w:val="fr-FR" w:eastAsia="fr-FR"/>
        </w:rPr>
        <w:t xml:space="preserve"> 2</w:t>
      </w:r>
    </w:p>
    <w:p w:rsidR="00374C3C" w:rsidRPr="00374C3C" w:rsidRDefault="002E2DAA" w:rsidP="002E2DAA">
      <w:pPr>
        <w:pStyle w:val="HChG"/>
        <w:rPr>
          <w:lang w:val="fr-FR" w:eastAsia="fr-FR"/>
        </w:rPr>
      </w:pPr>
      <w:r>
        <w:rPr>
          <w:lang w:val="fr-FR" w:eastAsia="fr-FR"/>
        </w:rPr>
        <w:tab/>
      </w:r>
      <w:r>
        <w:rPr>
          <w:lang w:val="fr-FR" w:eastAsia="fr-FR"/>
        </w:rPr>
        <w:tab/>
        <w:t xml:space="preserve">Proposition 2 - </w:t>
      </w:r>
      <w:r w:rsidR="00374C3C" w:rsidRPr="00374C3C">
        <w:rPr>
          <w:lang w:val="fr-FR" w:eastAsia="fr-FR"/>
        </w:rPr>
        <w:t>9.3.x.0.3 (demande UENF / OEB / ERSTU)</w:t>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332"/>
        <w:gridCol w:w="1117"/>
        <w:gridCol w:w="1537"/>
        <w:gridCol w:w="1256"/>
        <w:gridCol w:w="1117"/>
      </w:tblGrid>
      <w:tr w:rsidR="00987705" w:rsidRPr="002E2DAA" w:rsidTr="002E2DAA">
        <w:trPr>
          <w:tblHeader/>
        </w:trPr>
        <w:tc>
          <w:tcPr>
            <w:tcW w:w="7441" w:type="dxa"/>
            <w:tcBorders>
              <w:top w:val="single" w:sz="4" w:space="0" w:color="auto"/>
              <w:bottom w:val="single" w:sz="12" w:space="0" w:color="auto"/>
            </w:tcBorders>
            <w:shd w:val="clear" w:color="auto" w:fill="auto"/>
            <w:noWrap/>
            <w:vAlign w:val="bottom"/>
            <w:hideMark/>
          </w:tcPr>
          <w:p w:rsidR="00987705" w:rsidRPr="002E2DAA" w:rsidRDefault="00987705" w:rsidP="002E2DAA">
            <w:pPr>
              <w:suppressAutoHyphens w:val="0"/>
              <w:spacing w:before="80" w:after="80" w:line="200" w:lineRule="exact"/>
              <w:ind w:right="113"/>
              <w:rPr>
                <w:i/>
                <w:sz w:val="16"/>
                <w:lang w:val="fr-FR" w:eastAsia="fr-FR"/>
              </w:rPr>
            </w:pPr>
            <w:r w:rsidRPr="002E2DAA">
              <w:rPr>
                <w:i/>
                <w:sz w:val="16"/>
                <w:lang w:val="fr-FR" w:eastAsia="fr-FR"/>
              </w:rPr>
              <w:t> </w:t>
            </w:r>
          </w:p>
        </w:tc>
        <w:tc>
          <w:tcPr>
            <w:tcW w:w="1134" w:type="dxa"/>
            <w:tcBorders>
              <w:top w:val="single" w:sz="4" w:space="0" w:color="auto"/>
              <w:bottom w:val="single" w:sz="12" w:space="0" w:color="auto"/>
            </w:tcBorders>
            <w:shd w:val="clear" w:color="auto" w:fill="auto"/>
            <w:noWrap/>
            <w:vAlign w:val="bottom"/>
            <w:hideMark/>
          </w:tcPr>
          <w:p w:rsidR="00987705" w:rsidRPr="002E2DAA" w:rsidRDefault="00987705" w:rsidP="002E2DAA">
            <w:pPr>
              <w:suppressAutoHyphens w:val="0"/>
              <w:spacing w:before="80" w:after="80" w:line="200" w:lineRule="exact"/>
              <w:ind w:right="113"/>
              <w:jc w:val="center"/>
              <w:rPr>
                <w:i/>
                <w:sz w:val="16"/>
                <w:lang w:val="fr-FR" w:eastAsia="fr-FR"/>
              </w:rPr>
            </w:pPr>
            <w:r w:rsidRPr="002E2DAA">
              <w:rPr>
                <w:i/>
                <w:sz w:val="16"/>
                <w:lang w:val="fr-FR" w:eastAsia="fr-FR"/>
              </w:rPr>
              <w:t>Bois</w:t>
            </w:r>
          </w:p>
        </w:tc>
        <w:tc>
          <w:tcPr>
            <w:tcW w:w="1560" w:type="dxa"/>
            <w:tcBorders>
              <w:top w:val="single" w:sz="4" w:space="0" w:color="auto"/>
              <w:bottom w:val="single" w:sz="12" w:space="0" w:color="auto"/>
            </w:tcBorders>
            <w:shd w:val="clear" w:color="auto" w:fill="auto"/>
            <w:noWrap/>
            <w:vAlign w:val="bottom"/>
            <w:hideMark/>
          </w:tcPr>
          <w:p w:rsidR="00987705" w:rsidRPr="002E2DAA" w:rsidRDefault="00987705" w:rsidP="002E2DAA">
            <w:pPr>
              <w:suppressAutoHyphens w:val="0"/>
              <w:spacing w:before="80" w:after="80" w:line="200" w:lineRule="exact"/>
              <w:ind w:right="113"/>
              <w:jc w:val="center"/>
              <w:rPr>
                <w:i/>
                <w:sz w:val="16"/>
                <w:lang w:val="fr-FR" w:eastAsia="fr-FR"/>
              </w:rPr>
            </w:pPr>
            <w:r w:rsidRPr="002E2DAA">
              <w:rPr>
                <w:i/>
                <w:sz w:val="16"/>
                <w:lang w:val="fr-FR" w:eastAsia="fr-FR"/>
              </w:rPr>
              <w:t>Alliages d'aluminium</w:t>
            </w:r>
          </w:p>
        </w:tc>
        <w:tc>
          <w:tcPr>
            <w:tcW w:w="1275" w:type="dxa"/>
            <w:tcBorders>
              <w:top w:val="single" w:sz="4" w:space="0" w:color="auto"/>
              <w:bottom w:val="single" w:sz="12" w:space="0" w:color="auto"/>
            </w:tcBorders>
            <w:shd w:val="clear" w:color="auto" w:fill="auto"/>
            <w:noWrap/>
            <w:vAlign w:val="bottom"/>
            <w:hideMark/>
          </w:tcPr>
          <w:p w:rsidR="00987705" w:rsidRPr="002E2DAA" w:rsidRDefault="00987705" w:rsidP="002E2DAA">
            <w:pPr>
              <w:suppressAutoHyphens w:val="0"/>
              <w:spacing w:before="80" w:after="80" w:line="200" w:lineRule="exact"/>
              <w:ind w:right="113"/>
              <w:jc w:val="center"/>
              <w:rPr>
                <w:i/>
                <w:sz w:val="16"/>
                <w:lang w:val="fr-FR" w:eastAsia="fr-FR"/>
              </w:rPr>
            </w:pPr>
            <w:r w:rsidRPr="002E2DAA">
              <w:rPr>
                <w:i/>
                <w:sz w:val="16"/>
                <w:lang w:val="fr-FR" w:eastAsia="fr-FR"/>
              </w:rPr>
              <w:t>Matière plastique</w:t>
            </w:r>
          </w:p>
        </w:tc>
        <w:tc>
          <w:tcPr>
            <w:tcW w:w="1134" w:type="dxa"/>
            <w:tcBorders>
              <w:top w:val="single" w:sz="4" w:space="0" w:color="auto"/>
              <w:bottom w:val="single" w:sz="12" w:space="0" w:color="auto"/>
            </w:tcBorders>
            <w:shd w:val="clear" w:color="auto" w:fill="auto"/>
            <w:noWrap/>
            <w:vAlign w:val="bottom"/>
            <w:hideMark/>
          </w:tcPr>
          <w:p w:rsidR="00987705" w:rsidRPr="002E2DAA" w:rsidRDefault="00987705" w:rsidP="002E2DAA">
            <w:pPr>
              <w:suppressAutoHyphens w:val="0"/>
              <w:spacing w:before="80" w:after="80" w:line="200" w:lineRule="exact"/>
              <w:ind w:right="113"/>
              <w:jc w:val="center"/>
              <w:rPr>
                <w:i/>
                <w:sz w:val="16"/>
                <w:lang w:val="fr-FR" w:eastAsia="fr-FR"/>
              </w:rPr>
            </w:pPr>
            <w:r w:rsidRPr="002E2DAA">
              <w:rPr>
                <w:i/>
                <w:sz w:val="16"/>
                <w:lang w:val="fr-FR" w:eastAsia="fr-FR"/>
              </w:rPr>
              <w:t>Caoutchouc</w:t>
            </w:r>
          </w:p>
        </w:tc>
      </w:tr>
      <w:tr w:rsidR="00987705" w:rsidRPr="002E2DAA" w:rsidTr="002E2DAA">
        <w:tc>
          <w:tcPr>
            <w:tcW w:w="7441" w:type="dxa"/>
            <w:tcBorders>
              <w:top w:val="single" w:sz="12" w:space="0" w:color="auto"/>
            </w:tcBorders>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 xml:space="preserve">Passerelles </w:t>
            </w:r>
            <w:r w:rsidRPr="002E2DAA">
              <w:rPr>
                <w:strike/>
                <w:lang w:val="fr-FR" w:eastAsia="fr-FR"/>
              </w:rPr>
              <w:t>et échelles extérieures</w:t>
            </w:r>
          </w:p>
        </w:tc>
        <w:tc>
          <w:tcPr>
            <w:tcW w:w="1134" w:type="dxa"/>
            <w:tcBorders>
              <w:top w:val="single" w:sz="12" w:space="0" w:color="auto"/>
            </w:tcBorders>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560" w:type="dxa"/>
            <w:tcBorders>
              <w:top w:val="single" w:sz="12" w:space="0" w:color="auto"/>
            </w:tcBorders>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tcBorders>
              <w:top w:val="single" w:sz="12" w:space="0" w:color="auto"/>
            </w:tcBorders>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tcBorders>
              <w:top w:val="single" w:sz="12" w:space="0" w:color="auto"/>
            </w:tcBorders>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proofErr w:type="spellStart"/>
            <w:r w:rsidRPr="002E2DAA">
              <w:rPr>
                <w:lang w:val="fr-FR" w:eastAsia="fr-FR"/>
              </w:rPr>
              <w:t>Echelles</w:t>
            </w:r>
            <w:proofErr w:type="spellEnd"/>
            <w:r w:rsidRPr="002E2DAA">
              <w:rPr>
                <w:lang w:val="fr-FR" w:eastAsia="fr-FR"/>
              </w:rPr>
              <w:t xml:space="preserve"> extérieures </w:t>
            </w:r>
            <w:r w:rsidRPr="002E2DAA">
              <w:rPr>
                <w:b/>
                <w:lang w:val="fr-FR" w:eastAsia="fr-FR"/>
              </w:rPr>
              <w:t>et passages (passerelles)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Matériel de nettoyage tel que balais, etc.</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proofErr w:type="spellStart"/>
            <w:r w:rsidRPr="002E2DAA">
              <w:rPr>
                <w:lang w:val="fr-FR" w:eastAsia="fr-FR"/>
              </w:rPr>
              <w:t>Equipement</w:t>
            </w:r>
            <w:proofErr w:type="spellEnd"/>
            <w:r w:rsidRPr="002E2DAA">
              <w:rPr>
                <w:lang w:val="fr-FR" w:eastAsia="fr-FR"/>
              </w:rPr>
              <w:t xml:space="preserve"> mobile tel qu'extincteurs, détecteurs de gaz portatifs, treuils de sauvetage, etc. </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Défenses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Câbles d'amarrage, amarres pour défenses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Calage de citernes à cargaison indépendantes de la coque et calage d'installations et équipements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Mâts et mâtures similaires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Parties de machines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Habillage de protection de moteurs et de pompes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Parties de l'installation électrique</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 xml:space="preserve">Parties de l'installation de chargement et de déchargement </w:t>
            </w:r>
            <w:r w:rsidRPr="002E2DAA">
              <w:rPr>
                <w:b/>
                <w:lang w:val="fr-FR" w:eastAsia="fr-FR"/>
              </w:rPr>
              <w:t>comme par exemple vannes de garde, joints d'étanchéité, etc.</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strike/>
                <w:lang w:val="fr-FR" w:eastAsia="fr-FR"/>
              </w:rPr>
              <w:t>Couvercles de caisses placées sur le pont</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Caisses, armoires ou conteneurs placés sur le pont pour le stockage de matériel, afin de recueillir des fuites de liquides, produits de nettoyage, extincteurs, manches d'incendie, déchets, etc.</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Supports ou butées de tous types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Ventilateurs, y compris les tuyauteries flexibles pour la ventilation</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Parties de l'installation d'aspersion d'eau et de la douche, et installation pour le rinçage des yeux et du visage</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b/>
                <w:lang w:val="fr-FR" w:eastAsia="fr-FR"/>
              </w:rPr>
              <w:lastRenderedPageBreak/>
              <w:t>Isolation</w:t>
            </w:r>
            <w:r w:rsidRPr="002E2DAA">
              <w:rPr>
                <w:lang w:val="fr-FR" w:eastAsia="fr-FR"/>
              </w:rPr>
              <w:t xml:space="preserve"> des citernes à cargaison, des tuyauteries de chargement et de déchargement</w:t>
            </w:r>
            <w:r w:rsidRPr="002E2DAA">
              <w:rPr>
                <w:b/>
                <w:lang w:val="fr-FR" w:eastAsia="fr-FR"/>
              </w:rPr>
              <w:t>, des conduites d'évacuation de gaz et des conduites de chauffage</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Revêtement des citernes à cargaison et des tuyauteries de chargement et de déchargement</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strike/>
                <w:lang w:val="fr-FR" w:eastAsia="fr-FR"/>
              </w:rPr>
              <w:t>X supprimé</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Tous types de joints (par exemple pour couvercles de dôme ou d'écoutille)</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Câbles pour les appareils électriques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Tuyauteries flexibles de chargement ou de déchargement</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 xml:space="preserve">Tapis sous le raccordement à terre des tuyauteries de chargement et de déchargement </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Manches d'incendie, tuyauteries flexibles de lavage de pont, matériel pour recueillir les fuites de liquides etc.</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b/>
                <w:lang w:val="fr-FR" w:eastAsia="fr-FR"/>
              </w:rPr>
            </w:pPr>
            <w:r w:rsidRPr="002E2DAA">
              <w:rPr>
                <w:b/>
                <w:lang w:val="fr-FR" w:eastAsia="fr-FR"/>
              </w:rPr>
              <w:t>Appareils et bouteilles de prélèvement d'échantillons</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p>
        </w:tc>
      </w:tr>
      <w:tr w:rsidR="00987705" w:rsidRPr="002E2DAA" w:rsidTr="002E2DAA">
        <w:tc>
          <w:tcPr>
            <w:tcW w:w="7441" w:type="dxa"/>
            <w:shd w:val="clear" w:color="auto" w:fill="auto"/>
            <w:hideMark/>
          </w:tcPr>
          <w:p w:rsidR="00987705" w:rsidRPr="002E2DAA" w:rsidRDefault="00987705" w:rsidP="002E2DAA">
            <w:pPr>
              <w:suppressAutoHyphens w:val="0"/>
              <w:spacing w:before="40" w:after="120" w:line="220" w:lineRule="exact"/>
              <w:ind w:right="113"/>
              <w:rPr>
                <w:lang w:val="fr-FR" w:eastAsia="fr-FR"/>
              </w:rPr>
            </w:pPr>
            <w:r w:rsidRPr="002E2DAA">
              <w:rPr>
                <w:lang w:val="fr-FR" w:eastAsia="fr-FR"/>
              </w:rPr>
              <w:t>Copies photo-optiques du certificat d'agrément selon 8.1.2.6 ou 8.1.2.7</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c>
          <w:tcPr>
            <w:tcW w:w="1560" w:type="dxa"/>
            <w:shd w:val="clear" w:color="auto" w:fill="auto"/>
            <w:noWrap/>
            <w:hideMark/>
          </w:tcPr>
          <w:p w:rsidR="00987705" w:rsidRPr="002E2DAA" w:rsidRDefault="00987705" w:rsidP="002E2DAA">
            <w:pPr>
              <w:suppressAutoHyphens w:val="0"/>
              <w:spacing w:before="40" w:after="120" w:line="220" w:lineRule="exact"/>
              <w:ind w:right="113"/>
              <w:jc w:val="center"/>
              <w:rPr>
                <w:b/>
                <w:lang w:val="fr-FR" w:eastAsia="fr-FR"/>
              </w:rPr>
            </w:pPr>
            <w:r w:rsidRPr="002E2DAA">
              <w:rPr>
                <w:b/>
                <w:lang w:val="fr-FR" w:eastAsia="fr-FR"/>
              </w:rPr>
              <w:t>X</w:t>
            </w:r>
          </w:p>
        </w:tc>
        <w:tc>
          <w:tcPr>
            <w:tcW w:w="1275"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r w:rsidRPr="002E2DAA">
              <w:rPr>
                <w:lang w:val="fr-FR" w:eastAsia="fr-FR"/>
              </w:rPr>
              <w:t>X</w:t>
            </w:r>
          </w:p>
        </w:tc>
        <w:tc>
          <w:tcPr>
            <w:tcW w:w="1134" w:type="dxa"/>
            <w:shd w:val="clear" w:color="auto" w:fill="auto"/>
            <w:noWrap/>
            <w:hideMark/>
          </w:tcPr>
          <w:p w:rsidR="00987705" w:rsidRPr="002E2DAA" w:rsidRDefault="00987705" w:rsidP="002E2DAA">
            <w:pPr>
              <w:suppressAutoHyphens w:val="0"/>
              <w:spacing w:before="40" w:after="120" w:line="220" w:lineRule="exact"/>
              <w:ind w:right="113"/>
              <w:jc w:val="center"/>
              <w:rPr>
                <w:lang w:val="fr-FR" w:eastAsia="fr-FR"/>
              </w:rPr>
            </w:pPr>
          </w:p>
        </w:tc>
      </w:tr>
    </w:tbl>
    <w:p w:rsidR="00B76647" w:rsidRPr="00B76647" w:rsidRDefault="00B76647" w:rsidP="00B76647">
      <w:pPr>
        <w:tabs>
          <w:tab w:val="left" w:pos="1418"/>
          <w:tab w:val="left" w:pos="1985"/>
          <w:tab w:val="left" w:pos="2552"/>
          <w:tab w:val="left" w:pos="3119"/>
          <w:tab w:val="left" w:pos="3686"/>
        </w:tabs>
        <w:suppressAutoHyphens w:val="0"/>
        <w:spacing w:line="240" w:lineRule="auto"/>
        <w:jc w:val="right"/>
        <w:rPr>
          <w:b/>
          <w:lang w:val="fr-FR" w:eastAsia="fr-FR"/>
        </w:rPr>
      </w:pPr>
    </w:p>
    <w:p w:rsidR="00B76647" w:rsidRPr="00B76647" w:rsidRDefault="00B76647" w:rsidP="00794038">
      <w:pPr>
        <w:pStyle w:val="SingleTxtG"/>
        <w:rPr>
          <w:lang w:val="fr-FR" w:eastAsia="fr-FR"/>
        </w:rPr>
      </w:pPr>
      <w:r w:rsidRPr="00B76647">
        <w:rPr>
          <w:lang w:val="fr-FR" w:eastAsia="fr-FR"/>
        </w:rPr>
        <w:t>Les sondes en aluminium sont admises, à condition qu'elles soient munies d'un pied en laiton, ou protégées d'une autre manière pour éviter la production d'étincelles.</w:t>
      </w:r>
    </w:p>
    <w:p w:rsidR="00B76647" w:rsidRPr="00987705" w:rsidRDefault="00B76647" w:rsidP="00B76647">
      <w:pPr>
        <w:tabs>
          <w:tab w:val="left" w:pos="1418"/>
          <w:tab w:val="left" w:pos="1985"/>
          <w:tab w:val="left" w:pos="2552"/>
          <w:tab w:val="left" w:pos="3119"/>
          <w:tab w:val="left" w:pos="3686"/>
        </w:tabs>
        <w:suppressAutoHyphens w:val="0"/>
        <w:spacing w:line="240" w:lineRule="auto"/>
        <w:jc w:val="center"/>
        <w:rPr>
          <w:i/>
          <w:lang w:val="fr-FR" w:eastAsia="fr-FR"/>
        </w:rPr>
      </w:pPr>
      <w:r w:rsidRPr="00B76647">
        <w:rPr>
          <w:lang w:val="fr-FR" w:eastAsia="fr-FR"/>
        </w:rPr>
        <w:br w:type="page"/>
      </w:r>
    </w:p>
    <w:tbl>
      <w:tblPr>
        <w:tblW w:w="12359" w:type="dxa"/>
        <w:tblInd w:w="283"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948"/>
        <w:gridCol w:w="971"/>
        <w:gridCol w:w="1249"/>
        <w:gridCol w:w="1665"/>
        <w:gridCol w:w="1526"/>
      </w:tblGrid>
      <w:tr w:rsidR="00B76647" w:rsidRPr="00794038" w:rsidTr="00794038">
        <w:trPr>
          <w:trHeight w:val="270"/>
          <w:tblHeader/>
        </w:trPr>
        <w:tc>
          <w:tcPr>
            <w:tcW w:w="7103" w:type="dxa"/>
            <w:tcBorders>
              <w:top w:val="single" w:sz="4" w:space="0" w:color="auto"/>
              <w:bottom w:val="single" w:sz="12" w:space="0" w:color="auto"/>
            </w:tcBorders>
            <w:shd w:val="clear" w:color="auto" w:fill="auto"/>
            <w:noWrap/>
            <w:vAlign w:val="bottom"/>
            <w:hideMark/>
          </w:tcPr>
          <w:p w:rsidR="00B76647" w:rsidRPr="00794038" w:rsidRDefault="00B76647" w:rsidP="00794038">
            <w:pPr>
              <w:suppressAutoHyphens w:val="0"/>
              <w:spacing w:before="80" w:after="80" w:line="200" w:lineRule="exact"/>
              <w:ind w:right="113"/>
              <w:rPr>
                <w:i/>
                <w:sz w:val="16"/>
                <w:lang w:val="fr-FR" w:eastAsia="fr-FR"/>
              </w:rPr>
            </w:pPr>
            <w:r w:rsidRPr="00794038">
              <w:rPr>
                <w:i/>
                <w:sz w:val="16"/>
                <w:lang w:val="fr-FR" w:eastAsia="fr-FR"/>
              </w:rPr>
              <w:lastRenderedPageBreak/>
              <w:t> </w:t>
            </w:r>
          </w:p>
        </w:tc>
        <w:tc>
          <w:tcPr>
            <w:tcW w:w="992" w:type="dxa"/>
            <w:tcBorders>
              <w:top w:val="single" w:sz="4" w:space="0" w:color="auto"/>
              <w:bottom w:val="single" w:sz="12" w:space="0" w:color="auto"/>
            </w:tcBorders>
            <w:shd w:val="clear" w:color="auto" w:fill="auto"/>
            <w:noWrap/>
            <w:vAlign w:val="bottom"/>
            <w:hideMark/>
          </w:tcPr>
          <w:p w:rsidR="00B76647" w:rsidRPr="00794038" w:rsidRDefault="00B76647" w:rsidP="00794038">
            <w:pPr>
              <w:suppressAutoHyphens w:val="0"/>
              <w:spacing w:before="80" w:after="80" w:line="200" w:lineRule="exact"/>
              <w:ind w:right="113"/>
              <w:jc w:val="center"/>
              <w:rPr>
                <w:i/>
                <w:sz w:val="16"/>
                <w:lang w:val="fr-FR" w:eastAsia="fr-FR"/>
              </w:rPr>
            </w:pPr>
            <w:r w:rsidRPr="00794038">
              <w:rPr>
                <w:i/>
                <w:sz w:val="16"/>
                <w:lang w:val="fr-FR" w:eastAsia="fr-FR"/>
              </w:rPr>
              <w:t>Bois</w:t>
            </w:r>
          </w:p>
        </w:tc>
        <w:tc>
          <w:tcPr>
            <w:tcW w:w="1276" w:type="dxa"/>
            <w:tcBorders>
              <w:top w:val="single" w:sz="4" w:space="0" w:color="auto"/>
              <w:bottom w:val="single" w:sz="12" w:space="0" w:color="auto"/>
            </w:tcBorders>
            <w:shd w:val="clear" w:color="auto" w:fill="auto"/>
            <w:noWrap/>
            <w:vAlign w:val="bottom"/>
            <w:hideMark/>
          </w:tcPr>
          <w:p w:rsidR="00B76647" w:rsidRPr="00794038" w:rsidRDefault="00B76647" w:rsidP="00794038">
            <w:pPr>
              <w:suppressAutoHyphens w:val="0"/>
              <w:spacing w:before="80" w:after="80" w:line="200" w:lineRule="exact"/>
              <w:ind w:right="113"/>
              <w:jc w:val="center"/>
              <w:rPr>
                <w:i/>
                <w:sz w:val="16"/>
                <w:lang w:val="fr-FR" w:eastAsia="fr-FR"/>
              </w:rPr>
            </w:pPr>
            <w:r w:rsidRPr="00794038">
              <w:rPr>
                <w:i/>
                <w:sz w:val="16"/>
                <w:lang w:val="fr-FR" w:eastAsia="fr-FR"/>
              </w:rPr>
              <w:t>Aluminium</w:t>
            </w:r>
          </w:p>
        </w:tc>
        <w:tc>
          <w:tcPr>
            <w:tcW w:w="1701" w:type="dxa"/>
            <w:tcBorders>
              <w:top w:val="single" w:sz="4" w:space="0" w:color="auto"/>
              <w:bottom w:val="single" w:sz="12" w:space="0" w:color="auto"/>
            </w:tcBorders>
            <w:shd w:val="clear" w:color="auto" w:fill="auto"/>
            <w:noWrap/>
            <w:vAlign w:val="bottom"/>
            <w:hideMark/>
          </w:tcPr>
          <w:p w:rsidR="00B76647" w:rsidRPr="00794038" w:rsidRDefault="00B76647" w:rsidP="00794038">
            <w:pPr>
              <w:suppressAutoHyphens w:val="0"/>
              <w:spacing w:before="80" w:after="80" w:line="200" w:lineRule="exact"/>
              <w:ind w:right="113"/>
              <w:jc w:val="center"/>
              <w:rPr>
                <w:i/>
                <w:sz w:val="16"/>
                <w:lang w:val="fr-FR" w:eastAsia="fr-FR"/>
              </w:rPr>
            </w:pPr>
            <w:r w:rsidRPr="00794038">
              <w:rPr>
                <w:i/>
                <w:sz w:val="16"/>
                <w:lang w:val="fr-FR" w:eastAsia="fr-FR"/>
              </w:rPr>
              <w:t>Matière plastique</w:t>
            </w:r>
          </w:p>
        </w:tc>
        <w:tc>
          <w:tcPr>
            <w:tcW w:w="1559" w:type="dxa"/>
            <w:tcBorders>
              <w:top w:val="single" w:sz="4" w:space="0" w:color="auto"/>
              <w:bottom w:val="single" w:sz="12" w:space="0" w:color="auto"/>
            </w:tcBorders>
            <w:shd w:val="clear" w:color="auto" w:fill="auto"/>
            <w:noWrap/>
            <w:vAlign w:val="bottom"/>
            <w:hideMark/>
          </w:tcPr>
          <w:p w:rsidR="00B76647" w:rsidRPr="00794038" w:rsidRDefault="00B76647" w:rsidP="00794038">
            <w:pPr>
              <w:suppressAutoHyphens w:val="0"/>
              <w:spacing w:before="80" w:after="80" w:line="200" w:lineRule="exact"/>
              <w:ind w:right="113"/>
              <w:jc w:val="center"/>
              <w:rPr>
                <w:i/>
                <w:sz w:val="16"/>
                <w:lang w:val="fr-FR" w:eastAsia="fr-FR"/>
              </w:rPr>
            </w:pPr>
            <w:r w:rsidRPr="00794038">
              <w:rPr>
                <w:i/>
                <w:sz w:val="16"/>
                <w:lang w:val="fr-FR" w:eastAsia="fr-FR"/>
              </w:rPr>
              <w:t>Caoutchouc</w:t>
            </w:r>
          </w:p>
        </w:tc>
      </w:tr>
      <w:tr w:rsidR="00B76647" w:rsidRPr="00794038" w:rsidTr="00794038">
        <w:trPr>
          <w:trHeight w:val="255"/>
        </w:trPr>
        <w:tc>
          <w:tcPr>
            <w:tcW w:w="7103" w:type="dxa"/>
            <w:tcBorders>
              <w:top w:val="single" w:sz="12" w:space="0" w:color="auto"/>
            </w:tcBorders>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Passerelles</w:t>
            </w:r>
          </w:p>
        </w:tc>
        <w:tc>
          <w:tcPr>
            <w:tcW w:w="992" w:type="dxa"/>
            <w:tcBorders>
              <w:top w:val="single" w:sz="12" w:space="0" w:color="auto"/>
            </w:tcBorders>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276" w:type="dxa"/>
            <w:tcBorders>
              <w:top w:val="single" w:sz="12" w:space="0" w:color="auto"/>
            </w:tcBorders>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tcBorders>
              <w:top w:val="single" w:sz="12" w:space="0" w:color="auto"/>
            </w:tcBorders>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tcBorders>
              <w:top w:val="single" w:sz="12" w:space="0" w:color="auto"/>
            </w:tcBorders>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Matériel de nettoyage tel que balais, etc.</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Supports ou butées de tous types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Mâts et mâtures similaires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Calage de citernes à cargaison indépendantes de la coque et calage d'installations et équipements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Passerelles, échelles extérieures et passages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Défenses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765"/>
        </w:trPr>
        <w:tc>
          <w:tcPr>
            <w:tcW w:w="7103" w:type="dxa"/>
            <w:shd w:val="clear" w:color="auto" w:fill="auto"/>
            <w:hideMark/>
          </w:tcPr>
          <w:p w:rsidR="00B76647" w:rsidRPr="00794038" w:rsidRDefault="00B76647" w:rsidP="00794038">
            <w:pPr>
              <w:suppressAutoHyphens w:val="0"/>
              <w:spacing w:before="40" w:after="120" w:line="220" w:lineRule="exact"/>
              <w:ind w:right="113"/>
              <w:rPr>
                <w:lang w:val="fr-FR" w:eastAsia="fr-FR"/>
              </w:rPr>
            </w:pPr>
            <w:proofErr w:type="spellStart"/>
            <w:r w:rsidRPr="00794038">
              <w:rPr>
                <w:lang w:val="fr-FR" w:eastAsia="fr-FR"/>
              </w:rPr>
              <w:t>Equipement</w:t>
            </w:r>
            <w:proofErr w:type="spellEnd"/>
            <w:r w:rsidRPr="00794038">
              <w:rPr>
                <w:lang w:val="fr-FR" w:eastAsia="fr-FR"/>
              </w:rPr>
              <w:t xml:space="preserve"> mobile tel que extincteurs, détecteurs de gaz portatifs, treuils de sauvetage, etc. </w:t>
            </w:r>
            <w:r w:rsidRPr="00794038">
              <w:rPr>
                <w:lang w:val="fr-FR" w:eastAsia="fr-FR"/>
              </w:rPr>
              <w:br/>
              <w:t xml:space="preserve">Les sondes en aluminium sont admises, à condition qu'elles soient munies d'un pied en laiton, </w:t>
            </w:r>
            <w:r w:rsidRPr="00794038">
              <w:rPr>
                <w:lang w:val="fr-FR" w:eastAsia="fr-FR"/>
              </w:rPr>
              <w:br/>
              <w:t>ou protégées d'une autre manière pour éviter la production d'étincelles.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510"/>
        </w:trPr>
        <w:tc>
          <w:tcPr>
            <w:tcW w:w="7103" w:type="dxa"/>
            <w:shd w:val="clear" w:color="auto" w:fill="auto"/>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 xml:space="preserve">Isolation et revêtement des citernes à cargaison, des tuyauteries de chargement et de déchargement, </w:t>
            </w:r>
            <w:r w:rsidRPr="00794038">
              <w:rPr>
                <w:lang w:val="fr-FR" w:eastAsia="fr-FR"/>
              </w:rPr>
              <w:br/>
              <w:t>des conduites d'évacuation de gaz et des conduites de chauffage</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Mâts et mâtures similaires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Parties de machines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Habillage de protection de moteurs etc.</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Ventilateurs, y compris les tuyauteries flexibles pour la ventilation</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Parties de l'installation d'aspersion d'eau et de la douche, et installation pour le rinçage des yeux et du visage</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Parties de l'installation électrique</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Parties de l'installation de chargement et de déchargement comme par exemple vannes de garde, joints d'étanchéité, etc.</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510"/>
        </w:trPr>
        <w:tc>
          <w:tcPr>
            <w:tcW w:w="7103" w:type="dxa"/>
            <w:shd w:val="clear" w:color="auto" w:fill="auto"/>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Caisses, armoires ou conteneurs placés sur le pont pour le stockage de matériel, afin de supprimer ou de recueillir les cabestans, extincteurs, manches d'incendie, déchets, etc.</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lastRenderedPageBreak/>
              <w:t>Tous types de joint (par exemple : couvercles de dôme ou d'écoutille)</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Câbles pour les appareils électriques</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Tuyauteries flexibles de chargement ou de déchargement</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Extincteurs, tuyauteries flexibles de lavage de pont, cabestans, appareils et bouteilles de prélèvement d'échantillons etc.</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Tapis sous le raccordement à terre des tuyauteries de chargement et de déchargement</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55"/>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Câbles d'amarrage</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r w:rsidR="00B76647" w:rsidRPr="00794038" w:rsidTr="00794038">
        <w:trPr>
          <w:trHeight w:val="270"/>
        </w:trPr>
        <w:tc>
          <w:tcPr>
            <w:tcW w:w="7103" w:type="dxa"/>
            <w:shd w:val="clear" w:color="auto" w:fill="auto"/>
            <w:noWrap/>
            <w:hideMark/>
          </w:tcPr>
          <w:p w:rsidR="00B76647" w:rsidRPr="00794038" w:rsidRDefault="00B76647" w:rsidP="00794038">
            <w:pPr>
              <w:suppressAutoHyphens w:val="0"/>
              <w:spacing w:before="40" w:after="120" w:line="220" w:lineRule="exact"/>
              <w:ind w:right="113"/>
              <w:rPr>
                <w:lang w:val="fr-FR" w:eastAsia="fr-FR"/>
              </w:rPr>
            </w:pPr>
            <w:r w:rsidRPr="00794038">
              <w:rPr>
                <w:lang w:val="fr-FR" w:eastAsia="fr-FR"/>
              </w:rPr>
              <w:t>Copies photo-optiques du certificat d'agrément selon 8.1.2.6 ou 8.1.2.7</w:t>
            </w:r>
          </w:p>
        </w:tc>
        <w:tc>
          <w:tcPr>
            <w:tcW w:w="992"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276"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p>
        </w:tc>
        <w:tc>
          <w:tcPr>
            <w:tcW w:w="1701"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c>
          <w:tcPr>
            <w:tcW w:w="1559" w:type="dxa"/>
            <w:shd w:val="clear" w:color="auto" w:fill="auto"/>
            <w:noWrap/>
            <w:hideMark/>
          </w:tcPr>
          <w:p w:rsidR="00B76647" w:rsidRPr="00794038" w:rsidRDefault="00B76647" w:rsidP="00794038">
            <w:pPr>
              <w:suppressAutoHyphens w:val="0"/>
              <w:spacing w:before="40" w:after="120" w:line="220" w:lineRule="exact"/>
              <w:ind w:right="113"/>
              <w:jc w:val="center"/>
              <w:rPr>
                <w:lang w:val="fr-FR" w:eastAsia="fr-FR"/>
              </w:rPr>
            </w:pPr>
            <w:r w:rsidRPr="00794038">
              <w:rPr>
                <w:lang w:val="fr-FR" w:eastAsia="fr-FR"/>
              </w:rPr>
              <w:t>X</w:t>
            </w:r>
          </w:p>
        </w:tc>
      </w:tr>
    </w:tbl>
    <w:p w:rsidR="003F3EFA" w:rsidRPr="007B19C5" w:rsidRDefault="007B19C5" w:rsidP="007B19C5">
      <w:pPr>
        <w:spacing w:before="240"/>
        <w:ind w:left="1134" w:right="1134"/>
        <w:jc w:val="center"/>
        <w:rPr>
          <w:u w:val="single"/>
          <w:lang w:val="fr-FR"/>
        </w:rPr>
      </w:pPr>
      <w:r>
        <w:rPr>
          <w:u w:val="single"/>
          <w:lang w:val="fr-FR"/>
        </w:rPr>
        <w:tab/>
      </w:r>
      <w:r>
        <w:rPr>
          <w:u w:val="single"/>
          <w:lang w:val="fr-FR"/>
        </w:rPr>
        <w:tab/>
      </w:r>
      <w:r>
        <w:rPr>
          <w:u w:val="single"/>
          <w:lang w:val="fr-FR"/>
        </w:rPr>
        <w:tab/>
      </w:r>
    </w:p>
    <w:sectPr w:rsidR="003F3EFA" w:rsidRPr="007B19C5" w:rsidSect="00CF339C">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47" w:rsidRDefault="00B76647"/>
  </w:endnote>
  <w:endnote w:type="continuationSeparator" w:id="0">
    <w:p w:rsidR="00B76647" w:rsidRDefault="00B76647"/>
  </w:endnote>
  <w:endnote w:type="continuationNotice" w:id="1">
    <w:p w:rsidR="00B76647" w:rsidRDefault="00B76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E56809" w:rsidRDefault="00B76647" w:rsidP="00E56809">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C42FD0">
      <w:rPr>
        <w:b/>
        <w:noProof/>
        <w:sz w:val="18"/>
      </w:rPr>
      <w:t>2</w:t>
    </w:r>
    <w:r w:rsidRPr="00E568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E56809" w:rsidRDefault="00B76647" w:rsidP="00E56809">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Pr>
        <w:b/>
        <w:noProof/>
        <w:sz w:val="18"/>
      </w:rPr>
      <w:t>3</w:t>
    </w:r>
    <w:r w:rsidRPr="00E568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DB45C8" w:rsidRDefault="00B76647" w:rsidP="00DB45C8">
    <w:pPr>
      <w:pStyle w:val="Footer"/>
    </w:pPr>
    <w:r>
      <w:rPr>
        <w:noProof/>
        <w:lang w:val="en-GB" w:eastAsia="en-GB"/>
      </w:rPr>
      <mc:AlternateContent>
        <mc:Choice Requires="wps">
          <w:drawing>
            <wp:anchor distT="0" distB="0" distL="114300" distR="114300" simplePos="0" relativeHeight="251683328" behindDoc="0" locked="0" layoutInCell="1" allowOverlap="1">
              <wp:simplePos x="0" y="0"/>
              <wp:positionH relativeFrom="margin">
                <wp:posOffset>-431800</wp:posOffset>
              </wp:positionH>
              <wp:positionV relativeFrom="margin">
                <wp:posOffset>0</wp:posOffset>
              </wp:positionV>
              <wp:extent cx="218364" cy="6121021"/>
              <wp:effectExtent l="0" t="0" r="1079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76647" w:rsidRPr="00E56809" w:rsidRDefault="00B76647" w:rsidP="00DB45C8">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C42FD0">
                            <w:rPr>
                              <w:b/>
                              <w:noProof/>
                              <w:sz w:val="18"/>
                            </w:rPr>
                            <w:t>4</w:t>
                          </w:r>
                          <w:r w:rsidRPr="00E56809">
                            <w:rPr>
                              <w:b/>
                              <w:sz w:val="18"/>
                            </w:rPr>
                            <w:fldChar w:fldCharType="end"/>
                          </w:r>
                          <w:r>
                            <w:rPr>
                              <w:sz w:val="18"/>
                            </w:rPr>
                            <w:tab/>
                          </w:r>
                        </w:p>
                        <w:p w:rsidR="00B76647" w:rsidRDefault="00B766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4pt;margin-top:0;width:17.2pt;height:481.95pt;z-index:2516833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" filled="f" stroked="f">
              <v:stroke joinstyle="round"/>
              <v:path arrowok="t"/>
              <v:textbox style="layout-flow:vertical" inset="0,0,0,0">
                <w:txbxContent>
                  <w:p w:rsidR="00B76647" w:rsidRPr="00E56809" w:rsidRDefault="00B76647" w:rsidP="00DB45C8">
                    <w:pPr>
                      <w:pStyle w:val="Footer"/>
                      <w:tabs>
                        <w:tab w:val="right" w:pos="9638"/>
                      </w:tabs>
                      <w:rPr>
                        <w:sz w:val="18"/>
                      </w:rPr>
                    </w:pPr>
                    <w:r w:rsidRPr="00E56809">
                      <w:rPr>
                        <w:b/>
                        <w:sz w:val="18"/>
                      </w:rPr>
                      <w:fldChar w:fldCharType="begin"/>
                    </w:r>
                    <w:r w:rsidRPr="00E56809">
                      <w:rPr>
                        <w:b/>
                        <w:sz w:val="18"/>
                      </w:rPr>
                      <w:instrText xml:space="preserve"> PAGE  \* MERGEFORMAT </w:instrText>
                    </w:r>
                    <w:r w:rsidRPr="00E56809">
                      <w:rPr>
                        <w:b/>
                        <w:sz w:val="18"/>
                      </w:rPr>
                      <w:fldChar w:fldCharType="separate"/>
                    </w:r>
                    <w:r w:rsidR="00C42FD0">
                      <w:rPr>
                        <w:b/>
                        <w:noProof/>
                        <w:sz w:val="18"/>
                      </w:rPr>
                      <w:t>4</w:t>
                    </w:r>
                    <w:r w:rsidRPr="00E56809">
                      <w:rPr>
                        <w:b/>
                        <w:sz w:val="18"/>
                      </w:rPr>
                      <w:fldChar w:fldCharType="end"/>
                    </w:r>
                    <w:r>
                      <w:rPr>
                        <w:sz w:val="18"/>
                      </w:rPr>
                      <w:tab/>
                    </w:r>
                  </w:p>
                  <w:p w:rsidR="00B76647" w:rsidRDefault="00B76647"/>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CF339C" w:rsidRDefault="00B76647" w:rsidP="00CF339C">
    <w:pPr>
      <w:pStyle w:val="Footer"/>
    </w:pPr>
    <w:r>
      <w:rPr>
        <w:noProof/>
        <w:lang w:val="en-GB" w:eastAsia="en-GB"/>
      </w:rPr>
      <mc:AlternateContent>
        <mc:Choice Requires="wps">
          <w:drawing>
            <wp:anchor distT="0" distB="0" distL="114300" distR="114300" simplePos="0" relativeHeight="251663872"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76647" w:rsidRPr="00E56809" w:rsidRDefault="00B76647" w:rsidP="00CF339C">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sidR="00C42FD0">
                            <w:rPr>
                              <w:b/>
                              <w:noProof/>
                              <w:sz w:val="18"/>
                            </w:rPr>
                            <w:t>3</w:t>
                          </w:r>
                          <w:r w:rsidRPr="00E56809">
                            <w:rPr>
                              <w:b/>
                              <w:sz w:val="18"/>
                            </w:rPr>
                            <w:fldChar w:fldCharType="end"/>
                          </w:r>
                        </w:p>
                        <w:p w:rsidR="00B76647" w:rsidRDefault="00B766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pt;margin-top:0;width:17.55pt;height:481.9pt;z-index:2516638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" filled="f" stroked="f">
              <v:stroke joinstyle="round"/>
              <v:path arrowok="t"/>
              <v:textbox style="layout-flow:vertical" inset="0,0,0,0">
                <w:txbxContent>
                  <w:p w:rsidR="00B76647" w:rsidRPr="00E56809" w:rsidRDefault="00B76647" w:rsidP="00CF339C">
                    <w:pPr>
                      <w:pStyle w:val="Footer"/>
                      <w:tabs>
                        <w:tab w:val="right" w:pos="9638"/>
                      </w:tabs>
                      <w:rPr>
                        <w:sz w:val="18"/>
                      </w:rPr>
                    </w:pPr>
                    <w:r>
                      <w:tab/>
                    </w:r>
                    <w:r w:rsidRPr="00E56809">
                      <w:rPr>
                        <w:b/>
                        <w:sz w:val="18"/>
                      </w:rPr>
                      <w:fldChar w:fldCharType="begin"/>
                    </w:r>
                    <w:r w:rsidRPr="00E56809">
                      <w:rPr>
                        <w:b/>
                        <w:sz w:val="18"/>
                      </w:rPr>
                      <w:instrText xml:space="preserve"> PAGE  \* MERGEFORMAT </w:instrText>
                    </w:r>
                    <w:r w:rsidRPr="00E56809">
                      <w:rPr>
                        <w:b/>
                        <w:sz w:val="18"/>
                      </w:rPr>
                      <w:fldChar w:fldCharType="separate"/>
                    </w:r>
                    <w:r w:rsidR="00C42FD0">
                      <w:rPr>
                        <w:b/>
                        <w:noProof/>
                        <w:sz w:val="18"/>
                      </w:rPr>
                      <w:t>3</w:t>
                    </w:r>
                    <w:r w:rsidRPr="00E56809">
                      <w:rPr>
                        <w:b/>
                        <w:sz w:val="18"/>
                      </w:rPr>
                      <w:fldChar w:fldCharType="end"/>
                    </w:r>
                  </w:p>
                  <w:p w:rsidR="00B76647" w:rsidRDefault="00B76647"/>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47" w:rsidRPr="00D27D5E" w:rsidRDefault="00B76647" w:rsidP="00D27D5E">
      <w:pPr>
        <w:tabs>
          <w:tab w:val="right" w:pos="2155"/>
        </w:tabs>
        <w:spacing w:after="80"/>
        <w:ind w:left="680"/>
        <w:rPr>
          <w:u w:val="single"/>
        </w:rPr>
      </w:pPr>
      <w:r>
        <w:rPr>
          <w:u w:val="single"/>
        </w:rPr>
        <w:tab/>
      </w:r>
    </w:p>
  </w:footnote>
  <w:footnote w:type="continuationSeparator" w:id="0">
    <w:p w:rsidR="00B76647" w:rsidRPr="003F3EFA" w:rsidRDefault="00B76647" w:rsidP="003F3EFA">
      <w:pPr>
        <w:tabs>
          <w:tab w:val="left" w:pos="2155"/>
        </w:tabs>
        <w:spacing w:after="80"/>
        <w:ind w:left="680"/>
        <w:rPr>
          <w:u w:val="single"/>
        </w:rPr>
      </w:pPr>
      <w:r w:rsidRPr="003F3EFA">
        <w:rPr>
          <w:u w:val="single"/>
        </w:rPr>
        <w:tab/>
      </w:r>
    </w:p>
  </w:footnote>
  <w:footnote w:type="continuationNotice" w:id="1">
    <w:p w:rsidR="00B76647" w:rsidRDefault="00B76647"/>
  </w:footnote>
  <w:footnote w:id="2">
    <w:p w:rsidR="00B76647" w:rsidRPr="00205542" w:rsidRDefault="00374C3C" w:rsidP="00374C3C">
      <w:pPr>
        <w:pStyle w:val="FootnoteText"/>
      </w:pPr>
      <w:r>
        <w:rPr>
          <w:szCs w:val="24"/>
        </w:rPr>
        <w:tab/>
      </w:r>
      <w:r w:rsidR="00B76647" w:rsidRPr="00837117">
        <w:rPr>
          <w:rStyle w:val="FootnoteReference"/>
          <w:sz w:val="16"/>
          <w:szCs w:val="24"/>
          <w:lang w:val="de-DE"/>
        </w:rPr>
        <w:footnoteRef/>
      </w:r>
      <w:r w:rsidR="00B76647" w:rsidRPr="00837117">
        <w:rPr>
          <w:szCs w:val="24"/>
        </w:rPr>
        <w:tab/>
      </w:r>
      <w:r w:rsidR="00B76647" w:rsidRPr="00205542">
        <w:t xml:space="preserve">Texte diffusé en langue allemande par la </w:t>
      </w:r>
      <w:r w:rsidR="00B76647" w:rsidRPr="00374C3C">
        <w:t>Commission</w:t>
      </w:r>
      <w:r w:rsidR="00B76647" w:rsidRPr="00205542">
        <w:t xml:space="preserve"> centrale pour la navigation du Rhin sous la cote </w:t>
      </w:r>
      <w:r w:rsidR="00B76647">
        <w:t>CCNR/ZKR/ADN/WP.15/AC.2/2016/22</w:t>
      </w:r>
      <w:r w:rsidR="00B76647" w:rsidRPr="00205542">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E56809" w:rsidRDefault="00B76647">
    <w:pPr>
      <w:pStyle w:val="Header"/>
    </w:pPr>
    <w:r>
      <w:t>ECE/TRANS/WP.15/AC.2/2016/22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E56809" w:rsidRDefault="00B76647" w:rsidP="00E56809">
    <w:pPr>
      <w:pStyle w:val="Header"/>
      <w:jc w:val="right"/>
    </w:pPr>
    <w:r>
      <w:t>ECE/TRANS/WP.15/AC.2/2016/2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DB45C8" w:rsidRDefault="00B76647" w:rsidP="00DB45C8">
    <w:r>
      <w:rPr>
        <w:noProof/>
        <w:lang w:val="en-GB" w:eastAsia="en-GB"/>
      </w:rPr>
      <mc:AlternateContent>
        <mc:Choice Requires="wps">
          <w:drawing>
            <wp:anchor distT="0" distB="0" distL="114300" distR="114300" simplePos="0" relativeHeight="251657728" behindDoc="0" locked="0" layoutInCell="1" allowOverlap="1" wp14:anchorId="25722159" wp14:editId="267624EE">
              <wp:simplePos x="0" y="0"/>
              <wp:positionH relativeFrom="page">
                <wp:posOffset>9791700</wp:posOffset>
              </wp:positionH>
              <wp:positionV relativeFrom="margin">
                <wp:posOffset>0</wp:posOffset>
              </wp:positionV>
              <wp:extent cx="218364" cy="6121021"/>
              <wp:effectExtent l="0" t="0" r="1079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64" cy="612102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76647" w:rsidRPr="00E56809" w:rsidRDefault="00B76647" w:rsidP="00DB45C8">
                          <w:pPr>
                            <w:pStyle w:val="Header"/>
                          </w:pPr>
                          <w:r>
                            <w:t>ECE/TRANS/WP.15/AC.2/2016/2</w:t>
                          </w:r>
                          <w:r w:rsidR="00987705">
                            <w:t>2</w:t>
                          </w:r>
                        </w:p>
                        <w:p w:rsidR="00B76647" w:rsidRDefault="00B766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1pt;margin-top:0;width:17.2pt;height:481.95pt;z-index:2516577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" filled="f" stroked="f">
              <v:stroke joinstyle="round"/>
              <v:path arrowok="t"/>
              <v:textbox style="layout-flow:vertical" inset="0,0,0,0">
                <w:txbxContent>
                  <w:p w:rsidR="00B76647" w:rsidRPr="00E56809" w:rsidRDefault="00B76647" w:rsidP="00DB45C8">
                    <w:pPr>
                      <w:pStyle w:val="Header"/>
                    </w:pPr>
                    <w:r>
                      <w:t>ECE/TRANS/WP.15/AC.2/2016/2</w:t>
                    </w:r>
                    <w:r w:rsidR="00987705">
                      <w:t>2</w:t>
                    </w:r>
                  </w:p>
                  <w:p w:rsidR="00B76647" w:rsidRDefault="00B7664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Pr="00CF339C" w:rsidRDefault="00B76647" w:rsidP="00CF339C">
    <w:r>
      <w:rPr>
        <w:noProof/>
        <w:lang w:val="en-GB" w:eastAsia="en-GB"/>
      </w:rPr>
      <mc:AlternateContent>
        <mc:Choice Requires="wps">
          <w:drawing>
            <wp:anchor distT="0" distB="0" distL="114300" distR="114300" simplePos="0" relativeHeight="25168435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76647" w:rsidRPr="00E56809" w:rsidRDefault="00B76647" w:rsidP="00CF339C">
                          <w:pPr>
                            <w:pStyle w:val="Header"/>
                            <w:jc w:val="right"/>
                          </w:pPr>
                          <w:r>
                            <w:t>ECE/TRANS/WP.15/AC.2/2016/2</w:t>
                          </w:r>
                          <w:r w:rsidR="00987705">
                            <w:t>2</w:t>
                          </w:r>
                        </w:p>
                        <w:p w:rsidR="00B76647" w:rsidRDefault="00B7664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0;width:17pt;height:481.9pt;z-index:2516843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" filled="f" stroked="f">
              <v:stroke joinstyle="round"/>
              <v:path arrowok="t"/>
              <v:textbox style="layout-flow:vertical" inset="0,0,0,0">
                <w:txbxContent>
                  <w:p w:rsidR="00B76647" w:rsidRPr="00E56809" w:rsidRDefault="00B76647" w:rsidP="00CF339C">
                    <w:pPr>
                      <w:pStyle w:val="Header"/>
                      <w:jc w:val="right"/>
                    </w:pPr>
                    <w:r>
                      <w:t>ECE/TRANS/WP.15/AC.2/2016/2</w:t>
                    </w:r>
                    <w:r w:rsidR="00987705">
                      <w:t>2</w:t>
                    </w:r>
                  </w:p>
                  <w:p w:rsidR="00B76647" w:rsidRDefault="00B7664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47" w:rsidRDefault="00B76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5FA75CC1"/>
    <w:multiLevelType w:val="hybridMultilevel"/>
    <w:tmpl w:val="A990A92E"/>
    <w:lvl w:ilvl="0" w:tplc="89CA700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09"/>
    <w:rsid w:val="00015347"/>
    <w:rsid w:val="00016AC5"/>
    <w:rsid w:val="00030ADE"/>
    <w:rsid w:val="000312C0"/>
    <w:rsid w:val="00085B9B"/>
    <w:rsid w:val="000B0D4D"/>
    <w:rsid w:val="000F2613"/>
    <w:rsid w:val="000F41F2"/>
    <w:rsid w:val="00117BFB"/>
    <w:rsid w:val="00135C0D"/>
    <w:rsid w:val="00160540"/>
    <w:rsid w:val="0017182C"/>
    <w:rsid w:val="00177007"/>
    <w:rsid w:val="00186EE9"/>
    <w:rsid w:val="00192EEB"/>
    <w:rsid w:val="001A20FB"/>
    <w:rsid w:val="001B6F40"/>
    <w:rsid w:val="001D7F8A"/>
    <w:rsid w:val="001E3FEB"/>
    <w:rsid w:val="001E4A02"/>
    <w:rsid w:val="001F1A6C"/>
    <w:rsid w:val="00223B89"/>
    <w:rsid w:val="00225A8C"/>
    <w:rsid w:val="00234E40"/>
    <w:rsid w:val="00265652"/>
    <w:rsid w:val="002659F1"/>
    <w:rsid w:val="00271C7C"/>
    <w:rsid w:val="00287E79"/>
    <w:rsid w:val="002928F9"/>
    <w:rsid w:val="00296741"/>
    <w:rsid w:val="002A5D07"/>
    <w:rsid w:val="002C0B1E"/>
    <w:rsid w:val="002D7669"/>
    <w:rsid w:val="002E2DAA"/>
    <w:rsid w:val="002E62E9"/>
    <w:rsid w:val="002F4E78"/>
    <w:rsid w:val="003016B7"/>
    <w:rsid w:val="00330F9C"/>
    <w:rsid w:val="00340C35"/>
    <w:rsid w:val="003515AA"/>
    <w:rsid w:val="00370E0F"/>
    <w:rsid w:val="00374106"/>
    <w:rsid w:val="00374C3C"/>
    <w:rsid w:val="003767DE"/>
    <w:rsid w:val="003976D5"/>
    <w:rsid w:val="003A2976"/>
    <w:rsid w:val="003C3BD4"/>
    <w:rsid w:val="003D1DF3"/>
    <w:rsid w:val="003D46A7"/>
    <w:rsid w:val="003D6C68"/>
    <w:rsid w:val="003F3EFA"/>
    <w:rsid w:val="004159D0"/>
    <w:rsid w:val="004249E7"/>
    <w:rsid w:val="00427190"/>
    <w:rsid w:val="004532CE"/>
    <w:rsid w:val="00456293"/>
    <w:rsid w:val="004812F5"/>
    <w:rsid w:val="005044DC"/>
    <w:rsid w:val="00530F2E"/>
    <w:rsid w:val="00543D5E"/>
    <w:rsid w:val="00571F41"/>
    <w:rsid w:val="00581FE7"/>
    <w:rsid w:val="00595BE4"/>
    <w:rsid w:val="005B76A3"/>
    <w:rsid w:val="005E5D1F"/>
    <w:rsid w:val="005F05ED"/>
    <w:rsid w:val="00603391"/>
    <w:rsid w:val="00611D43"/>
    <w:rsid w:val="00612D48"/>
    <w:rsid w:val="00616B45"/>
    <w:rsid w:val="00630D9B"/>
    <w:rsid w:val="00631953"/>
    <w:rsid w:val="006439EC"/>
    <w:rsid w:val="00680B6D"/>
    <w:rsid w:val="006A11FB"/>
    <w:rsid w:val="006B4590"/>
    <w:rsid w:val="006C340C"/>
    <w:rsid w:val="006E5FC7"/>
    <w:rsid w:val="0070347C"/>
    <w:rsid w:val="007176C1"/>
    <w:rsid w:val="00763EB9"/>
    <w:rsid w:val="00790F2F"/>
    <w:rsid w:val="00794038"/>
    <w:rsid w:val="007B19C5"/>
    <w:rsid w:val="007C6C14"/>
    <w:rsid w:val="007F55CB"/>
    <w:rsid w:val="00812C1A"/>
    <w:rsid w:val="00827263"/>
    <w:rsid w:val="008317F6"/>
    <w:rsid w:val="00844750"/>
    <w:rsid w:val="008B44C4"/>
    <w:rsid w:val="008B7879"/>
    <w:rsid w:val="008D3919"/>
    <w:rsid w:val="008E7FAE"/>
    <w:rsid w:val="008F6145"/>
    <w:rsid w:val="00911BF7"/>
    <w:rsid w:val="00916183"/>
    <w:rsid w:val="00950A22"/>
    <w:rsid w:val="00952FDB"/>
    <w:rsid w:val="00977EC8"/>
    <w:rsid w:val="00985394"/>
    <w:rsid w:val="00987705"/>
    <w:rsid w:val="009B18A3"/>
    <w:rsid w:val="009D3A8C"/>
    <w:rsid w:val="009D6CE3"/>
    <w:rsid w:val="009E01B8"/>
    <w:rsid w:val="009E7956"/>
    <w:rsid w:val="00A17EEC"/>
    <w:rsid w:val="00A2492E"/>
    <w:rsid w:val="00A41E6D"/>
    <w:rsid w:val="00A62DB5"/>
    <w:rsid w:val="00A70163"/>
    <w:rsid w:val="00AB029F"/>
    <w:rsid w:val="00AB342F"/>
    <w:rsid w:val="00AC67A1"/>
    <w:rsid w:val="00AC7977"/>
    <w:rsid w:val="00AE352C"/>
    <w:rsid w:val="00B32E2D"/>
    <w:rsid w:val="00B4466B"/>
    <w:rsid w:val="00B6151C"/>
    <w:rsid w:val="00B61990"/>
    <w:rsid w:val="00B71396"/>
    <w:rsid w:val="00B722FD"/>
    <w:rsid w:val="00B76647"/>
    <w:rsid w:val="00B85D99"/>
    <w:rsid w:val="00B93E72"/>
    <w:rsid w:val="00BF0556"/>
    <w:rsid w:val="00C24B53"/>
    <w:rsid w:val="00C261F8"/>
    <w:rsid w:val="00C33100"/>
    <w:rsid w:val="00C42FD0"/>
    <w:rsid w:val="00C4537A"/>
    <w:rsid w:val="00C57892"/>
    <w:rsid w:val="00C940E9"/>
    <w:rsid w:val="00CA2A73"/>
    <w:rsid w:val="00CB6267"/>
    <w:rsid w:val="00CD1A71"/>
    <w:rsid w:val="00CD1FBB"/>
    <w:rsid w:val="00CD432B"/>
    <w:rsid w:val="00CE5BF6"/>
    <w:rsid w:val="00CF0A0B"/>
    <w:rsid w:val="00CF339C"/>
    <w:rsid w:val="00D016B5"/>
    <w:rsid w:val="00D034F1"/>
    <w:rsid w:val="00D11B17"/>
    <w:rsid w:val="00D27D5E"/>
    <w:rsid w:val="00D55373"/>
    <w:rsid w:val="00D60301"/>
    <w:rsid w:val="00D73EFA"/>
    <w:rsid w:val="00D80E62"/>
    <w:rsid w:val="00DA57D4"/>
    <w:rsid w:val="00DB45C8"/>
    <w:rsid w:val="00DB4793"/>
    <w:rsid w:val="00DE01E3"/>
    <w:rsid w:val="00DE6D90"/>
    <w:rsid w:val="00DF002F"/>
    <w:rsid w:val="00E0244D"/>
    <w:rsid w:val="00E0331A"/>
    <w:rsid w:val="00E50079"/>
    <w:rsid w:val="00E51C3A"/>
    <w:rsid w:val="00E55D71"/>
    <w:rsid w:val="00E56809"/>
    <w:rsid w:val="00E81E94"/>
    <w:rsid w:val="00E82607"/>
    <w:rsid w:val="00EA31C2"/>
    <w:rsid w:val="00EE1424"/>
    <w:rsid w:val="00EE2EA3"/>
    <w:rsid w:val="00EF486C"/>
    <w:rsid w:val="00F01516"/>
    <w:rsid w:val="00F14F11"/>
    <w:rsid w:val="00F35BF9"/>
    <w:rsid w:val="00F57129"/>
    <w:rsid w:val="00F82239"/>
    <w:rsid w:val="00FA5A79"/>
    <w:rsid w:val="00FB00CB"/>
    <w:rsid w:val="00FB0BFE"/>
    <w:rsid w:val="00FB4C51"/>
    <w:rsid w:val="00FC6617"/>
    <w:rsid w:val="00FD0B59"/>
    <w:rsid w:val="00FF1DBD"/>
    <w:rsid w:val="00FF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basedOn w:val="DefaultParagraphFont"/>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basedOn w:val="DefaultParagraphFont"/>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A0B"/>
    <w:rPr>
      <w:color w:val="auto"/>
      <w:u w:val="none"/>
    </w:rPr>
  </w:style>
  <w:style w:type="character" w:styleId="FollowedHyperlink">
    <w:name w:val="FollowedHyperlink"/>
    <w:basedOn w:val="DefaultParagraphFont"/>
    <w:semiHidden/>
    <w:rsid w:val="00CF0A0B"/>
    <w:rPr>
      <w:color w:val="auto"/>
      <w:u w:val="none"/>
    </w:rPr>
  </w:style>
  <w:style w:type="paragraph" w:styleId="BalloonText">
    <w:name w:val="Balloon Text"/>
    <w:basedOn w:val="Normal"/>
    <w:link w:val="BalloonTextChar"/>
    <w:rsid w:val="00E568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6809"/>
    <w:rPr>
      <w:rFonts w:ascii="Tahoma" w:hAnsi="Tahoma" w:cs="Tahoma"/>
      <w:sz w:val="16"/>
      <w:szCs w:val="16"/>
      <w:lang w:val="fr-CH" w:eastAsia="en-US"/>
    </w:rPr>
  </w:style>
  <w:style w:type="character" w:customStyle="1" w:styleId="FootnoteTextChar">
    <w:name w:val="Footnote Text Char"/>
    <w:aliases w:val="5_G Char"/>
    <w:link w:val="FootnoteText"/>
    <w:rsid w:val="002E62E9"/>
    <w:rPr>
      <w:sz w:val="18"/>
      <w:lang w:val="fr-CH" w:eastAsia="en-US"/>
    </w:rPr>
  </w:style>
  <w:style w:type="table" w:customStyle="1" w:styleId="TableGrid10">
    <w:name w:val="Table Grid1"/>
    <w:basedOn w:val="TableNormal"/>
    <w:next w:val="TableGrid"/>
    <w:rsid w:val="00B76647"/>
    <w:pPr>
      <w:tabs>
        <w:tab w:val="left" w:pos="425"/>
        <w:tab w:val="left" w:pos="851"/>
        <w:tab w:val="left" w:pos="1276"/>
      </w:tabs>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basedOn w:val="DefaultParagraphFont"/>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basedOn w:val="DefaultParagraphFont"/>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CF0A0B"/>
    <w:rPr>
      <w:color w:val="auto"/>
      <w:u w:val="none"/>
    </w:rPr>
  </w:style>
  <w:style w:type="character" w:styleId="FollowedHyperlink">
    <w:name w:val="FollowedHyperlink"/>
    <w:basedOn w:val="DefaultParagraphFont"/>
    <w:semiHidden/>
    <w:rsid w:val="00CF0A0B"/>
    <w:rPr>
      <w:color w:val="auto"/>
      <w:u w:val="none"/>
    </w:rPr>
  </w:style>
  <w:style w:type="paragraph" w:styleId="BalloonText">
    <w:name w:val="Balloon Text"/>
    <w:basedOn w:val="Normal"/>
    <w:link w:val="BalloonTextChar"/>
    <w:rsid w:val="00E568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6809"/>
    <w:rPr>
      <w:rFonts w:ascii="Tahoma" w:hAnsi="Tahoma" w:cs="Tahoma"/>
      <w:sz w:val="16"/>
      <w:szCs w:val="16"/>
      <w:lang w:val="fr-CH" w:eastAsia="en-US"/>
    </w:rPr>
  </w:style>
  <w:style w:type="character" w:customStyle="1" w:styleId="FootnoteTextChar">
    <w:name w:val="Footnote Text Char"/>
    <w:aliases w:val="5_G Char"/>
    <w:link w:val="FootnoteText"/>
    <w:rsid w:val="002E62E9"/>
    <w:rPr>
      <w:sz w:val="18"/>
      <w:lang w:val="fr-CH" w:eastAsia="en-US"/>
    </w:rPr>
  </w:style>
  <w:style w:type="table" w:customStyle="1" w:styleId="TableGrid10">
    <w:name w:val="Table Grid1"/>
    <w:basedOn w:val="TableNormal"/>
    <w:next w:val="TableGrid"/>
    <w:rsid w:val="00B76647"/>
    <w:pPr>
      <w:tabs>
        <w:tab w:val="left" w:pos="425"/>
        <w:tab w:val="left" w:pos="851"/>
        <w:tab w:val="left" w:pos="1276"/>
      </w:tabs>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5_AC2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E136-6AF7-40B2-82CD-C5C853FE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TRANS_WP15_AC2_F.dotm</Template>
  <TotalTime>54</TotalTime>
  <Pages>9</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vt:lpstr>
      <vt:lpstr>ECE/TRANS/WP.15/AC.2/</vt:lpstr>
    </vt:vector>
  </TitlesOfParts>
  <Company>CSD</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Caillot</dc:creator>
  <cp:lastModifiedBy>UNECE</cp:lastModifiedBy>
  <cp:revision>12</cp:revision>
  <cp:lastPrinted>2015-11-03T13:53:00Z</cp:lastPrinted>
  <dcterms:created xsi:type="dcterms:W3CDTF">2015-10-29T14:50:00Z</dcterms:created>
  <dcterms:modified xsi:type="dcterms:W3CDTF">2015-11-05T16:58:00Z</dcterms:modified>
</cp:coreProperties>
</file>