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AC0D47" w:rsidTr="00D751D5">
        <w:trPr>
          <w:cantSplit/>
          <w:trHeight w:hRule="exact" w:val="851"/>
        </w:trPr>
        <w:tc>
          <w:tcPr>
            <w:tcW w:w="1276" w:type="dxa"/>
            <w:tcBorders>
              <w:bottom w:val="single" w:sz="4" w:space="0" w:color="auto"/>
            </w:tcBorders>
            <w:shd w:val="clear" w:color="auto" w:fill="auto"/>
            <w:vAlign w:val="bottom"/>
          </w:tcPr>
          <w:p w:rsidR="002B0C85" w:rsidRPr="00AC0D47" w:rsidRDefault="002B0C85" w:rsidP="002B0C85">
            <w:pPr>
              <w:spacing w:after="80"/>
            </w:pPr>
          </w:p>
        </w:tc>
        <w:tc>
          <w:tcPr>
            <w:tcW w:w="2268" w:type="dxa"/>
            <w:tcBorders>
              <w:bottom w:val="single" w:sz="4" w:space="0" w:color="auto"/>
            </w:tcBorders>
            <w:shd w:val="clear" w:color="auto" w:fill="auto"/>
            <w:vAlign w:val="bottom"/>
          </w:tcPr>
          <w:p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rsidR="002B0C85" w:rsidRPr="00AC0D47" w:rsidRDefault="002B0C85" w:rsidP="00171DAC">
            <w:pPr>
              <w:suppressAutoHyphens w:val="0"/>
              <w:spacing w:after="20"/>
              <w:jc w:val="right"/>
            </w:pPr>
            <w:r w:rsidRPr="00AC0D47">
              <w:rPr>
                <w:sz w:val="40"/>
              </w:rPr>
              <w:t>ECE</w:t>
            </w:r>
            <w:r w:rsidR="00C17E19">
              <w:t>/TRANS/WP.15/AC.2/201</w:t>
            </w:r>
            <w:r w:rsidR="00171DAC">
              <w:t>6</w:t>
            </w:r>
            <w:r w:rsidRPr="00AC0D47">
              <w:t>/</w:t>
            </w:r>
            <w:r w:rsidR="00171DAC">
              <w:t>28</w:t>
            </w:r>
          </w:p>
        </w:tc>
      </w:tr>
      <w:tr w:rsidR="002B0C85" w:rsidRPr="00A669C6" w:rsidTr="00D751D5">
        <w:trPr>
          <w:cantSplit/>
          <w:trHeight w:hRule="exact" w:val="2835"/>
        </w:trPr>
        <w:tc>
          <w:tcPr>
            <w:tcW w:w="1276" w:type="dxa"/>
            <w:tcBorders>
              <w:top w:val="single" w:sz="4" w:space="0" w:color="auto"/>
              <w:bottom w:val="single" w:sz="12" w:space="0" w:color="auto"/>
            </w:tcBorders>
            <w:shd w:val="clear" w:color="auto" w:fill="auto"/>
          </w:tcPr>
          <w:p w:rsidR="002B0C85" w:rsidRPr="00AC0D47" w:rsidRDefault="00AB3EF4" w:rsidP="002B0C85">
            <w:pPr>
              <w:spacing w:before="120"/>
            </w:pPr>
            <w:r>
              <w:rPr>
                <w:noProof/>
                <w:lang w:val="en-US"/>
              </w:rPr>
              <w:drawing>
                <wp:inline distT="0" distB="0" distL="0" distR="0">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B0C85" w:rsidRPr="00AC0D47" w:rsidRDefault="002B0C85" w:rsidP="002B0C85">
            <w:pPr>
              <w:spacing w:before="120" w:line="420" w:lineRule="exact"/>
              <w:rPr>
                <w:sz w:val="40"/>
                <w:szCs w:val="40"/>
              </w:rPr>
            </w:pPr>
            <w:r w:rsidRPr="00AC0D47">
              <w:rPr>
                <w:b/>
                <w:sz w:val="40"/>
                <w:szCs w:val="40"/>
              </w:rPr>
              <w:t>Economic and Social Council</w:t>
            </w:r>
          </w:p>
        </w:tc>
        <w:tc>
          <w:tcPr>
            <w:tcW w:w="2835" w:type="dxa"/>
            <w:tcBorders>
              <w:top w:val="single" w:sz="4" w:space="0" w:color="auto"/>
              <w:bottom w:val="single" w:sz="12" w:space="0" w:color="auto"/>
            </w:tcBorders>
            <w:shd w:val="clear" w:color="auto" w:fill="auto"/>
          </w:tcPr>
          <w:p w:rsidR="002B0C85" w:rsidRPr="00C17E19" w:rsidRDefault="002B0C85" w:rsidP="002B0C85">
            <w:pPr>
              <w:suppressAutoHyphens w:val="0"/>
              <w:spacing w:before="240" w:line="240" w:lineRule="exact"/>
              <w:rPr>
                <w:lang w:val="en-GB"/>
              </w:rPr>
            </w:pPr>
            <w:r w:rsidRPr="00C17E19">
              <w:rPr>
                <w:lang w:val="en-GB"/>
              </w:rPr>
              <w:t>Distr.: General</w:t>
            </w:r>
          </w:p>
          <w:p w:rsidR="002B0C85" w:rsidRPr="00C17E19" w:rsidRDefault="005C6D4D" w:rsidP="002B0C85">
            <w:pPr>
              <w:suppressAutoHyphens w:val="0"/>
              <w:rPr>
                <w:lang w:val="en-GB"/>
              </w:rPr>
            </w:pPr>
            <w:r>
              <w:rPr>
                <w:lang w:val="en-GB"/>
              </w:rPr>
              <w:t xml:space="preserve">9 </w:t>
            </w:r>
            <w:r w:rsidR="00225F10">
              <w:rPr>
                <w:lang w:val="en-GB"/>
              </w:rPr>
              <w:t>June</w:t>
            </w:r>
            <w:r w:rsidR="002B0C85" w:rsidRPr="00C17E19">
              <w:rPr>
                <w:lang w:val="en-GB"/>
              </w:rPr>
              <w:t xml:space="preserve"> 201</w:t>
            </w:r>
            <w:r w:rsidR="00171DAC">
              <w:rPr>
                <w:lang w:val="en-GB"/>
              </w:rPr>
              <w:t>6</w:t>
            </w:r>
          </w:p>
          <w:p w:rsidR="002B0C85" w:rsidRPr="00C17E19" w:rsidRDefault="002B0C85" w:rsidP="002B0C85">
            <w:pPr>
              <w:suppressAutoHyphens w:val="0"/>
              <w:rPr>
                <w:lang w:val="en-GB"/>
              </w:rPr>
            </w:pPr>
            <w:r w:rsidRPr="00C17E19">
              <w:rPr>
                <w:lang w:val="en-GB"/>
              </w:rPr>
              <w:t>English</w:t>
            </w:r>
          </w:p>
          <w:p w:rsidR="002B0C85" w:rsidRPr="00C17E19" w:rsidRDefault="002B0C85" w:rsidP="002B0C85">
            <w:pPr>
              <w:suppressAutoHyphens w:val="0"/>
              <w:rPr>
                <w:lang w:val="en-GB"/>
              </w:rPr>
            </w:pPr>
            <w:r w:rsidRPr="00C17E19">
              <w:rPr>
                <w:lang w:val="en-GB"/>
              </w:rPr>
              <w:t>Original: English and French</w:t>
            </w:r>
          </w:p>
        </w:tc>
      </w:tr>
    </w:tbl>
    <w:p w:rsidR="002B0C85" w:rsidRPr="002B0C85" w:rsidRDefault="002B0C85" w:rsidP="002B0C85">
      <w:pPr>
        <w:spacing w:before="120"/>
        <w:rPr>
          <w:b/>
          <w:sz w:val="28"/>
          <w:szCs w:val="28"/>
          <w:lang w:val="en-GB"/>
        </w:rPr>
      </w:pPr>
      <w:r w:rsidRPr="002B0C85">
        <w:rPr>
          <w:b/>
          <w:sz w:val="28"/>
          <w:szCs w:val="28"/>
          <w:lang w:val="en-GB"/>
        </w:rPr>
        <w:t>Economic Commission for Europe</w:t>
      </w:r>
    </w:p>
    <w:p w:rsidR="002B0C85" w:rsidRPr="002B0C85" w:rsidRDefault="002B0C85" w:rsidP="002B0C85">
      <w:pPr>
        <w:spacing w:before="120"/>
        <w:rPr>
          <w:sz w:val="28"/>
          <w:szCs w:val="28"/>
          <w:lang w:val="en-GB"/>
        </w:rPr>
      </w:pPr>
      <w:r w:rsidRPr="002B0C85">
        <w:rPr>
          <w:sz w:val="28"/>
          <w:szCs w:val="28"/>
          <w:lang w:val="en-GB"/>
        </w:rPr>
        <w:t>Inland Transport Committee</w:t>
      </w:r>
    </w:p>
    <w:p w:rsidR="002B0C85" w:rsidRPr="002B0C85" w:rsidRDefault="002B0C85" w:rsidP="002B0C85">
      <w:pPr>
        <w:spacing w:before="120"/>
        <w:rPr>
          <w:b/>
          <w:sz w:val="24"/>
          <w:szCs w:val="24"/>
          <w:lang w:val="en-GB"/>
        </w:rPr>
      </w:pPr>
      <w:r w:rsidRPr="002B0C85">
        <w:rPr>
          <w:b/>
          <w:sz w:val="24"/>
          <w:szCs w:val="24"/>
          <w:lang w:val="en-GB"/>
        </w:rPr>
        <w:t>Working Party on the Transport of Dangerous Goods</w:t>
      </w:r>
    </w:p>
    <w:p w:rsidR="002B0C85" w:rsidRPr="002B0C85" w:rsidRDefault="002B0C85" w:rsidP="002B0C85">
      <w:pPr>
        <w:spacing w:before="120"/>
        <w:rPr>
          <w:b/>
          <w:lang w:val="en-GB"/>
        </w:rPr>
      </w:pPr>
      <w:r w:rsidRPr="002B0C85">
        <w:rPr>
          <w:b/>
          <w:lang w:val="en-GB"/>
        </w:rPr>
        <w:t xml:space="preserve">Joint Meeting of Experts on the Regulations annexed to the </w:t>
      </w:r>
      <w:r w:rsidRPr="002B0C85">
        <w:rPr>
          <w:b/>
          <w:lang w:val="en-GB"/>
        </w:rPr>
        <w:br/>
        <w:t xml:space="preserve">European Agreement concerning the International Carriage </w:t>
      </w:r>
      <w:r w:rsidRPr="002B0C85">
        <w:rPr>
          <w:b/>
          <w:lang w:val="en-GB"/>
        </w:rPr>
        <w:br/>
        <w:t>of Dangerous Goods by Inland Waterways (ADN)</w:t>
      </w:r>
    </w:p>
    <w:p w:rsidR="002B0C85" w:rsidRPr="002B0C85" w:rsidRDefault="002B0C85" w:rsidP="002B0C85">
      <w:pPr>
        <w:rPr>
          <w:b/>
          <w:lang w:val="en-GB"/>
        </w:rPr>
      </w:pPr>
      <w:r w:rsidRPr="002B0C85">
        <w:rPr>
          <w:b/>
          <w:lang w:val="en-GB"/>
        </w:rPr>
        <w:t>(ADN Safety Committee)</w:t>
      </w:r>
    </w:p>
    <w:p w:rsidR="002B0C85" w:rsidRPr="002B0C85" w:rsidRDefault="00171DAC" w:rsidP="002B0C85">
      <w:pPr>
        <w:spacing w:before="120"/>
        <w:rPr>
          <w:b/>
          <w:lang w:val="en-GB"/>
        </w:rPr>
      </w:pPr>
      <w:r w:rsidRPr="00171DAC">
        <w:rPr>
          <w:b/>
          <w:bCs/>
          <w:lang w:val="en-GB"/>
        </w:rPr>
        <w:t>Twenty-ninth session</w:t>
      </w:r>
    </w:p>
    <w:p w:rsidR="002B0C85" w:rsidRPr="00171DAC" w:rsidRDefault="00171DAC" w:rsidP="002B0C85">
      <w:pPr>
        <w:rPr>
          <w:lang w:val="en-GB"/>
        </w:rPr>
      </w:pPr>
      <w:r w:rsidRPr="00171DAC">
        <w:rPr>
          <w:lang w:val="en-GB"/>
        </w:rPr>
        <w:t>Geneva, 22–26 August 2016</w:t>
      </w:r>
    </w:p>
    <w:p w:rsidR="002B0C85" w:rsidRPr="002B0C85" w:rsidRDefault="002B0C85" w:rsidP="002B0C85">
      <w:pPr>
        <w:rPr>
          <w:lang w:val="en-GB"/>
        </w:rPr>
      </w:pPr>
      <w:r w:rsidRPr="002B0C85">
        <w:rPr>
          <w:lang w:val="en-GB"/>
        </w:rPr>
        <w:t xml:space="preserve">Item </w:t>
      </w:r>
      <w:r w:rsidR="00C17E19">
        <w:rPr>
          <w:lang w:val="en-GB"/>
        </w:rPr>
        <w:t>4</w:t>
      </w:r>
      <w:r w:rsidRPr="002B0C85">
        <w:rPr>
          <w:lang w:val="en-GB"/>
        </w:rPr>
        <w:t xml:space="preserve"> (a) of the provisional agenda</w:t>
      </w:r>
    </w:p>
    <w:p w:rsidR="002B0C85" w:rsidRPr="002B0C85" w:rsidRDefault="002B0C85" w:rsidP="002B0C85">
      <w:pPr>
        <w:rPr>
          <w:b/>
          <w:lang w:val="en-GB"/>
        </w:rPr>
      </w:pPr>
      <w:r w:rsidRPr="002B0C85">
        <w:rPr>
          <w:b/>
          <w:lang w:val="en-GB"/>
        </w:rPr>
        <w:t>Proposals for amendments to the Regulations annexed to ADN:</w:t>
      </w:r>
    </w:p>
    <w:p w:rsidR="002B0C85" w:rsidRPr="002B0C85" w:rsidRDefault="00171DAC" w:rsidP="002B0C85">
      <w:pPr>
        <w:rPr>
          <w:b/>
          <w:lang w:val="en-GB"/>
        </w:rPr>
      </w:pPr>
      <w:r>
        <w:rPr>
          <w:b/>
          <w:lang w:val="en-GB"/>
        </w:rPr>
        <w:t>w</w:t>
      </w:r>
      <w:r w:rsidR="00225F10">
        <w:rPr>
          <w:b/>
          <w:lang w:val="en-GB"/>
        </w:rPr>
        <w:t>ork of the RID/ADR/ADN Joint Meeting</w:t>
      </w:r>
    </w:p>
    <w:p w:rsidR="002B0C85" w:rsidRPr="002B0C85" w:rsidRDefault="002B0C85" w:rsidP="00757D0A">
      <w:pPr>
        <w:pStyle w:val="HChG"/>
        <w:rPr>
          <w:lang w:val="en-US"/>
        </w:rPr>
      </w:pPr>
      <w:r w:rsidRPr="002B0C85">
        <w:rPr>
          <w:lang w:val="en-GB"/>
        </w:rPr>
        <w:tab/>
      </w:r>
      <w:r w:rsidRPr="002B0C85">
        <w:rPr>
          <w:lang w:val="en-GB"/>
        </w:rPr>
        <w:tab/>
      </w:r>
      <w:r w:rsidRPr="002B0C85">
        <w:rPr>
          <w:lang w:val="en-US"/>
        </w:rPr>
        <w:t xml:space="preserve">European Agreement concerning the International Carriage of Dangerous Goods by </w:t>
      </w:r>
      <w:r w:rsidRPr="00757D0A">
        <w:t>Inland</w:t>
      </w:r>
      <w:r w:rsidRPr="002B0C85">
        <w:rPr>
          <w:lang w:val="en-US"/>
        </w:rPr>
        <w:t xml:space="preserve"> Waterways (ADN)</w:t>
      </w:r>
      <w:r w:rsidR="00EC66F9" w:rsidRPr="00A669C6">
        <w:rPr>
          <w:sz w:val="24"/>
          <w:szCs w:val="24"/>
          <w:vertAlign w:val="superscript"/>
          <w:lang w:val="en-GB"/>
        </w:rPr>
        <w:footnoteReference w:id="2"/>
      </w:r>
      <w:r w:rsidR="00EC66F9" w:rsidRPr="00A669C6">
        <w:rPr>
          <w:sz w:val="24"/>
          <w:szCs w:val="24"/>
          <w:vertAlign w:val="superscript"/>
          <w:lang w:val="en-GB"/>
        </w:rPr>
        <w:t xml:space="preserve">, </w:t>
      </w:r>
      <w:r w:rsidR="00EC66F9" w:rsidRPr="00A669C6">
        <w:rPr>
          <w:sz w:val="24"/>
          <w:szCs w:val="24"/>
          <w:vertAlign w:val="superscript"/>
          <w:lang w:val="en-GB"/>
        </w:rPr>
        <w:footnoteReference w:id="3"/>
      </w:r>
    </w:p>
    <w:p w:rsidR="002B0C85" w:rsidRPr="002B0C85" w:rsidRDefault="002B0C85" w:rsidP="00A669C6">
      <w:pPr>
        <w:pStyle w:val="H1G"/>
        <w:rPr>
          <w:lang w:val="en-US"/>
        </w:rPr>
      </w:pPr>
      <w:r w:rsidRPr="002B0C85">
        <w:rPr>
          <w:lang w:val="en-US"/>
        </w:rPr>
        <w:tab/>
      </w:r>
      <w:r w:rsidRPr="002B0C85">
        <w:rPr>
          <w:lang w:val="en-US"/>
        </w:rPr>
        <w:tab/>
        <w:t xml:space="preserve">Draft amendments to </w:t>
      </w:r>
      <w:bookmarkStart w:id="0" w:name="_GoBack"/>
      <w:bookmarkEnd w:id="0"/>
      <w:r w:rsidRPr="002B0C85">
        <w:rPr>
          <w:lang w:val="en-US"/>
        </w:rPr>
        <w:t xml:space="preserve">the </w:t>
      </w:r>
      <w:r w:rsidRPr="000D65BC">
        <w:rPr>
          <w:lang w:val="en-GB"/>
        </w:rPr>
        <w:t>Regulations</w:t>
      </w:r>
      <w:r w:rsidRPr="002B0C85">
        <w:rPr>
          <w:lang w:val="en-US"/>
        </w:rPr>
        <w:t xml:space="preserve"> annexed to ADN</w:t>
      </w:r>
    </w:p>
    <w:p w:rsidR="002B0C85" w:rsidRPr="002B0C85" w:rsidRDefault="002B0C85" w:rsidP="00F524BE">
      <w:pPr>
        <w:pStyle w:val="H1G"/>
        <w:rPr>
          <w:lang w:val="en-GB"/>
        </w:rPr>
      </w:pPr>
      <w:r w:rsidRPr="002B0C85">
        <w:rPr>
          <w:lang w:val="en-GB"/>
        </w:rPr>
        <w:tab/>
      </w:r>
      <w:r w:rsidRPr="002B0C85">
        <w:rPr>
          <w:lang w:val="en-GB"/>
        </w:rPr>
        <w:tab/>
        <w:t>Note by the secretariat</w:t>
      </w:r>
    </w:p>
    <w:p w:rsidR="002B0C85" w:rsidRPr="002F6E51" w:rsidRDefault="002B0C85" w:rsidP="00F524BE">
      <w:pPr>
        <w:pStyle w:val="HChG"/>
        <w:rPr>
          <w:lang w:val="en-GB"/>
        </w:rPr>
      </w:pPr>
      <w:bookmarkStart w:id="1" w:name="OLE_LINK1"/>
      <w:r w:rsidRPr="002B0C85">
        <w:rPr>
          <w:lang w:val="en-GB"/>
        </w:rPr>
        <w:tab/>
      </w:r>
      <w:r w:rsidRPr="002B0C85">
        <w:rPr>
          <w:lang w:val="en-GB"/>
        </w:rPr>
        <w:tab/>
      </w:r>
      <w:r w:rsidRPr="002F6E51">
        <w:rPr>
          <w:lang w:val="en-GB"/>
        </w:rPr>
        <w:t>Introduction</w:t>
      </w:r>
    </w:p>
    <w:p w:rsidR="00802B5E" w:rsidRPr="002F6E51" w:rsidRDefault="003778FF" w:rsidP="00F524BE">
      <w:pPr>
        <w:pStyle w:val="SingleTxtG"/>
        <w:rPr>
          <w:lang w:val="en-GB"/>
        </w:rPr>
      </w:pPr>
      <w:r w:rsidRPr="002F6E51">
        <w:rPr>
          <w:lang w:val="en-GB"/>
        </w:rPr>
        <w:t>1.</w:t>
      </w:r>
      <w:r w:rsidRPr="002F6E51">
        <w:rPr>
          <w:lang w:val="en-GB"/>
        </w:rPr>
        <w:tab/>
      </w:r>
      <w:r w:rsidR="00802B5E" w:rsidRPr="002F6E51">
        <w:rPr>
          <w:lang w:val="en-GB"/>
        </w:rPr>
        <w:t>The Safety Committee may wish to consider the work of the RID/ADR/ADN Joint Meeting at its spring 201</w:t>
      </w:r>
      <w:r w:rsidR="000D65BC" w:rsidRPr="002F6E51">
        <w:rPr>
          <w:lang w:val="en-GB"/>
        </w:rPr>
        <w:t>6</w:t>
      </w:r>
      <w:r w:rsidR="00802B5E" w:rsidRPr="002F6E51">
        <w:rPr>
          <w:lang w:val="en-GB"/>
        </w:rPr>
        <w:t xml:space="preserve"> session (ECE/TRANS/WP.15/AC.1/</w:t>
      </w:r>
      <w:r w:rsidR="002F6E51" w:rsidRPr="002F6E51">
        <w:rPr>
          <w:lang w:val="en-GB"/>
        </w:rPr>
        <w:t>142</w:t>
      </w:r>
      <w:r w:rsidRPr="002F6E51">
        <w:rPr>
          <w:lang w:val="en-GB"/>
        </w:rPr>
        <w:t xml:space="preserve"> and Add.2</w:t>
      </w:r>
      <w:r w:rsidR="00F524BE" w:rsidRPr="002F6E51">
        <w:rPr>
          <w:lang w:val="en-GB"/>
        </w:rPr>
        <w:t>).</w:t>
      </w:r>
    </w:p>
    <w:p w:rsidR="003778FF" w:rsidRPr="002F6E51" w:rsidRDefault="003778FF" w:rsidP="00F524BE">
      <w:pPr>
        <w:pStyle w:val="SingleTxtG"/>
        <w:rPr>
          <w:lang w:val="en-GB"/>
        </w:rPr>
      </w:pPr>
      <w:r w:rsidRPr="002F6E51">
        <w:rPr>
          <w:lang w:val="en-GB"/>
        </w:rPr>
        <w:t>2.</w:t>
      </w:r>
      <w:r w:rsidRPr="002F6E51">
        <w:rPr>
          <w:lang w:val="en-GB"/>
        </w:rPr>
        <w:tab/>
      </w:r>
      <w:r w:rsidR="002B0C85" w:rsidRPr="002F6E51">
        <w:rPr>
          <w:lang w:val="en-GB"/>
        </w:rPr>
        <w:t xml:space="preserve">At its </w:t>
      </w:r>
      <w:r w:rsidR="002F6E51" w:rsidRPr="002F6E51">
        <w:rPr>
          <w:lang w:val="en-GB"/>
        </w:rPr>
        <w:t>hundredth</w:t>
      </w:r>
      <w:r w:rsidR="002B0C85" w:rsidRPr="002F6E51">
        <w:rPr>
          <w:lang w:val="en-GB"/>
        </w:rPr>
        <w:t xml:space="preserve"> session in May 201</w:t>
      </w:r>
      <w:r w:rsidR="002F6E51">
        <w:rPr>
          <w:lang w:val="en-GB"/>
        </w:rPr>
        <w:t>6</w:t>
      </w:r>
      <w:r w:rsidR="002B0C85" w:rsidRPr="002F6E51">
        <w:rPr>
          <w:lang w:val="en-GB"/>
        </w:rPr>
        <w:t>, the Working Party on the Transport of Dangerous Goods (WP.15) adopted an additional list of amendments to ADR for which entry into force is scheduled</w:t>
      </w:r>
      <w:r w:rsidR="00C17E19" w:rsidRPr="002F6E51">
        <w:rPr>
          <w:lang w:val="en-GB"/>
        </w:rPr>
        <w:t xml:space="preserve"> for 1 January 201</w:t>
      </w:r>
      <w:r w:rsidR="002F6E51">
        <w:rPr>
          <w:lang w:val="en-GB"/>
        </w:rPr>
        <w:t>7</w:t>
      </w:r>
      <w:r w:rsidR="002B0C85" w:rsidRPr="002F6E51">
        <w:rPr>
          <w:lang w:val="en-GB"/>
        </w:rPr>
        <w:t xml:space="preserve"> (</w:t>
      </w:r>
      <w:r w:rsidR="00C17E19" w:rsidRPr="002F6E51">
        <w:rPr>
          <w:lang w:val="en-GB"/>
        </w:rPr>
        <w:t>ECE/TRANS/WP.15/</w:t>
      </w:r>
      <w:r w:rsidR="002F6E51">
        <w:rPr>
          <w:lang w:val="en-GB"/>
        </w:rPr>
        <w:t>231</w:t>
      </w:r>
      <w:r w:rsidR="00C17E19" w:rsidRPr="002F6E51">
        <w:rPr>
          <w:lang w:val="en-GB"/>
        </w:rPr>
        <w:t>/</w:t>
      </w:r>
      <w:r w:rsidR="009064BF" w:rsidRPr="002F6E51">
        <w:rPr>
          <w:lang w:val="en-GB"/>
        </w:rPr>
        <w:t xml:space="preserve">Add.1). </w:t>
      </w:r>
    </w:p>
    <w:p w:rsidR="002B0C85" w:rsidRPr="002F6E51" w:rsidRDefault="003778FF" w:rsidP="00F524BE">
      <w:pPr>
        <w:pStyle w:val="SingleTxtG"/>
        <w:rPr>
          <w:lang w:val="en-GB"/>
        </w:rPr>
      </w:pPr>
      <w:r w:rsidRPr="002F6E51">
        <w:rPr>
          <w:lang w:val="en-GB"/>
        </w:rPr>
        <w:t>3.</w:t>
      </w:r>
      <w:r w:rsidRPr="002F6E51">
        <w:rPr>
          <w:lang w:val="en-GB"/>
        </w:rPr>
        <w:tab/>
      </w:r>
      <w:r w:rsidR="009064BF" w:rsidRPr="002F6E51">
        <w:rPr>
          <w:lang w:val="en-GB"/>
        </w:rPr>
        <w:t>The present</w:t>
      </w:r>
      <w:r w:rsidR="002B0C85" w:rsidRPr="002F6E51">
        <w:rPr>
          <w:lang w:val="en-GB"/>
        </w:rPr>
        <w:t xml:space="preserve"> document contains the additional amendments which are also relevant for ADN.</w:t>
      </w:r>
    </w:p>
    <w:bookmarkEnd w:id="1"/>
    <w:p w:rsidR="002B0C85" w:rsidRPr="007631C0" w:rsidRDefault="002B0C85" w:rsidP="00757D0A">
      <w:pPr>
        <w:pStyle w:val="HChG"/>
        <w:rPr>
          <w:lang w:val="en-GB"/>
        </w:rPr>
      </w:pPr>
      <w:r w:rsidRPr="007631C0">
        <w:rPr>
          <w:lang w:val="en-GB"/>
        </w:rPr>
        <w:lastRenderedPageBreak/>
        <w:tab/>
      </w:r>
      <w:r w:rsidR="003778FF" w:rsidRPr="007631C0">
        <w:rPr>
          <w:lang w:val="en-GB"/>
        </w:rPr>
        <w:tab/>
      </w:r>
      <w:r w:rsidR="00802B5E" w:rsidRPr="007631C0">
        <w:rPr>
          <w:lang w:val="en-GB"/>
        </w:rPr>
        <w:t>ECE/TRANS/WP.15/AC.1/1</w:t>
      </w:r>
      <w:r w:rsidR="006644B5" w:rsidRPr="007631C0">
        <w:rPr>
          <w:lang w:val="en-GB"/>
        </w:rPr>
        <w:t>42</w:t>
      </w:r>
      <w:r w:rsidR="00802B5E" w:rsidRPr="007631C0">
        <w:rPr>
          <w:lang w:val="en-GB"/>
        </w:rPr>
        <w:t>/</w:t>
      </w:r>
      <w:r w:rsidR="00802B5E" w:rsidRPr="00A669C6">
        <w:t>Add</w:t>
      </w:r>
      <w:r w:rsidR="00802B5E" w:rsidRPr="007631C0">
        <w:rPr>
          <w:lang w:val="en-GB"/>
        </w:rPr>
        <w:t>.2</w:t>
      </w:r>
    </w:p>
    <w:p w:rsidR="00802B5E" w:rsidRPr="006644B5" w:rsidRDefault="006644B5" w:rsidP="00F524BE">
      <w:pPr>
        <w:pStyle w:val="H1G"/>
        <w:rPr>
          <w:lang w:val="en-GB"/>
        </w:rPr>
      </w:pPr>
      <w:r w:rsidRPr="006644B5">
        <w:rPr>
          <w:lang w:val="en-GB"/>
        </w:rPr>
        <w:tab/>
      </w:r>
      <w:r w:rsidR="00802B5E" w:rsidRPr="006644B5">
        <w:rPr>
          <w:lang w:val="en-GB"/>
        </w:rPr>
        <w:tab/>
        <w:t>New amendments</w:t>
      </w:r>
    </w:p>
    <w:p w:rsidR="00802B5E" w:rsidRPr="006644B5" w:rsidRDefault="00802B5E" w:rsidP="00F524BE">
      <w:pPr>
        <w:pStyle w:val="H23G"/>
        <w:rPr>
          <w:lang w:val="en-GB"/>
        </w:rPr>
      </w:pPr>
      <w:r w:rsidRPr="006644B5">
        <w:rPr>
          <w:lang w:val="en-GB"/>
        </w:rPr>
        <w:tab/>
      </w:r>
      <w:r w:rsidRPr="006644B5">
        <w:rPr>
          <w:lang w:val="en-GB"/>
        </w:rPr>
        <w:tab/>
        <w:t>Chapter 1.1</w:t>
      </w:r>
    </w:p>
    <w:p w:rsidR="006644B5" w:rsidRDefault="00295BC5" w:rsidP="006644B5">
      <w:pPr>
        <w:pStyle w:val="SingleTxtG"/>
        <w:rPr>
          <w:lang w:val="en-GB"/>
        </w:rPr>
      </w:pPr>
      <w:r w:rsidRPr="0083728C">
        <w:rPr>
          <w:lang w:val="en-GB"/>
        </w:rPr>
        <w:t>1.1.3.10 (b)</w:t>
      </w:r>
      <w:r w:rsidRPr="0083728C">
        <w:rPr>
          <w:lang w:val="en-GB"/>
        </w:rPr>
        <w:tab/>
        <w:t>In the Note after subparagraph (i), replace “ISO 9001:2008” by “ISO 9001”.</w:t>
      </w:r>
    </w:p>
    <w:p w:rsidR="00295BC5" w:rsidRDefault="00295BC5" w:rsidP="00295BC5">
      <w:pPr>
        <w:pStyle w:val="H23G"/>
        <w:rPr>
          <w:lang w:val="en-GB"/>
        </w:rPr>
      </w:pPr>
      <w:r w:rsidRPr="0083728C">
        <w:rPr>
          <w:lang w:val="en-GB"/>
        </w:rPr>
        <w:tab/>
      </w:r>
      <w:r w:rsidRPr="0083728C">
        <w:rPr>
          <w:lang w:val="en-GB"/>
        </w:rPr>
        <w:tab/>
        <w:t>Chapter 1.2</w:t>
      </w:r>
    </w:p>
    <w:p w:rsidR="00295BC5" w:rsidRPr="0083728C" w:rsidRDefault="00295BC5" w:rsidP="00295BC5">
      <w:pPr>
        <w:pStyle w:val="SingleTxtG"/>
        <w:rPr>
          <w:lang w:val="en-GB"/>
        </w:rPr>
      </w:pPr>
      <w:r w:rsidRPr="0083728C">
        <w:rPr>
          <w:lang w:val="en-GB"/>
        </w:rPr>
        <w:t>1.2.1</w:t>
      </w:r>
      <w:r w:rsidRPr="0083728C">
        <w:rPr>
          <w:lang w:val="en-GB"/>
        </w:rPr>
        <w:tab/>
        <w:t>The amendment to the definition of “Recycled plastics material” does not apply to the English text.</w:t>
      </w:r>
    </w:p>
    <w:p w:rsidR="00295BC5" w:rsidRDefault="00ED7E18" w:rsidP="00295BC5">
      <w:pPr>
        <w:pStyle w:val="SingleTxtG"/>
        <w:rPr>
          <w:lang w:val="en-GB"/>
        </w:rPr>
      </w:pPr>
      <w:r>
        <w:rPr>
          <w:lang w:val="en-GB"/>
        </w:rPr>
        <w:t>1.2.1</w:t>
      </w:r>
      <w:r>
        <w:rPr>
          <w:lang w:val="en-GB"/>
        </w:rPr>
        <w:tab/>
        <w:t>In the definition of “T</w:t>
      </w:r>
      <w:r w:rsidR="00295BC5" w:rsidRPr="00295BC5">
        <w:rPr>
          <w:lang w:val="en-GB"/>
        </w:rPr>
        <w:t>ypes of protection”, replace “IEC 60079-7:2006” by “IEC 60079-7:2015”.</w:t>
      </w:r>
    </w:p>
    <w:p w:rsidR="007C6111" w:rsidRPr="0083728C" w:rsidRDefault="007C6111" w:rsidP="007C6111">
      <w:pPr>
        <w:pStyle w:val="H23G"/>
        <w:rPr>
          <w:lang w:val="en-GB"/>
        </w:rPr>
      </w:pPr>
      <w:r w:rsidRPr="0083728C">
        <w:rPr>
          <w:lang w:val="en-GB"/>
        </w:rPr>
        <w:tab/>
      </w:r>
      <w:r w:rsidRPr="0083728C">
        <w:rPr>
          <w:lang w:val="en-GB"/>
        </w:rPr>
        <w:tab/>
        <w:t>Chapter 1.6</w:t>
      </w:r>
    </w:p>
    <w:p w:rsidR="007C6111" w:rsidRPr="0083728C" w:rsidRDefault="007C6111" w:rsidP="007C6111">
      <w:pPr>
        <w:pStyle w:val="SingleTxtG"/>
        <w:rPr>
          <w:lang w:val="en-GB"/>
        </w:rPr>
      </w:pPr>
      <w:r w:rsidRPr="0083728C">
        <w:rPr>
          <w:lang w:val="en-GB"/>
        </w:rPr>
        <w:t>1.6.1.30</w:t>
      </w:r>
      <w:r w:rsidRPr="0083728C">
        <w:rPr>
          <w:lang w:val="en-GB"/>
        </w:rPr>
        <w:tab/>
        <w:t>Amend to read as follows:</w:t>
      </w:r>
    </w:p>
    <w:p w:rsidR="007C6111" w:rsidRDefault="007C6111" w:rsidP="007C6111">
      <w:pPr>
        <w:pStyle w:val="SingleTxtG"/>
        <w:rPr>
          <w:lang w:val="en-GB" w:bidi="en-GB"/>
        </w:rPr>
      </w:pPr>
      <w:r w:rsidRPr="0083728C">
        <w:rPr>
          <w:lang w:val="en-GB"/>
        </w:rPr>
        <w:t>“1.6.1.30</w:t>
      </w:r>
      <w:r w:rsidRPr="0083728C">
        <w:rPr>
          <w:lang w:val="en-GB"/>
        </w:rPr>
        <w:tab/>
      </w:r>
      <w:r w:rsidRPr="0083728C">
        <w:rPr>
          <w:lang w:val="en-GB" w:bidi="en-GB"/>
        </w:rPr>
        <w:t>Labels which meet the requirements of 5.2.2.2.1.1 applicable up to 31 December 2014, may continue to be used until 30 June 2019.”.</w:t>
      </w:r>
    </w:p>
    <w:p w:rsidR="007C6111" w:rsidRPr="0083728C" w:rsidRDefault="007C6111" w:rsidP="00A669C6">
      <w:pPr>
        <w:pStyle w:val="H23G"/>
        <w:rPr>
          <w:lang w:val="en-GB"/>
        </w:rPr>
      </w:pPr>
      <w:r w:rsidRPr="0083728C">
        <w:rPr>
          <w:lang w:val="en-GB"/>
        </w:rPr>
        <w:tab/>
      </w:r>
      <w:r w:rsidRPr="0083728C">
        <w:rPr>
          <w:lang w:val="en-GB"/>
        </w:rPr>
        <w:tab/>
        <w:t>Chapter 2.1</w:t>
      </w:r>
    </w:p>
    <w:p w:rsidR="007C6111" w:rsidRPr="0083728C" w:rsidRDefault="007C6111" w:rsidP="007C6111">
      <w:pPr>
        <w:pStyle w:val="SingleTxtG"/>
        <w:rPr>
          <w:lang w:val="en-GB"/>
        </w:rPr>
      </w:pPr>
      <w:r w:rsidRPr="00531307">
        <w:rPr>
          <w:lang w:val="en-US"/>
        </w:rPr>
        <w:t>2.1.1.2</w:t>
      </w:r>
      <w:r w:rsidRPr="00531307">
        <w:rPr>
          <w:b/>
          <w:bCs/>
          <w:lang w:val="en-US"/>
        </w:rPr>
        <w:tab/>
      </w:r>
      <w:r w:rsidRPr="00531307">
        <w:rPr>
          <w:b/>
          <w:bCs/>
          <w:lang w:val="en-US"/>
        </w:rPr>
        <w:tab/>
      </w:r>
      <w:r w:rsidRPr="0083728C">
        <w:rPr>
          <w:lang w:val="en-GB"/>
        </w:rPr>
        <w:t>The amendment does not apply to the English text.</w:t>
      </w:r>
    </w:p>
    <w:p w:rsidR="007C6111" w:rsidRDefault="007C6111" w:rsidP="007C6111">
      <w:pPr>
        <w:pStyle w:val="SingleTxtG"/>
        <w:rPr>
          <w:lang w:val="en-GB"/>
        </w:rPr>
      </w:pPr>
      <w:r w:rsidRPr="00531307">
        <w:rPr>
          <w:lang w:val="en-US"/>
        </w:rPr>
        <w:t>2.1.4.2 (e)</w:t>
      </w:r>
      <w:r w:rsidRPr="00531307">
        <w:rPr>
          <w:b/>
          <w:bCs/>
          <w:lang w:val="en-US"/>
        </w:rPr>
        <w:tab/>
      </w:r>
      <w:r w:rsidRPr="0083728C">
        <w:rPr>
          <w:lang w:val="en-GB"/>
        </w:rPr>
        <w:t>The amendment does not apply to the English text.</w:t>
      </w:r>
    </w:p>
    <w:p w:rsidR="007C6111" w:rsidRPr="0083728C" w:rsidRDefault="007C6111" w:rsidP="007C6111">
      <w:pPr>
        <w:pStyle w:val="H23G"/>
        <w:rPr>
          <w:lang w:val="en-GB"/>
        </w:rPr>
      </w:pPr>
      <w:r w:rsidRPr="0083728C">
        <w:rPr>
          <w:lang w:val="en-GB"/>
        </w:rPr>
        <w:tab/>
      </w:r>
      <w:r w:rsidRPr="0083728C">
        <w:rPr>
          <w:lang w:val="en-GB"/>
        </w:rPr>
        <w:tab/>
        <w:t>Chapter 2.2</w:t>
      </w:r>
    </w:p>
    <w:p w:rsidR="007C6111" w:rsidRPr="0083728C" w:rsidRDefault="007C6111" w:rsidP="007C6111">
      <w:pPr>
        <w:pStyle w:val="SingleTxtG"/>
        <w:rPr>
          <w:lang w:val="en-GB"/>
        </w:rPr>
      </w:pPr>
      <w:r w:rsidRPr="0083728C">
        <w:rPr>
          <w:lang w:val="en-GB"/>
        </w:rPr>
        <w:t>2.2.1.1.5</w:t>
      </w:r>
      <w:r w:rsidRPr="0083728C">
        <w:rPr>
          <w:lang w:val="en-GB"/>
        </w:rPr>
        <w:tab/>
        <w:t>The amendment does not apply to the English text.</w:t>
      </w:r>
    </w:p>
    <w:p w:rsidR="007C6111" w:rsidRPr="0083728C" w:rsidRDefault="007C6111" w:rsidP="007C6111">
      <w:pPr>
        <w:pStyle w:val="SingleTxtG"/>
        <w:rPr>
          <w:lang w:val="en-GB"/>
        </w:rPr>
      </w:pPr>
      <w:r w:rsidRPr="0083728C">
        <w:rPr>
          <w:lang w:val="en-GB"/>
        </w:rPr>
        <w:t>2.2.1.4</w:t>
      </w:r>
      <w:r w:rsidRPr="0083728C">
        <w:rPr>
          <w:lang w:val="en-GB"/>
        </w:rPr>
        <w:tab/>
      </w:r>
      <w:r w:rsidRPr="0083728C">
        <w:rPr>
          <w:lang w:val="en-GB"/>
        </w:rPr>
        <w:tab/>
        <w:t>The amendments do not apply to the English text.</w:t>
      </w:r>
    </w:p>
    <w:p w:rsidR="007C6111" w:rsidRDefault="007C6111" w:rsidP="007C6111">
      <w:pPr>
        <w:pStyle w:val="SingleTxtG"/>
        <w:rPr>
          <w:lang w:val="en-GB"/>
        </w:rPr>
      </w:pPr>
      <w:r w:rsidRPr="0083728C">
        <w:rPr>
          <w:lang w:val="en-GB"/>
        </w:rPr>
        <w:t>2.2.2.1.7 (c) and (d)</w:t>
      </w:r>
      <w:r w:rsidRPr="0083728C">
        <w:rPr>
          <w:lang w:val="en-GB"/>
        </w:rPr>
        <w:tab/>
        <w:t>The amendment does not apply to the English text.</w:t>
      </w:r>
    </w:p>
    <w:p w:rsidR="007C6111" w:rsidRPr="0083728C" w:rsidRDefault="007C6111" w:rsidP="007C6111">
      <w:pPr>
        <w:pStyle w:val="SingleTxtG"/>
        <w:rPr>
          <w:lang w:val="en-GB"/>
        </w:rPr>
      </w:pPr>
      <w:r w:rsidRPr="0083728C">
        <w:rPr>
          <w:lang w:val="en-GB"/>
        </w:rPr>
        <w:t>2.2.43.1.2</w:t>
      </w:r>
      <w:r w:rsidRPr="0083728C">
        <w:rPr>
          <w:lang w:val="en-GB"/>
        </w:rPr>
        <w:tab/>
        <w:t>The amendment does not apply to the English text.</w:t>
      </w:r>
    </w:p>
    <w:p w:rsidR="007C6111" w:rsidRDefault="007C6111" w:rsidP="007C6111">
      <w:pPr>
        <w:pStyle w:val="SingleTxtG"/>
        <w:rPr>
          <w:lang w:val="en-GB"/>
        </w:rPr>
      </w:pPr>
      <w:r w:rsidRPr="0083728C">
        <w:rPr>
          <w:lang w:val="en-GB"/>
        </w:rPr>
        <w:t>2.2.52.1.6</w:t>
      </w:r>
      <w:r w:rsidRPr="0083728C">
        <w:rPr>
          <w:lang w:val="en-GB"/>
        </w:rPr>
        <w:tab/>
        <w:t>In the third sentence, replace “in one packaging” by “in one package”.</w:t>
      </w:r>
    </w:p>
    <w:p w:rsidR="007C6111" w:rsidRPr="0083728C" w:rsidRDefault="007C6111" w:rsidP="007C6111">
      <w:pPr>
        <w:tabs>
          <w:tab w:val="left" w:pos="1418"/>
          <w:tab w:val="left" w:pos="1843"/>
        </w:tabs>
        <w:spacing w:before="120" w:after="120"/>
        <w:ind w:left="1134" w:right="1134"/>
        <w:jc w:val="both"/>
        <w:rPr>
          <w:lang w:val="en-GB"/>
        </w:rPr>
      </w:pPr>
      <w:r w:rsidRPr="0083728C">
        <w:rPr>
          <w:lang w:val="en-GB"/>
        </w:rPr>
        <w:t>2.2.61.1.14</w:t>
      </w:r>
      <w:r w:rsidRPr="0083728C">
        <w:rPr>
          <w:lang w:val="en-GB"/>
        </w:rPr>
        <w:tab/>
        <w:t>Amend to read as follows:</w:t>
      </w:r>
    </w:p>
    <w:p w:rsidR="007C6111" w:rsidRPr="0083728C" w:rsidRDefault="007C6111" w:rsidP="007C6111">
      <w:pPr>
        <w:pStyle w:val="SingleTxtG"/>
        <w:rPr>
          <w:lang w:val="en-GB"/>
        </w:rPr>
      </w:pPr>
      <w:r w:rsidRPr="0083728C">
        <w:rPr>
          <w:lang w:val="en-GB"/>
        </w:rPr>
        <w:t>“2.2.61.1.14</w:t>
      </w:r>
      <w:r w:rsidRPr="0083728C">
        <w:rPr>
          <w:lang w:val="en-GB"/>
        </w:rPr>
        <w:tab/>
        <w:t>Substances, solutions and mixtures, with the exception of substances and preparations used as pesticides, which are not classified as acute toxic category 1, 2 or 3 according to Regulation (EC) No 1272/2008</w:t>
      </w:r>
      <w:r w:rsidRPr="0083728C">
        <w:rPr>
          <w:b/>
          <w:vertAlign w:val="superscript"/>
          <w:lang w:val="en-GB"/>
        </w:rPr>
        <w:t>3</w:t>
      </w:r>
      <w:r w:rsidRPr="0083728C">
        <w:rPr>
          <w:lang w:val="en-GB"/>
        </w:rPr>
        <w:t>, may be considered as substances not belonging to class 6.1.”.</w:t>
      </w:r>
    </w:p>
    <w:p w:rsidR="007C6111" w:rsidRPr="0083728C" w:rsidRDefault="00A44C79" w:rsidP="007C6111">
      <w:pPr>
        <w:pStyle w:val="SingleTxtG"/>
        <w:rPr>
          <w:lang w:val="en-GB"/>
        </w:rPr>
      </w:pPr>
      <w:r w:rsidRPr="00A44C79">
        <w:rPr>
          <w:lang w:val="fr-FR"/>
        </w:rPr>
        <w:t>________</w:t>
      </w:r>
    </w:p>
    <w:p w:rsidR="007C6111" w:rsidRPr="00935E45" w:rsidRDefault="007C6111" w:rsidP="007C6111">
      <w:pPr>
        <w:pStyle w:val="SingleTxtG"/>
        <w:rPr>
          <w:i/>
          <w:lang w:val="en-GB"/>
        </w:rPr>
      </w:pPr>
      <w:r w:rsidRPr="00935E45">
        <w:rPr>
          <w:b/>
          <w:i/>
          <w:vertAlign w:val="superscript"/>
          <w:lang w:val="en-GB"/>
        </w:rPr>
        <w:t>3</w:t>
      </w:r>
      <w:r w:rsidRPr="00935E45">
        <w:rPr>
          <w:i/>
          <w:lang w:val="en-GB"/>
        </w:rP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7C6111" w:rsidRDefault="007C6111" w:rsidP="007C6111">
      <w:pPr>
        <w:pStyle w:val="SingleTxtG"/>
        <w:rPr>
          <w:lang w:val="en-GB"/>
        </w:rPr>
      </w:pPr>
      <w:r w:rsidRPr="0083728C">
        <w:rPr>
          <w:lang w:val="en-GB"/>
        </w:rPr>
        <w:t>Delete footnote 4. Renumber subsequent footnotes accordingly.</w:t>
      </w:r>
    </w:p>
    <w:p w:rsidR="007C6111" w:rsidRPr="0083728C" w:rsidRDefault="007C6111" w:rsidP="007C6111">
      <w:pPr>
        <w:pStyle w:val="SingleTxtG"/>
        <w:rPr>
          <w:lang w:val="en-GB"/>
        </w:rPr>
      </w:pPr>
      <w:r w:rsidRPr="0083728C">
        <w:rPr>
          <w:lang w:val="en-GB"/>
        </w:rPr>
        <w:t>2.2.8.1.9</w:t>
      </w:r>
      <w:r w:rsidRPr="0083728C">
        <w:rPr>
          <w:lang w:val="en-GB"/>
        </w:rPr>
        <w:tab/>
        <w:t>Amend to read as follows:</w:t>
      </w:r>
    </w:p>
    <w:p w:rsidR="007C6111" w:rsidRPr="0083728C" w:rsidRDefault="007C6111" w:rsidP="007C6111">
      <w:pPr>
        <w:pStyle w:val="SingleTxtG"/>
        <w:rPr>
          <w:lang w:val="en-GB"/>
        </w:rPr>
      </w:pPr>
      <w:r w:rsidRPr="0083728C">
        <w:rPr>
          <w:lang w:val="en-GB"/>
        </w:rPr>
        <w:lastRenderedPageBreak/>
        <w:t>“2.2.8.1.9</w:t>
      </w:r>
      <w:r w:rsidRPr="0083728C">
        <w:rPr>
          <w:lang w:val="en-GB"/>
        </w:rPr>
        <w:tab/>
        <w:t>Substances, solutions and mixtures, which are not classified as corrosive to skin or metal of category 1 according to Regulation (EC) No 1272/2008</w:t>
      </w:r>
      <w:r w:rsidRPr="0083728C">
        <w:rPr>
          <w:b/>
          <w:vertAlign w:val="superscript"/>
          <w:lang w:val="en-GB"/>
        </w:rPr>
        <w:t>3</w:t>
      </w:r>
      <w:r w:rsidRPr="0083728C">
        <w:rPr>
          <w:lang w:val="en-GB"/>
        </w:rPr>
        <w:t xml:space="preserve"> may be considered as substances not belonging to Class 8.”.</w:t>
      </w:r>
    </w:p>
    <w:p w:rsidR="007C6111" w:rsidRPr="0083728C" w:rsidRDefault="007C6111" w:rsidP="007C6111">
      <w:pPr>
        <w:pStyle w:val="SingleTxtG"/>
        <w:rPr>
          <w:lang w:val="en-GB"/>
        </w:rPr>
      </w:pPr>
      <w:r w:rsidRPr="0083728C">
        <w:rPr>
          <w:lang w:val="en-GB"/>
        </w:rPr>
        <w:t>The note remains unchanged.</w:t>
      </w:r>
    </w:p>
    <w:p w:rsidR="007C6111" w:rsidRPr="0083728C" w:rsidRDefault="00A44C79" w:rsidP="007C6111">
      <w:pPr>
        <w:pStyle w:val="SingleTxtG"/>
        <w:rPr>
          <w:lang w:val="en-GB"/>
        </w:rPr>
      </w:pPr>
      <w:r w:rsidRPr="00A44C79">
        <w:rPr>
          <w:lang w:val="fr-FR"/>
        </w:rPr>
        <w:t>________</w:t>
      </w:r>
    </w:p>
    <w:p w:rsidR="007C6111" w:rsidRPr="00935E45" w:rsidRDefault="007C6111" w:rsidP="007C6111">
      <w:pPr>
        <w:pStyle w:val="SingleTxtG"/>
        <w:rPr>
          <w:i/>
          <w:lang w:val="en-GB"/>
        </w:rPr>
      </w:pPr>
      <w:r w:rsidRPr="00935E45">
        <w:rPr>
          <w:b/>
          <w:i/>
          <w:vertAlign w:val="superscript"/>
          <w:lang w:val="en-GB"/>
        </w:rPr>
        <w:t>3</w:t>
      </w:r>
      <w:r w:rsidRPr="00935E45">
        <w:rPr>
          <w:i/>
          <w:lang w:val="en-GB"/>
        </w:rP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7C6111" w:rsidRDefault="007C6111" w:rsidP="007C6111">
      <w:pPr>
        <w:pStyle w:val="SingleTxtG"/>
        <w:rPr>
          <w:lang w:val="en-GB"/>
        </w:rPr>
      </w:pPr>
      <w:r w:rsidRPr="0083728C">
        <w:rPr>
          <w:lang w:val="en-GB"/>
        </w:rPr>
        <w:t>2.2.9.1.</w:t>
      </w:r>
      <w:r w:rsidR="00332BC9">
        <w:rPr>
          <w:lang w:val="en-GB"/>
        </w:rPr>
        <w:t>10.2.6 (c)</w:t>
      </w:r>
      <w:r w:rsidR="00332BC9">
        <w:rPr>
          <w:lang w:val="en-GB"/>
        </w:rPr>
        <w:tab/>
        <w:t>Delete “or mixture”.</w:t>
      </w:r>
    </w:p>
    <w:p w:rsidR="00332BC9" w:rsidRPr="0083728C" w:rsidRDefault="00332BC9" w:rsidP="00AE5075">
      <w:pPr>
        <w:pStyle w:val="SingleTxtG"/>
        <w:tabs>
          <w:tab w:val="left" w:pos="2410"/>
        </w:tabs>
        <w:rPr>
          <w:lang w:val="en-GB"/>
        </w:rPr>
      </w:pPr>
      <w:r w:rsidRPr="0083728C">
        <w:rPr>
          <w:lang w:val="en-GB"/>
        </w:rPr>
        <w:t>2.2.9.1.10.3</w:t>
      </w:r>
      <w:r w:rsidRPr="0083728C">
        <w:rPr>
          <w:lang w:val="en-GB"/>
        </w:rPr>
        <w:tab/>
        <w:t>In the heading and in subparagraph (a), renumber the reference to the footnote after “1272/2008/EC” as 3. Footnote 3 reads as follows:</w:t>
      </w:r>
    </w:p>
    <w:p w:rsidR="00332BC9" w:rsidRPr="00935E45" w:rsidRDefault="00332BC9" w:rsidP="00332BC9">
      <w:pPr>
        <w:pStyle w:val="SingleTxtG"/>
        <w:rPr>
          <w:i/>
          <w:lang w:val="en-GB"/>
        </w:rPr>
      </w:pPr>
      <w:r w:rsidRPr="00935E45">
        <w:rPr>
          <w:i/>
          <w:lang w:val="en-GB"/>
        </w:rPr>
        <w:t>“</w:t>
      </w:r>
      <w:r w:rsidRPr="00935E45">
        <w:rPr>
          <w:b/>
          <w:i/>
          <w:vertAlign w:val="superscript"/>
          <w:lang w:val="en-GB"/>
        </w:rPr>
        <w:t>3</w:t>
      </w:r>
      <w:r w:rsidRPr="00935E45">
        <w:rPr>
          <w:i/>
          <w:lang w:val="en-GB"/>
        </w:rP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332BC9" w:rsidRPr="0083728C" w:rsidRDefault="00332BC9" w:rsidP="00332BC9">
      <w:pPr>
        <w:pStyle w:val="SingleTxtG"/>
        <w:rPr>
          <w:lang w:val="en-GB"/>
        </w:rPr>
      </w:pPr>
      <w:r w:rsidRPr="0083728C">
        <w:rPr>
          <w:lang w:val="en-GB"/>
        </w:rPr>
        <w:t>At the end of paragraph (a), delete: “or, if still relevant according to the said Regulation, risk phrase(s) R50, R50/53 or R51/53 according to the Directives 67/548/EEC</w:t>
      </w:r>
      <w:r w:rsidRPr="0083728C">
        <w:rPr>
          <w:vertAlign w:val="superscript"/>
          <w:lang w:val="en-GB"/>
        </w:rPr>
        <w:t>3</w:t>
      </w:r>
      <w:r w:rsidRPr="0083728C">
        <w:rPr>
          <w:lang w:val="en-GB"/>
        </w:rPr>
        <w:t xml:space="preserve"> or 1999/45/EC</w:t>
      </w:r>
      <w:r w:rsidRPr="0083728C">
        <w:rPr>
          <w:vertAlign w:val="superscript"/>
          <w:lang w:val="en-GB"/>
        </w:rPr>
        <w:t>4</w:t>
      </w:r>
      <w:r w:rsidRPr="0083728C">
        <w:rPr>
          <w:lang w:val="en-GB"/>
        </w:rPr>
        <w:t>”.</w:t>
      </w:r>
    </w:p>
    <w:p w:rsidR="00332BC9" w:rsidRPr="0083728C" w:rsidRDefault="00332BC9" w:rsidP="00332BC9">
      <w:pPr>
        <w:pStyle w:val="SingleTxtG"/>
        <w:rPr>
          <w:lang w:val="en-GB"/>
        </w:rPr>
      </w:pPr>
      <w:r w:rsidRPr="0083728C">
        <w:rPr>
          <w:lang w:val="en-GB"/>
        </w:rPr>
        <w:t>Amend paragraph (b) to read as follows: “(b)</w:t>
      </w:r>
      <w:r w:rsidRPr="0083728C">
        <w:rPr>
          <w:lang w:val="en-GB"/>
        </w:rPr>
        <w:tab/>
        <w:t>May be regarded as not being an environmentally hazardous substance (aquatic environment) if it does not have to be assigned such a category according to the said Regulation.”.</w:t>
      </w:r>
    </w:p>
    <w:p w:rsidR="00AE5075" w:rsidRPr="0083728C" w:rsidRDefault="00AE5075" w:rsidP="00AE5075">
      <w:pPr>
        <w:pStyle w:val="H23G"/>
        <w:rPr>
          <w:lang w:val="en-GB"/>
        </w:rPr>
      </w:pPr>
      <w:r w:rsidRPr="0083728C">
        <w:rPr>
          <w:lang w:val="en-GB"/>
        </w:rPr>
        <w:tab/>
      </w:r>
      <w:r w:rsidRPr="0083728C">
        <w:rPr>
          <w:lang w:val="en-GB"/>
        </w:rPr>
        <w:tab/>
        <w:t>Chapter 2.3</w:t>
      </w:r>
    </w:p>
    <w:p w:rsidR="00AE5075" w:rsidRDefault="00AE5075" w:rsidP="00AE5075">
      <w:pPr>
        <w:pStyle w:val="SingleTxtG"/>
        <w:rPr>
          <w:lang w:val="en-GB"/>
        </w:rPr>
      </w:pPr>
      <w:r w:rsidRPr="0083728C">
        <w:rPr>
          <w:lang w:val="en-GB"/>
        </w:rPr>
        <w:t>2.3.1.4</w:t>
      </w:r>
      <w:r w:rsidRPr="0083728C">
        <w:rPr>
          <w:lang w:val="en-GB"/>
        </w:rPr>
        <w:tab/>
      </w:r>
      <w:r w:rsidRPr="0083728C">
        <w:rPr>
          <w:lang w:val="en-GB"/>
        </w:rPr>
        <w:tab/>
        <w:t>In the figure, in the text corresponding to “Fig. 1 to 3”, replace “iron plate” by “lead plate”.</w:t>
      </w:r>
    </w:p>
    <w:p w:rsidR="00335DC4" w:rsidRPr="0083728C" w:rsidRDefault="00335DC4" w:rsidP="00335DC4">
      <w:pPr>
        <w:pStyle w:val="H23G"/>
        <w:rPr>
          <w:lang w:val="en-GB"/>
        </w:rPr>
      </w:pPr>
      <w:r w:rsidRPr="0083728C">
        <w:rPr>
          <w:lang w:val="en-GB"/>
        </w:rPr>
        <w:tab/>
      </w:r>
      <w:r w:rsidRPr="0083728C">
        <w:rPr>
          <w:lang w:val="en-GB"/>
        </w:rPr>
        <w:tab/>
        <w:t>Chapter 3.2</w:t>
      </w:r>
      <w:r>
        <w:rPr>
          <w:lang w:val="en-GB"/>
        </w:rPr>
        <w:t>, T</w:t>
      </w:r>
      <w:r w:rsidRPr="0083728C">
        <w:rPr>
          <w:lang w:val="en-GB"/>
        </w:rPr>
        <w:t>able A</w:t>
      </w:r>
    </w:p>
    <w:p w:rsidR="00335DC4" w:rsidRPr="0083728C" w:rsidRDefault="00335DC4" w:rsidP="00335DC4">
      <w:pPr>
        <w:pStyle w:val="SingleTxtG"/>
        <w:rPr>
          <w:lang w:val="en-GB"/>
        </w:rPr>
      </w:pPr>
      <w:r w:rsidRPr="0083728C">
        <w:rPr>
          <w:lang w:val="en-GB"/>
        </w:rPr>
        <w:t>For UN numbers 1133, 1139, 1169, 1197, 1210, 1263, 1266, 1286, 1287, 1306, 1866, 1993 and 1999, for each first entry for packing group III, in column (6), delete “640E”.</w:t>
      </w:r>
    </w:p>
    <w:p w:rsidR="00335DC4" w:rsidRDefault="00335DC4" w:rsidP="00AE5075">
      <w:pPr>
        <w:pStyle w:val="SingleTxtG"/>
        <w:rPr>
          <w:lang w:val="en-GB"/>
        </w:rPr>
      </w:pPr>
      <w:r w:rsidRPr="0083728C">
        <w:rPr>
          <w:lang w:val="en-GB"/>
        </w:rPr>
        <w:t>For UN Nos. 3166, 3171, 3528, 3529 and 3530, in column (6), insert “669”.</w:t>
      </w:r>
    </w:p>
    <w:p w:rsidR="006823B6" w:rsidRPr="0083728C" w:rsidRDefault="006823B6" w:rsidP="006823B6">
      <w:pPr>
        <w:pStyle w:val="H23G"/>
        <w:rPr>
          <w:lang w:val="en-GB"/>
        </w:rPr>
      </w:pPr>
      <w:r w:rsidRPr="0083728C">
        <w:rPr>
          <w:lang w:val="en-GB"/>
        </w:rPr>
        <w:tab/>
      </w:r>
      <w:r w:rsidRPr="0083728C">
        <w:rPr>
          <w:lang w:val="en-GB"/>
        </w:rPr>
        <w:tab/>
        <w:t xml:space="preserve">Chapter </w:t>
      </w:r>
      <w:r>
        <w:rPr>
          <w:lang w:val="en-GB"/>
        </w:rPr>
        <w:t>3</w:t>
      </w:r>
      <w:r w:rsidRPr="0083728C">
        <w:rPr>
          <w:lang w:val="en-GB"/>
        </w:rPr>
        <w:t>.3</w:t>
      </w:r>
    </w:p>
    <w:p w:rsidR="00335DC4" w:rsidRDefault="006823B6" w:rsidP="00AE5075">
      <w:pPr>
        <w:pStyle w:val="SingleTxtG"/>
        <w:rPr>
          <w:lang w:val="en-GB"/>
        </w:rPr>
      </w:pPr>
      <w:r w:rsidRPr="0083728C">
        <w:rPr>
          <w:lang w:val="en-GB"/>
        </w:rPr>
        <w:t>Special provision 342 (b)</w:t>
      </w:r>
      <w:r w:rsidRPr="0083728C">
        <w:rPr>
          <w:lang w:val="en-GB"/>
        </w:rPr>
        <w:tab/>
        <w:t>The amendment does not apply to the English text.</w:t>
      </w:r>
    </w:p>
    <w:p w:rsidR="006823B6" w:rsidRPr="0083728C" w:rsidRDefault="006823B6" w:rsidP="006823B6">
      <w:pPr>
        <w:pStyle w:val="SingleTxtG"/>
        <w:rPr>
          <w:lang w:val="en-GB"/>
        </w:rPr>
      </w:pPr>
      <w:r w:rsidRPr="0083728C">
        <w:rPr>
          <w:lang w:val="en-GB"/>
        </w:rPr>
        <w:t>Special provision 373 (a)</w:t>
      </w:r>
      <w:r w:rsidRPr="0083728C">
        <w:rPr>
          <w:lang w:val="en-GB"/>
        </w:rPr>
        <w:tab/>
        <w:t>In the Note after subparagraph (iii), replace “ISO 9001:2008” by “ISO 9001”.</w:t>
      </w:r>
    </w:p>
    <w:p w:rsidR="006823B6" w:rsidRPr="0083728C" w:rsidRDefault="006823B6" w:rsidP="006823B6">
      <w:pPr>
        <w:pStyle w:val="SingleTxtG"/>
        <w:rPr>
          <w:lang w:val="en-GB"/>
        </w:rPr>
      </w:pPr>
      <w:r w:rsidRPr="0083728C">
        <w:rPr>
          <w:lang w:val="en-GB"/>
        </w:rPr>
        <w:t>Special provision 528</w:t>
      </w:r>
      <w:r w:rsidRPr="0083728C">
        <w:rPr>
          <w:lang w:val="en-GB"/>
        </w:rPr>
        <w:tab/>
        <w:t>Replace “articles of Class 4.1” by “substances of Class 4.1”.</w:t>
      </w:r>
    </w:p>
    <w:p w:rsidR="006823B6" w:rsidRPr="0083728C" w:rsidRDefault="006823B6" w:rsidP="006823B6">
      <w:pPr>
        <w:pStyle w:val="SingleTxtG"/>
        <w:rPr>
          <w:lang w:val="en-GB"/>
        </w:rPr>
      </w:pPr>
      <w:r w:rsidRPr="0083728C">
        <w:rPr>
          <w:lang w:val="en-GB"/>
        </w:rPr>
        <w:t>Special provision 531</w:t>
      </w:r>
      <w:r w:rsidRPr="0083728C">
        <w:rPr>
          <w:lang w:val="en-GB"/>
        </w:rPr>
        <w:tab/>
        <w:t>After “Class 4.1”, insert “(UN Nos. 2555, 2556 or 2557)”.</w:t>
      </w:r>
    </w:p>
    <w:p w:rsidR="006823B6" w:rsidRPr="0083728C" w:rsidRDefault="006823B6" w:rsidP="006823B6">
      <w:pPr>
        <w:pStyle w:val="SingleTxtG"/>
        <w:rPr>
          <w:lang w:val="en-GB"/>
        </w:rPr>
      </w:pPr>
      <w:r w:rsidRPr="0083728C">
        <w:rPr>
          <w:lang w:val="en-GB"/>
        </w:rPr>
        <w:t>Special provision 592</w:t>
      </w:r>
      <w:r w:rsidRPr="0083728C">
        <w:rPr>
          <w:lang w:val="en-GB"/>
        </w:rPr>
        <w:tab/>
        <w:t>The amendment does not apply to the English text.</w:t>
      </w:r>
    </w:p>
    <w:p w:rsidR="00825170" w:rsidRPr="0083728C" w:rsidRDefault="00825170" w:rsidP="00825170">
      <w:pPr>
        <w:pStyle w:val="SingleTxtG"/>
        <w:rPr>
          <w:lang w:val="en-GB"/>
        </w:rPr>
      </w:pPr>
      <w:r w:rsidRPr="0083728C">
        <w:rPr>
          <w:lang w:val="en-GB"/>
        </w:rPr>
        <w:t>Special provision 636 (b)</w:t>
      </w:r>
      <w:r w:rsidRPr="0083728C">
        <w:rPr>
          <w:lang w:val="en-GB"/>
        </w:rPr>
        <w:tab/>
        <w:t>Amend the text before subparagraph (i) to read as follows:</w:t>
      </w:r>
    </w:p>
    <w:p w:rsidR="00825170" w:rsidRPr="0083728C" w:rsidRDefault="00825170" w:rsidP="00825170">
      <w:pPr>
        <w:pStyle w:val="SingleTxtG"/>
        <w:rPr>
          <w:rFonts w:eastAsia="MS Mincho"/>
          <w:lang w:val="en-GB" w:eastAsia="nl-NL"/>
        </w:rPr>
      </w:pPr>
      <w:r w:rsidRPr="0083728C">
        <w:rPr>
          <w:rFonts w:eastAsia="MS Mincho"/>
          <w:lang w:val="en-GB" w:eastAsia="nl-NL"/>
        </w:rPr>
        <w:t>“(b)</w:t>
      </w:r>
      <w:r w:rsidRPr="0083728C">
        <w:rPr>
          <w:rFonts w:eastAsia="MS Mincho"/>
          <w:lang w:val="en-GB" w:eastAsia="nl-NL"/>
        </w:rPr>
        <w:tab/>
        <w:t>Up to the intermediate processing facility:</w:t>
      </w:r>
    </w:p>
    <w:p w:rsidR="00825170" w:rsidRPr="0083728C" w:rsidRDefault="00825170" w:rsidP="00825170">
      <w:pPr>
        <w:pStyle w:val="Bullet1G"/>
        <w:numPr>
          <w:ilvl w:val="0"/>
          <w:numId w:val="5"/>
        </w:numPr>
        <w:tabs>
          <w:tab w:val="left" w:pos="708"/>
        </w:tabs>
        <w:suppressAutoHyphens w:val="0"/>
        <w:spacing w:line="240" w:lineRule="auto"/>
        <w:rPr>
          <w:rFonts w:eastAsia="MS Mincho"/>
          <w:lang w:val="en-GB" w:eastAsia="nl-NL"/>
        </w:rPr>
      </w:pPr>
      <w:r w:rsidRPr="0083728C">
        <w:rPr>
          <w:rFonts w:eastAsia="MS Mincho"/>
          <w:lang w:val="en-GB" w:eastAsia="nl-NL"/>
        </w:rPr>
        <w:lastRenderedPageBreak/>
        <w:t>lithium cells and batteries with a gross mass of not more than 500 g each or lithium ion cells with a Watt-hour rating of not more than 20 Wh, lithium ion batteries with a Watt-hour rating of not more than 100 Wh, lithium metal cells with a lithium content of not more than 1 g and lithium metal batteries with an aggregate lithium content of not more than 2 g, not contained in equipment, collected and handed over for carriage for sorting, disposal or recycling; as well as</w:t>
      </w:r>
    </w:p>
    <w:p w:rsidR="00825170" w:rsidRPr="0083728C" w:rsidRDefault="00825170" w:rsidP="00825170">
      <w:pPr>
        <w:pStyle w:val="Bullet1G"/>
        <w:numPr>
          <w:ilvl w:val="0"/>
          <w:numId w:val="5"/>
        </w:numPr>
        <w:tabs>
          <w:tab w:val="left" w:pos="708"/>
        </w:tabs>
        <w:suppressAutoHyphens w:val="0"/>
        <w:spacing w:line="240" w:lineRule="auto"/>
        <w:rPr>
          <w:rFonts w:eastAsia="MS Mincho"/>
          <w:lang w:val="en-GB" w:eastAsia="nl-NL"/>
        </w:rPr>
      </w:pPr>
      <w:r w:rsidRPr="0083728C">
        <w:rPr>
          <w:rFonts w:eastAsia="MS Mincho"/>
          <w:lang w:val="en-GB" w:eastAsia="nl-NL"/>
        </w:rPr>
        <w:t>lithium cells and batteries contained in equipment from private households collected and handed over for carriage for depollution, dismantling, recycling or disposal.</w:t>
      </w:r>
    </w:p>
    <w:p w:rsidR="00825170" w:rsidRPr="0083728C" w:rsidRDefault="00825170" w:rsidP="00825170">
      <w:pPr>
        <w:pStyle w:val="SingleTxtG"/>
        <w:ind w:left="2127"/>
        <w:rPr>
          <w:rFonts w:eastAsia="MS Mincho"/>
          <w:i/>
          <w:lang w:val="en-GB" w:eastAsia="nl-NL"/>
        </w:rPr>
      </w:pPr>
      <w:r w:rsidRPr="0083728C">
        <w:rPr>
          <w:rFonts w:eastAsia="MS Mincho"/>
          <w:b/>
          <w:i/>
          <w:lang w:val="en-GB" w:eastAsia="nl-NL"/>
        </w:rPr>
        <w:t>NOTE:</w:t>
      </w:r>
      <w:r w:rsidRPr="0083728C">
        <w:rPr>
          <w:rFonts w:eastAsia="MS Mincho"/>
          <w:b/>
          <w:i/>
          <w:lang w:val="en-GB" w:eastAsia="nl-NL"/>
        </w:rPr>
        <w:tab/>
      </w:r>
      <w:r w:rsidRPr="0083728C">
        <w:rPr>
          <w:rFonts w:eastAsia="MS Mincho"/>
          <w:i/>
          <w:lang w:val="en-GB"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rsidR="00825170" w:rsidRPr="0083728C" w:rsidRDefault="00825170" w:rsidP="00825170">
      <w:pPr>
        <w:pStyle w:val="SingleTxtG"/>
        <w:ind w:left="1701"/>
        <w:rPr>
          <w:rFonts w:eastAsia="MS Mincho"/>
          <w:lang w:val="en-GB" w:eastAsia="nl-NL"/>
        </w:rPr>
      </w:pPr>
      <w:r w:rsidRPr="0083728C">
        <w:rPr>
          <w:rFonts w:eastAsia="MS Mincho"/>
          <w:lang w:val="en-GB" w:eastAsia="nl-NL"/>
        </w:rPr>
        <w:t>are not subject to the other provisions of ADN including special provision 376 and paragraph 2.2.9.1.7, if they meet the following conditions:”.</w:t>
      </w:r>
    </w:p>
    <w:p w:rsidR="00825170" w:rsidRPr="0083728C" w:rsidRDefault="00825170" w:rsidP="00825170">
      <w:pPr>
        <w:pStyle w:val="SingleTxtG"/>
        <w:rPr>
          <w:rFonts w:eastAsia="MS Mincho"/>
          <w:u w:val="single"/>
          <w:lang w:val="en-GB" w:eastAsia="nl-NL"/>
        </w:rPr>
      </w:pPr>
      <w:r w:rsidRPr="0083728C">
        <w:rPr>
          <w:lang w:val="en-GB"/>
        </w:rPr>
        <w:t>Special provision 636 (b)</w:t>
      </w:r>
      <w:r w:rsidRPr="0083728C">
        <w:rPr>
          <w:lang w:val="en-GB"/>
        </w:rPr>
        <w:tab/>
        <w:t>Amend subparagraph (iii) to read as follows:</w:t>
      </w:r>
    </w:p>
    <w:p w:rsidR="00825170" w:rsidRPr="0083728C" w:rsidRDefault="00825170" w:rsidP="0003028E">
      <w:pPr>
        <w:pStyle w:val="SingleTxtG"/>
        <w:ind w:left="1701" w:hanging="567"/>
        <w:rPr>
          <w:rFonts w:eastAsia="MS Mincho"/>
          <w:lang w:val="en-GB" w:eastAsia="nl-NL"/>
        </w:rPr>
      </w:pPr>
      <w:r w:rsidRPr="0083728C">
        <w:rPr>
          <w:rFonts w:eastAsia="MS Mincho"/>
          <w:i/>
          <w:lang w:val="en-GB" w:eastAsia="nl-NL"/>
        </w:rPr>
        <w:t>“</w:t>
      </w:r>
      <w:r w:rsidRPr="0083728C">
        <w:rPr>
          <w:rFonts w:eastAsia="MS Mincho"/>
          <w:lang w:val="en-GB" w:eastAsia="nl-NL"/>
        </w:rPr>
        <w:t>(iii)</w:t>
      </w:r>
      <w:r w:rsidRPr="0083728C">
        <w:rPr>
          <w:rFonts w:eastAsia="MS Mincho"/>
          <w:lang w:val="en-GB" w:eastAsia="nl-NL"/>
        </w:rPr>
        <w:tab/>
        <w:t>Packages are marked “LITHIUM BATTERIES FOR DISPOSAL” or “LITHIUM BATTERIES FOR RECYCLING” as appropriate.</w:t>
      </w:r>
    </w:p>
    <w:p w:rsidR="00825170" w:rsidRDefault="00825170" w:rsidP="00825170">
      <w:pPr>
        <w:pStyle w:val="SingleTxtG"/>
        <w:ind w:left="1701"/>
        <w:rPr>
          <w:rFonts w:eastAsia="MS Mincho"/>
          <w:lang w:val="en-GB" w:eastAsia="nl-NL"/>
        </w:rPr>
      </w:pPr>
      <w:r w:rsidRPr="0083728C">
        <w:rPr>
          <w:rFonts w:eastAsia="MS Mincho"/>
          <w:lang w:val="en-GB" w:eastAsia="nl-NL"/>
        </w:rPr>
        <w:t>If equipment containing lithium cells or batteries is carried unpackaged or on pallets in accordance with packing instruction P 909 (3) of 4.1.4.1 of ADR, this mark may alternatively be affixed to the external surface of the vehicles or containers.”.</w:t>
      </w:r>
    </w:p>
    <w:p w:rsidR="00825170" w:rsidRPr="00825170" w:rsidRDefault="00825170" w:rsidP="00825170">
      <w:pPr>
        <w:pStyle w:val="SingleTxtG"/>
        <w:rPr>
          <w:lang w:val="en-GB"/>
        </w:rPr>
      </w:pPr>
      <w:r w:rsidRPr="0083728C">
        <w:rPr>
          <w:lang w:val="en-GB"/>
        </w:rPr>
        <w:t>Add the following new special provision:</w:t>
      </w:r>
    </w:p>
    <w:p w:rsidR="00335DC4" w:rsidRDefault="00825170" w:rsidP="00AE5075">
      <w:pPr>
        <w:pStyle w:val="SingleTxtG"/>
        <w:rPr>
          <w:lang w:val="en-GB"/>
        </w:rPr>
      </w:pPr>
      <w:r w:rsidRPr="0083728C">
        <w:rPr>
          <w:lang w:val="en-GB"/>
        </w:rPr>
        <w:t>“669</w:t>
      </w:r>
      <w:r w:rsidRPr="0083728C">
        <w:rPr>
          <w:lang w:val="en-GB"/>
        </w:rPr>
        <w:tab/>
      </w:r>
      <w:r>
        <w:rPr>
          <w:lang w:val="en-GB"/>
        </w:rPr>
        <w:t>A trailer fitted with equipment</w:t>
      </w:r>
      <w:r w:rsidRPr="0083728C">
        <w:rPr>
          <w:lang w:val="en-GB"/>
        </w:rPr>
        <w:t xml:space="preserve"> powered by a liquid or gaseous fuel or an electric energy storage and production system, that is intended for use during carriage operated by this trailer as a part of a transport unit, shall be assigned to UN Nos. 3166 or 3171 and be subject to the same conditions as specified for these UN Nos., when carried as a load on a </w:t>
      </w:r>
      <w:r>
        <w:rPr>
          <w:lang w:val="en-GB"/>
        </w:rPr>
        <w:t>vessel</w:t>
      </w:r>
      <w:r w:rsidRPr="0083728C">
        <w:rPr>
          <w:lang w:val="en-GB"/>
        </w:rPr>
        <w:t>, provided that the total capacity of the tanks containing liquid fuel does not exceed 500 litres.”.</w:t>
      </w:r>
    </w:p>
    <w:p w:rsidR="00825170" w:rsidRPr="0083728C" w:rsidRDefault="00825170" w:rsidP="00825170">
      <w:pPr>
        <w:pStyle w:val="H23G"/>
        <w:rPr>
          <w:lang w:val="en-GB"/>
        </w:rPr>
      </w:pPr>
      <w:r w:rsidRPr="0083728C">
        <w:rPr>
          <w:lang w:val="en-GB"/>
        </w:rPr>
        <w:tab/>
      </w:r>
      <w:r w:rsidRPr="0083728C">
        <w:rPr>
          <w:lang w:val="en-GB"/>
        </w:rPr>
        <w:tab/>
        <w:t>Chapter 5.2</w:t>
      </w:r>
    </w:p>
    <w:p w:rsidR="00825170" w:rsidRPr="00825170" w:rsidRDefault="00825170" w:rsidP="00825170">
      <w:pPr>
        <w:pStyle w:val="SingleTxtG"/>
        <w:tabs>
          <w:tab w:val="left" w:pos="1854"/>
        </w:tabs>
        <w:rPr>
          <w:lang w:val="en-GB"/>
        </w:rPr>
      </w:pPr>
      <w:r w:rsidRPr="0083728C">
        <w:rPr>
          <w:lang w:val="en-GB"/>
        </w:rPr>
        <w:t>5.2.1.7.4</w:t>
      </w:r>
      <w:r w:rsidRPr="0083728C">
        <w:rPr>
          <w:lang w:val="en-GB"/>
        </w:rPr>
        <w:tab/>
        <w:t xml:space="preserve"> (c)</w:t>
      </w:r>
      <w:r w:rsidRPr="0083728C">
        <w:rPr>
          <w:lang w:val="en-GB"/>
        </w:rPr>
        <w:tab/>
        <w:t>Replace “with the international vehicle registration code (VRI-Code)</w:t>
      </w:r>
      <w:r w:rsidRPr="0083728C">
        <w:rPr>
          <w:b/>
          <w:vertAlign w:val="superscript"/>
          <w:lang w:val="en-GB"/>
        </w:rPr>
        <w:t xml:space="preserve"> 2</w:t>
      </w:r>
      <w:r w:rsidRPr="0083728C">
        <w:rPr>
          <w:lang w:val="en-GB"/>
        </w:rPr>
        <w:t>” by “with the distinguishing sign used on vehicles in international road traffic</w:t>
      </w:r>
      <w:r w:rsidRPr="0083728C">
        <w:rPr>
          <w:b/>
          <w:vertAlign w:val="superscript"/>
          <w:lang w:val="en-GB"/>
        </w:rPr>
        <w:t>2</w:t>
      </w:r>
      <w:r w:rsidRPr="0083728C">
        <w:rPr>
          <w:lang w:val="en-GB"/>
        </w:rPr>
        <w:t xml:space="preserve">”. </w:t>
      </w:r>
      <w:r w:rsidRPr="00825170">
        <w:rPr>
          <w:lang w:val="en-GB"/>
        </w:rPr>
        <w:t>Amend footnote 2 to read as follows:</w:t>
      </w:r>
    </w:p>
    <w:p w:rsidR="00825170" w:rsidRPr="00935E45" w:rsidRDefault="00825170" w:rsidP="00825170">
      <w:pPr>
        <w:pStyle w:val="SingleTxtG"/>
        <w:tabs>
          <w:tab w:val="left" w:pos="1854"/>
        </w:tabs>
        <w:rPr>
          <w:i/>
          <w:lang w:val="en-GB"/>
        </w:rPr>
      </w:pPr>
      <w:r w:rsidRPr="00935E45">
        <w:rPr>
          <w:i/>
          <w:lang w:val="en-GB"/>
        </w:rPr>
        <w:t>“</w:t>
      </w:r>
      <w:r w:rsidRPr="00935E45">
        <w:rPr>
          <w:b/>
          <w:i/>
          <w:vertAlign w:val="superscript"/>
          <w:lang w:val="en-GB"/>
        </w:rPr>
        <w:t>2</w:t>
      </w:r>
      <w:r w:rsidRPr="00935E45">
        <w:rPr>
          <w:i/>
          <w:lang w:val="en-GB"/>
        </w:rPr>
        <w:tab/>
        <w:t>Distinguishing sign of the State of registration used on motor vehicles and trailers in international road traffic, e.g. in accordance with the Geneva Convention on Road Traffic of 1949 or the Vienna Convention on Road Traffic of 1968.”.</w:t>
      </w:r>
    </w:p>
    <w:p w:rsidR="00825170" w:rsidRDefault="00825170" w:rsidP="00825170">
      <w:pPr>
        <w:pStyle w:val="SingleTxtG"/>
        <w:rPr>
          <w:lang w:val="en-GB"/>
        </w:rPr>
      </w:pPr>
      <w:r w:rsidRPr="0083728C">
        <w:rPr>
          <w:lang w:val="en-GB"/>
        </w:rPr>
        <w:t>5.2.2.2.2</w:t>
      </w:r>
      <w:r w:rsidRPr="0083728C">
        <w:rPr>
          <w:lang w:val="en-GB"/>
        </w:rPr>
        <w:tab/>
        <w:t>Amend the title of label No. 4.1 to read as follows: “CLASS 4.1 HAZARD Flammable solids, self-reactive substances, polymerizing substances and solid desensitized explosives”.</w:t>
      </w:r>
    </w:p>
    <w:p w:rsidR="00775AED" w:rsidRPr="0083728C" w:rsidRDefault="00775AED" w:rsidP="00775AED">
      <w:pPr>
        <w:pStyle w:val="H23G"/>
        <w:rPr>
          <w:lang w:val="en-GB"/>
        </w:rPr>
      </w:pPr>
      <w:r w:rsidRPr="0083728C">
        <w:rPr>
          <w:lang w:val="en-GB"/>
        </w:rPr>
        <w:tab/>
      </w:r>
      <w:r w:rsidRPr="0083728C">
        <w:rPr>
          <w:lang w:val="en-GB"/>
        </w:rPr>
        <w:tab/>
        <w:t>Chapter 5.</w:t>
      </w:r>
      <w:r>
        <w:rPr>
          <w:lang w:val="en-GB"/>
        </w:rPr>
        <w:t>4</w:t>
      </w:r>
    </w:p>
    <w:p w:rsidR="00775AED" w:rsidRPr="0083728C" w:rsidRDefault="00775AED" w:rsidP="00775AED">
      <w:pPr>
        <w:pStyle w:val="SingleTxtG"/>
        <w:rPr>
          <w:lang w:val="en-GB"/>
        </w:rPr>
      </w:pPr>
      <w:r w:rsidRPr="0083728C">
        <w:rPr>
          <w:lang w:val="en-GB"/>
        </w:rPr>
        <w:t>5.4.1.1.11</w:t>
      </w:r>
      <w:r w:rsidRPr="0083728C">
        <w:rPr>
          <w:lang w:val="en-GB"/>
        </w:rPr>
        <w:tab/>
        <w:t>Amend to read as follows:</w:t>
      </w:r>
    </w:p>
    <w:p w:rsidR="00775AED" w:rsidRPr="0083728C" w:rsidRDefault="00775AED" w:rsidP="00775AED">
      <w:pPr>
        <w:pStyle w:val="SingleTxtG"/>
        <w:rPr>
          <w:lang w:val="en-GB"/>
        </w:rPr>
      </w:pPr>
      <w:r w:rsidRPr="0083728C">
        <w:rPr>
          <w:lang w:val="en-GB"/>
        </w:rPr>
        <w:t>“5.4.1.1.11</w:t>
      </w:r>
      <w:r w:rsidRPr="0083728C">
        <w:rPr>
          <w:lang w:val="en-GB"/>
        </w:rPr>
        <w:tab/>
      </w:r>
      <w:r w:rsidRPr="0083728C">
        <w:rPr>
          <w:bCs/>
          <w:i/>
          <w:lang w:val="en-GB"/>
        </w:rPr>
        <w:t xml:space="preserve">Special provisions for the carriage of IBCs, tanks, battery-vehicles, portable tanks and MEGCs after the date of expiry of </w:t>
      </w:r>
      <w:r w:rsidRPr="0083728C">
        <w:rPr>
          <w:i/>
          <w:lang w:val="en-GB"/>
        </w:rPr>
        <w:t>the</w:t>
      </w:r>
      <w:r w:rsidRPr="0083728C">
        <w:rPr>
          <w:bCs/>
          <w:i/>
          <w:lang w:val="en-GB"/>
        </w:rPr>
        <w:t xml:space="preserve"> last periodic test or inspection</w:t>
      </w:r>
    </w:p>
    <w:p w:rsidR="00775AED" w:rsidRPr="0083728C" w:rsidRDefault="00935E45" w:rsidP="00775AED">
      <w:pPr>
        <w:pStyle w:val="SingleTxtG"/>
        <w:rPr>
          <w:lang w:val="en-GB"/>
        </w:rPr>
      </w:pPr>
      <w:r>
        <w:rPr>
          <w:lang w:val="en-GB"/>
        </w:rPr>
        <w:lastRenderedPageBreak/>
        <w:tab/>
      </w:r>
      <w:r w:rsidR="00775AED" w:rsidRPr="0083728C">
        <w:rPr>
          <w:lang w:val="en-GB"/>
        </w:rPr>
        <w:t>For carriage in accordance with 4.1.2.2 (b), 4.3.2.3.7 (b), 6.7.2.19.6 (b), 6.7.3.15.6 (b) or 6.7.4.14.6 (b) of ADR (or RID), a statement to this effect shall be included in the transport document, as follows:</w:t>
      </w:r>
    </w:p>
    <w:p w:rsidR="00775AED" w:rsidRPr="0083728C" w:rsidRDefault="00775AED" w:rsidP="00935E45">
      <w:pPr>
        <w:pStyle w:val="SingleTxtG"/>
        <w:rPr>
          <w:lang w:val="en-GB"/>
        </w:rPr>
      </w:pPr>
      <w:r w:rsidRPr="0083728C">
        <w:rPr>
          <w:lang w:val="en-GB"/>
        </w:rPr>
        <w:t>“CARRIAGE IN ACCORDANCE WITH 4.1.2.2 (b) of ADR (or RID)”,</w:t>
      </w:r>
    </w:p>
    <w:p w:rsidR="00775AED" w:rsidRPr="0083728C" w:rsidRDefault="00775AED" w:rsidP="00935E45">
      <w:pPr>
        <w:pStyle w:val="SingleTxtG"/>
        <w:rPr>
          <w:lang w:val="en-GB"/>
        </w:rPr>
      </w:pPr>
      <w:r w:rsidRPr="0083728C">
        <w:rPr>
          <w:lang w:val="en-GB"/>
        </w:rPr>
        <w:t>“CARRIAGE IN ACCORDANCE WITH 4.3.2.3.7 (b) of ADR (or RID)”,</w:t>
      </w:r>
    </w:p>
    <w:p w:rsidR="00775AED" w:rsidRPr="0083728C" w:rsidRDefault="00775AED" w:rsidP="00935E45">
      <w:pPr>
        <w:pStyle w:val="SingleTxtG"/>
        <w:rPr>
          <w:lang w:val="en-GB"/>
        </w:rPr>
      </w:pPr>
      <w:r w:rsidRPr="0083728C">
        <w:rPr>
          <w:lang w:val="en-GB"/>
        </w:rPr>
        <w:t>“CARRIAGE IN ACCORDANCE WITH 6.7.2.19.6 (b) of ADR (or RID)”,</w:t>
      </w:r>
    </w:p>
    <w:p w:rsidR="00775AED" w:rsidRPr="0083728C" w:rsidRDefault="00775AED" w:rsidP="00935E45">
      <w:pPr>
        <w:pStyle w:val="SingleTxtG"/>
        <w:rPr>
          <w:lang w:val="en-GB"/>
        </w:rPr>
      </w:pPr>
      <w:r w:rsidRPr="0083728C">
        <w:rPr>
          <w:lang w:val="en-GB"/>
        </w:rPr>
        <w:t xml:space="preserve">“CARRIAGE IN ACCORDANCE WITH 6.7.3.15.6 (b) of ADR (or RID)”; or </w:t>
      </w:r>
    </w:p>
    <w:p w:rsidR="00775AED" w:rsidRPr="0083728C" w:rsidRDefault="00775AED" w:rsidP="00935E45">
      <w:pPr>
        <w:pStyle w:val="SingleTxtG"/>
        <w:rPr>
          <w:lang w:val="en-GB"/>
        </w:rPr>
      </w:pPr>
      <w:r w:rsidRPr="0083728C">
        <w:rPr>
          <w:lang w:val="en-GB"/>
        </w:rPr>
        <w:t>“CARRIAGE IN ACCORDANCE WITH 6.7.4.14.6 (b) of ADR (or RID)” as appropriate.</w:t>
      </w:r>
      <w:r>
        <w:rPr>
          <w:lang w:val="en-GB"/>
        </w:rPr>
        <w:t>”.</w:t>
      </w:r>
    </w:p>
    <w:p w:rsidR="00775AED" w:rsidRPr="0083728C" w:rsidRDefault="00775AED" w:rsidP="00775AED">
      <w:pPr>
        <w:pStyle w:val="SingleTxtG"/>
        <w:tabs>
          <w:tab w:val="left" w:pos="1854"/>
        </w:tabs>
        <w:rPr>
          <w:lang w:val="en-GB"/>
        </w:rPr>
      </w:pPr>
      <w:r w:rsidRPr="0083728C">
        <w:rPr>
          <w:lang w:val="en-GB"/>
        </w:rPr>
        <w:t>5.4.1.2.1</w:t>
      </w:r>
      <w:r w:rsidRPr="0083728C">
        <w:rPr>
          <w:lang w:val="en-GB"/>
        </w:rPr>
        <w:tab/>
      </w:r>
      <w:r w:rsidRPr="0083728C">
        <w:rPr>
          <w:lang w:val="en-GB"/>
        </w:rPr>
        <w:tab/>
        <w:t>In Note 2, replace “indicated by the distinguishing sign for motor vehicles in international traffic (XX)</w:t>
      </w:r>
      <w:r w:rsidRPr="0083728C">
        <w:rPr>
          <w:b/>
          <w:vertAlign w:val="superscript"/>
          <w:lang w:val="en-GB"/>
        </w:rPr>
        <w:t>3</w:t>
      </w:r>
      <w:r w:rsidRPr="0083728C">
        <w:rPr>
          <w:lang w:val="en-GB"/>
        </w:rPr>
        <w:t>” by “indicated by the distinguishing sign used on vehicles in international road traffic (XX)</w:t>
      </w:r>
      <w:r w:rsidRPr="0083728C">
        <w:rPr>
          <w:b/>
          <w:vertAlign w:val="superscript"/>
          <w:lang w:val="en-GB"/>
        </w:rPr>
        <w:t>3</w:t>
      </w:r>
      <w:r w:rsidRPr="0083728C">
        <w:rPr>
          <w:lang w:val="en-GB"/>
        </w:rPr>
        <w:t>”. Amend footnote 3 to read as follows:</w:t>
      </w:r>
    </w:p>
    <w:p w:rsidR="00775AED" w:rsidRPr="00935E45" w:rsidRDefault="00775AED" w:rsidP="00775AED">
      <w:pPr>
        <w:pStyle w:val="SingleTxtG"/>
        <w:rPr>
          <w:i/>
          <w:lang w:val="en-GB"/>
        </w:rPr>
      </w:pPr>
      <w:r w:rsidRPr="00935E45">
        <w:rPr>
          <w:i/>
          <w:lang w:val="en-GB"/>
        </w:rPr>
        <w:t>“</w:t>
      </w:r>
      <w:r w:rsidRPr="00935E45">
        <w:rPr>
          <w:b/>
          <w:i/>
          <w:vertAlign w:val="superscript"/>
          <w:lang w:val="en-GB"/>
        </w:rPr>
        <w:t>3</w:t>
      </w:r>
      <w:r w:rsidRPr="00935E45">
        <w:rPr>
          <w:i/>
          <w:lang w:val="en-GB"/>
        </w:rPr>
        <w:tab/>
        <w:t>Distinguishing sign of the State of registration used on motor vehicles and trailers in international road traffic, e.g. in accordance with the Geneva Convention on Road Traffic of 1949 or the Vienna Convention on Road Traffic of 1968.”.</w:t>
      </w:r>
    </w:p>
    <w:p w:rsidR="002E457A" w:rsidRDefault="00775AED" w:rsidP="002E457A">
      <w:pPr>
        <w:pStyle w:val="SingleTxtG"/>
        <w:rPr>
          <w:lang w:val="en-GB"/>
        </w:rPr>
      </w:pPr>
      <w:r w:rsidRPr="0083728C">
        <w:rPr>
          <w:lang w:val="en-GB"/>
        </w:rPr>
        <w:t>5.4.2</w:t>
      </w:r>
      <w:r w:rsidRPr="0083728C">
        <w:rPr>
          <w:lang w:val="en-GB"/>
        </w:rPr>
        <w:tab/>
        <w:t>After the Note, add the following new paragraph:</w:t>
      </w:r>
    </w:p>
    <w:p w:rsidR="00775AED" w:rsidRPr="0083728C" w:rsidRDefault="00775AED" w:rsidP="002E457A">
      <w:pPr>
        <w:pStyle w:val="SingleTxtG"/>
        <w:rPr>
          <w:lang w:val="en-GB"/>
        </w:rPr>
      </w:pPr>
      <w:r w:rsidRPr="0083728C">
        <w:rPr>
          <w:lang w:val="en-GB"/>
        </w:rPr>
        <w:t>“If the carriage of dangerous goods in a vehicle precedes a voyage by sea, a "container/vehicle packing certificate" conforming to section 5.4.2 of the IMDG Code</w:t>
      </w:r>
      <w:r w:rsidRPr="0083728C">
        <w:rPr>
          <w:b/>
          <w:vertAlign w:val="superscript"/>
          <w:lang w:val="en-GB"/>
        </w:rPr>
        <w:t>5, 6</w:t>
      </w:r>
      <w:r w:rsidRPr="0083728C">
        <w:rPr>
          <w:lang w:val="en-GB"/>
        </w:rPr>
        <w:t xml:space="preserve"> may be provided with the transport document.”.</w:t>
      </w:r>
    </w:p>
    <w:p w:rsidR="00775AED" w:rsidRPr="0083728C" w:rsidRDefault="00775AED" w:rsidP="00775AED">
      <w:pPr>
        <w:pStyle w:val="SingleTxtG"/>
        <w:rPr>
          <w:lang w:val="en-GB"/>
        </w:rPr>
      </w:pPr>
      <w:r w:rsidRPr="0083728C">
        <w:rPr>
          <w:lang w:val="en-GB"/>
        </w:rPr>
        <w:t>5.4.2</w:t>
      </w:r>
      <w:r w:rsidRPr="0083728C">
        <w:rPr>
          <w:lang w:val="en-GB"/>
        </w:rPr>
        <w:tab/>
        <w:t>At the end of footnote 5, replace “(“IMO/ILO/UNECE Guidelines for Packing of Cargo Transport Units (CTUs)”)” by “(“IMO/ILO/UNECE Code of Practice for Packing of Cargo Transport Units (CTU Code)”)”.</w:t>
      </w:r>
    </w:p>
    <w:p w:rsidR="00775AED" w:rsidRPr="0083728C" w:rsidRDefault="00775AED" w:rsidP="00775AED">
      <w:pPr>
        <w:pStyle w:val="SingleTxtG"/>
        <w:rPr>
          <w:lang w:val="en-GB"/>
        </w:rPr>
      </w:pPr>
      <w:r w:rsidRPr="0083728C">
        <w:rPr>
          <w:lang w:val="en-GB"/>
        </w:rPr>
        <w:t>5.4.2</w:t>
      </w:r>
      <w:r w:rsidRPr="0083728C">
        <w:rPr>
          <w:lang w:val="en-GB"/>
        </w:rPr>
        <w:tab/>
        <w:t>In footnote 6:</w:t>
      </w:r>
    </w:p>
    <w:p w:rsidR="00775AED" w:rsidRPr="0083728C" w:rsidRDefault="00775AED" w:rsidP="00775AED">
      <w:pPr>
        <w:pStyle w:val="SingleTxtG"/>
        <w:ind w:left="1701"/>
        <w:rPr>
          <w:lang w:val="en-GB"/>
        </w:rPr>
      </w:pPr>
      <w:r w:rsidRPr="0083728C">
        <w:rPr>
          <w:lang w:val="en-GB"/>
        </w:rPr>
        <w:t>-</w:t>
      </w:r>
      <w:r w:rsidRPr="0083728C">
        <w:rPr>
          <w:lang w:val="en-GB"/>
        </w:rPr>
        <w:tab/>
        <w:t>At the beginning, after “IMDG Code”, add “(Amendment 38-16)”;</w:t>
      </w:r>
    </w:p>
    <w:p w:rsidR="00775AED" w:rsidRPr="0083728C" w:rsidRDefault="00775AED" w:rsidP="00775AED">
      <w:pPr>
        <w:pStyle w:val="SingleTxtG"/>
        <w:ind w:left="1701"/>
        <w:rPr>
          <w:lang w:val="en-GB"/>
        </w:rPr>
      </w:pPr>
      <w:r w:rsidRPr="0083728C">
        <w:rPr>
          <w:lang w:val="en-GB"/>
        </w:rPr>
        <w:t>-</w:t>
      </w:r>
      <w:r w:rsidRPr="0083728C">
        <w:rPr>
          <w:lang w:val="en-GB"/>
        </w:rPr>
        <w:tab/>
        <w:t xml:space="preserve">In 2, replace “7.2.2.3” by “7.3.4.1”; </w:t>
      </w:r>
    </w:p>
    <w:p w:rsidR="00775AED" w:rsidRPr="0083728C" w:rsidRDefault="00775AED" w:rsidP="00775AED">
      <w:pPr>
        <w:pStyle w:val="SingleTxtG"/>
        <w:ind w:left="1701"/>
        <w:rPr>
          <w:lang w:val="en-GB"/>
        </w:rPr>
      </w:pPr>
      <w:r w:rsidRPr="0083728C">
        <w:rPr>
          <w:lang w:val="en-GB"/>
        </w:rPr>
        <w:t>-</w:t>
      </w:r>
      <w:r w:rsidRPr="0083728C">
        <w:rPr>
          <w:lang w:val="en-GB"/>
        </w:rPr>
        <w:tab/>
        <w:t xml:space="preserve">In 6, replace “in conformity with 7.4.6” by “in accordance with 7.1.2”; </w:t>
      </w:r>
    </w:p>
    <w:p w:rsidR="00775AED" w:rsidRPr="0083728C" w:rsidRDefault="00775AED" w:rsidP="00775AED">
      <w:pPr>
        <w:pStyle w:val="SingleTxtG"/>
        <w:ind w:left="2268" w:hanging="567"/>
        <w:rPr>
          <w:lang w:val="en-GB"/>
        </w:rPr>
      </w:pPr>
      <w:r w:rsidRPr="0083728C">
        <w:rPr>
          <w:lang w:val="en-GB"/>
        </w:rPr>
        <w:t>-</w:t>
      </w:r>
      <w:r w:rsidRPr="0083728C">
        <w:rPr>
          <w:lang w:val="en-GB"/>
        </w:rPr>
        <w:tab/>
        <w:t>In the Note after 5.4.2.1 of the IMDG code, replace “tanks” by “portable tanks”;</w:t>
      </w:r>
    </w:p>
    <w:p w:rsidR="00775AED" w:rsidRPr="0083728C" w:rsidRDefault="00775AED" w:rsidP="00775AED">
      <w:pPr>
        <w:pStyle w:val="SingleTxtG"/>
        <w:ind w:left="2268" w:hanging="567"/>
        <w:rPr>
          <w:lang w:val="en-GB"/>
        </w:rPr>
      </w:pPr>
      <w:r w:rsidRPr="0083728C">
        <w:rPr>
          <w:lang w:val="en-GB"/>
        </w:rPr>
        <w:t>-</w:t>
      </w:r>
      <w:r w:rsidRPr="0083728C">
        <w:rPr>
          <w:lang w:val="en-GB"/>
        </w:rPr>
        <w:tab/>
        <w:t>In 5.4.2.4 of the IMDG Code, replace “dangerous goods transport document” by “</w:t>
      </w:r>
      <w:r w:rsidRPr="0083728C">
        <w:rPr>
          <w:bCs/>
          <w:lang w:val="en-GB"/>
        </w:rPr>
        <w:t>container/vehicle packing certificate</w:t>
      </w:r>
      <w:r w:rsidRPr="0083728C">
        <w:rPr>
          <w:lang w:val="en-GB"/>
        </w:rPr>
        <w:t>”.</w:t>
      </w:r>
    </w:p>
    <w:p w:rsidR="00775AED" w:rsidRPr="0083728C" w:rsidRDefault="00775AED" w:rsidP="00775AED">
      <w:pPr>
        <w:pStyle w:val="SingleTxtG"/>
        <w:rPr>
          <w:lang w:val="en-GB"/>
        </w:rPr>
      </w:pPr>
      <w:r w:rsidRPr="0083728C">
        <w:rPr>
          <w:lang w:val="en-GB"/>
        </w:rPr>
        <w:t>5.4.3.4</w:t>
      </w:r>
      <w:r w:rsidRPr="0083728C">
        <w:rPr>
          <w:lang w:val="en-GB"/>
        </w:rPr>
        <w:tab/>
      </w:r>
      <w:r w:rsidRPr="0083728C">
        <w:rPr>
          <w:lang w:val="en-GB"/>
        </w:rPr>
        <w:tab/>
        <w:t>In the model of the instructions in writing, amend the description of the hazards of label 4.1 in column 1 to read as follows: “Flammable solids, self-reactive substances, polymerizing substances and solid desensitized explosives”.</w:t>
      </w:r>
    </w:p>
    <w:p w:rsidR="00775AED" w:rsidRPr="0083728C" w:rsidRDefault="00775AED" w:rsidP="00825170">
      <w:pPr>
        <w:pStyle w:val="SingleTxtG"/>
        <w:rPr>
          <w:lang w:val="en-GB"/>
        </w:rPr>
      </w:pPr>
    </w:p>
    <w:p w:rsidR="00335DC4" w:rsidRDefault="00335DC4" w:rsidP="00AE5075">
      <w:pPr>
        <w:pStyle w:val="SingleTxtG"/>
        <w:rPr>
          <w:lang w:val="en-GB"/>
        </w:rPr>
      </w:pPr>
    </w:p>
    <w:p w:rsidR="00775AED" w:rsidRDefault="00775AED">
      <w:pPr>
        <w:suppressAutoHyphens w:val="0"/>
        <w:spacing w:line="240" w:lineRule="auto"/>
        <w:rPr>
          <w:lang w:val="en-GB"/>
        </w:rPr>
      </w:pPr>
      <w:r>
        <w:rPr>
          <w:lang w:val="en-GB"/>
        </w:rPr>
        <w:br w:type="page"/>
      </w:r>
    </w:p>
    <w:p w:rsidR="00646CBB" w:rsidRPr="007631C0" w:rsidRDefault="00646CBB" w:rsidP="00757D0A">
      <w:pPr>
        <w:pStyle w:val="HChG"/>
        <w:rPr>
          <w:lang w:val="en-GB"/>
        </w:rPr>
      </w:pPr>
      <w:r w:rsidRPr="007631C0">
        <w:rPr>
          <w:lang w:val="en-GB"/>
        </w:rPr>
        <w:lastRenderedPageBreak/>
        <w:tab/>
      </w:r>
      <w:r w:rsidRPr="007631C0">
        <w:rPr>
          <w:lang w:val="en-GB"/>
        </w:rPr>
        <w:tab/>
        <w:t>ECE/TRANS/WP.15/</w:t>
      </w:r>
      <w:r w:rsidR="0083728C" w:rsidRPr="007631C0">
        <w:rPr>
          <w:lang w:val="en-GB"/>
        </w:rPr>
        <w:t>231</w:t>
      </w:r>
      <w:r w:rsidRPr="007631C0">
        <w:rPr>
          <w:lang w:val="en-GB"/>
        </w:rPr>
        <w:t>/Add.1</w:t>
      </w:r>
    </w:p>
    <w:p w:rsidR="00646CBB" w:rsidRPr="00802B5E" w:rsidRDefault="00646CBB" w:rsidP="00757D0A">
      <w:pPr>
        <w:pStyle w:val="H1G"/>
        <w:rPr>
          <w:lang w:val="en-GB"/>
        </w:rPr>
      </w:pPr>
      <w:r>
        <w:rPr>
          <w:lang w:val="en-GB"/>
        </w:rPr>
        <w:tab/>
      </w:r>
      <w:r>
        <w:rPr>
          <w:lang w:val="en-GB"/>
        </w:rPr>
        <w:tab/>
      </w:r>
      <w:r w:rsidRPr="00802B5E">
        <w:rPr>
          <w:lang w:val="en-GB"/>
        </w:rPr>
        <w:t xml:space="preserve">New </w:t>
      </w:r>
      <w:r w:rsidRPr="00757D0A">
        <w:t>amendments</w:t>
      </w:r>
    </w:p>
    <w:p w:rsidR="0083728C" w:rsidRPr="00757D0A" w:rsidRDefault="0083728C" w:rsidP="00757D0A">
      <w:pPr>
        <w:pStyle w:val="H23G"/>
      </w:pPr>
      <w:r w:rsidRPr="0083728C">
        <w:rPr>
          <w:lang w:val="en-GB"/>
        </w:rPr>
        <w:tab/>
      </w:r>
      <w:r w:rsidRPr="0083728C">
        <w:rPr>
          <w:lang w:val="en-GB"/>
        </w:rPr>
        <w:tab/>
        <w:t>Chapter 1.2</w:t>
      </w:r>
    </w:p>
    <w:p w:rsidR="0083728C" w:rsidRPr="0083728C" w:rsidRDefault="0083728C" w:rsidP="0083728C">
      <w:pPr>
        <w:pStyle w:val="SingleTxtG"/>
        <w:rPr>
          <w:lang w:val="en-GB"/>
        </w:rPr>
      </w:pPr>
      <w:r w:rsidRPr="0083728C">
        <w:rPr>
          <w:lang w:val="en-GB"/>
        </w:rPr>
        <w:t>1.2.1</w:t>
      </w:r>
      <w:r w:rsidRPr="0083728C">
        <w:rPr>
          <w:lang w:val="en-GB"/>
        </w:rPr>
        <w:tab/>
        <w:t xml:space="preserve">In the amendment to the definition of “Aerosol or aerosol dispenser” in </w:t>
      </w:r>
      <w:r w:rsidRPr="008C2065">
        <w:rPr>
          <w:lang w:val="en-GB"/>
        </w:rPr>
        <w:t xml:space="preserve">document ECE/ADN/36, delete </w:t>
      </w:r>
      <w:r w:rsidRPr="0083728C">
        <w:rPr>
          <w:lang w:val="en-GB"/>
        </w:rPr>
        <w:t>“</w:t>
      </w:r>
      <w:r w:rsidRPr="0083728C">
        <w:rPr>
          <w:iCs/>
          <w:lang w:val="en-GB"/>
        </w:rPr>
        <w:t>and replace “6.2.6 of ADR” by “6.2.4 of ADR”</w:t>
      </w:r>
      <w:r w:rsidRPr="0083728C">
        <w:rPr>
          <w:lang w:val="en-GB"/>
        </w:rPr>
        <w:t>”.</w:t>
      </w:r>
    </w:p>
    <w:p w:rsidR="0083728C" w:rsidRPr="0083728C" w:rsidRDefault="0083728C" w:rsidP="0083728C">
      <w:pPr>
        <w:pStyle w:val="H23G"/>
        <w:rPr>
          <w:lang w:val="en-GB"/>
        </w:rPr>
      </w:pPr>
      <w:r w:rsidRPr="0083728C">
        <w:rPr>
          <w:lang w:val="en-GB"/>
        </w:rPr>
        <w:tab/>
      </w:r>
      <w:r w:rsidRPr="0083728C">
        <w:rPr>
          <w:lang w:val="en-GB"/>
        </w:rPr>
        <w:tab/>
        <w:t>Chapter 1.6</w:t>
      </w:r>
    </w:p>
    <w:p w:rsidR="0083728C" w:rsidRPr="0083728C" w:rsidRDefault="0083728C" w:rsidP="0083728C">
      <w:pPr>
        <w:tabs>
          <w:tab w:val="left" w:pos="1418"/>
          <w:tab w:val="left" w:pos="1843"/>
        </w:tabs>
        <w:spacing w:before="120" w:after="120"/>
        <w:ind w:left="1134" w:right="1134"/>
        <w:jc w:val="both"/>
        <w:rPr>
          <w:lang w:val="en-GB"/>
        </w:rPr>
      </w:pPr>
      <w:r w:rsidRPr="0083728C">
        <w:rPr>
          <w:lang w:val="en-GB"/>
        </w:rPr>
        <w:t>1.6.1</w:t>
      </w:r>
      <w:r w:rsidRPr="0083728C">
        <w:rPr>
          <w:lang w:val="en-GB"/>
        </w:rPr>
        <w:tab/>
        <w:t>Add the following transitional measure:</w:t>
      </w:r>
    </w:p>
    <w:p w:rsidR="0083728C" w:rsidRPr="0083728C" w:rsidRDefault="0083728C" w:rsidP="0083728C">
      <w:pPr>
        <w:pStyle w:val="SingleTxtG"/>
        <w:rPr>
          <w:lang w:val="en-GB"/>
        </w:rPr>
      </w:pPr>
      <w:r w:rsidRPr="0083728C">
        <w:rPr>
          <w:lang w:val="en-GB"/>
        </w:rPr>
        <w:t>“1.6.1.43</w:t>
      </w:r>
      <w:r w:rsidRPr="0083728C">
        <w:rPr>
          <w:lang w:val="en-GB"/>
        </w:rPr>
        <w:tab/>
        <w:t>Vehicles registered or brought into service before 1 July 2017, as defined in special provisions 240, 385 and 669 of Chapter 3.3, and their equipment intended for use during carriage, which conform to the requirements of AD</w:t>
      </w:r>
      <w:r>
        <w:rPr>
          <w:lang w:val="en-GB"/>
        </w:rPr>
        <w:t>N</w:t>
      </w:r>
      <w:r w:rsidRPr="0083728C">
        <w:rPr>
          <w:lang w:val="en-GB"/>
        </w:rPr>
        <w:t xml:space="preserve"> applicable until 31 December 2016 but containing lithium cells and batteries which do not conform to the requirement of 2.2.9.1.7 may continue to be carried as a load in accordance with the requirements of special provision 666 of Chapter 3.3.”.</w:t>
      </w:r>
    </w:p>
    <w:p w:rsidR="0083728C" w:rsidRPr="0083728C" w:rsidRDefault="0083728C" w:rsidP="0083728C">
      <w:pPr>
        <w:pStyle w:val="H23G"/>
        <w:rPr>
          <w:lang w:val="en-GB"/>
        </w:rPr>
      </w:pPr>
      <w:r w:rsidRPr="0083728C">
        <w:rPr>
          <w:lang w:val="en-GB"/>
        </w:rPr>
        <w:tab/>
      </w:r>
      <w:r w:rsidRPr="0083728C">
        <w:rPr>
          <w:lang w:val="en-GB"/>
        </w:rPr>
        <w:tab/>
        <w:t>Chapter 2.2</w:t>
      </w:r>
    </w:p>
    <w:p w:rsidR="0083728C" w:rsidRPr="00531307" w:rsidRDefault="0083728C" w:rsidP="0083728C">
      <w:pPr>
        <w:pStyle w:val="SingleTxtG"/>
        <w:rPr>
          <w:lang w:val="en-US"/>
        </w:rPr>
      </w:pPr>
      <w:r w:rsidRPr="00531307">
        <w:rPr>
          <w:lang w:val="en-US"/>
        </w:rPr>
        <w:t>2.2.2.3</w:t>
      </w:r>
      <w:r w:rsidRPr="00531307">
        <w:rPr>
          <w:lang w:val="en-US"/>
        </w:rPr>
        <w:tab/>
      </w:r>
      <w:r w:rsidRPr="00531307">
        <w:rPr>
          <w:lang w:val="en-US"/>
        </w:rPr>
        <w:tab/>
        <w:t xml:space="preserve">In the table for “Other articles containing gas under pressure”, for </w:t>
      </w:r>
      <w:r w:rsidR="00AD27FA">
        <w:rPr>
          <w:lang w:val="en-US"/>
        </w:rPr>
        <w:t>6F, add the following new rows:</w:t>
      </w:r>
    </w:p>
    <w:tbl>
      <w:tblPr>
        <w:tblW w:w="0" w:type="auto"/>
        <w:tblInd w:w="1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7"/>
        <w:gridCol w:w="708"/>
        <w:gridCol w:w="6663"/>
      </w:tblGrid>
      <w:tr w:rsidR="0083728C" w:rsidRPr="00A669C6" w:rsidTr="008B67A0">
        <w:trPr>
          <w:cantSplit/>
          <w:trHeight w:val="40"/>
        </w:trPr>
        <w:tc>
          <w:tcPr>
            <w:tcW w:w="567" w:type="dxa"/>
          </w:tcPr>
          <w:p w:rsidR="0083728C" w:rsidRPr="0083728C" w:rsidRDefault="0083728C" w:rsidP="008B67A0">
            <w:pPr>
              <w:spacing w:before="20" w:after="20"/>
              <w:rPr>
                <w:sz w:val="18"/>
                <w:szCs w:val="18"/>
                <w:lang w:val="en-GB"/>
              </w:rPr>
            </w:pPr>
          </w:p>
        </w:tc>
        <w:tc>
          <w:tcPr>
            <w:tcW w:w="708" w:type="dxa"/>
          </w:tcPr>
          <w:p w:rsidR="0083728C" w:rsidRPr="00531307" w:rsidRDefault="0083728C" w:rsidP="008B67A0">
            <w:pPr>
              <w:spacing w:before="20" w:after="20"/>
              <w:rPr>
                <w:sz w:val="18"/>
                <w:szCs w:val="18"/>
              </w:rPr>
            </w:pPr>
            <w:r w:rsidRPr="00531307">
              <w:rPr>
                <w:sz w:val="18"/>
                <w:szCs w:val="18"/>
              </w:rPr>
              <w:t>3529</w:t>
            </w:r>
          </w:p>
        </w:tc>
        <w:tc>
          <w:tcPr>
            <w:tcW w:w="6663" w:type="dxa"/>
          </w:tcPr>
          <w:p w:rsidR="0083728C" w:rsidRPr="0083728C" w:rsidRDefault="0083728C" w:rsidP="008B67A0">
            <w:pPr>
              <w:spacing w:before="20" w:after="20"/>
              <w:ind w:left="164" w:hanging="164"/>
              <w:rPr>
                <w:sz w:val="18"/>
                <w:szCs w:val="18"/>
                <w:lang w:val="en-GB"/>
              </w:rPr>
            </w:pPr>
            <w:r w:rsidRPr="0083728C">
              <w:rPr>
                <w:sz w:val="18"/>
                <w:szCs w:val="18"/>
                <w:lang w:val="en-GB"/>
              </w:rPr>
              <w:t>ENGINE, INTERNAL COMBUSTION, FLAMMABLE GAS POWERED</w:t>
            </w:r>
          </w:p>
        </w:tc>
      </w:tr>
      <w:tr w:rsidR="0083728C" w:rsidRPr="00A669C6" w:rsidTr="008B67A0">
        <w:trPr>
          <w:cantSplit/>
          <w:trHeight w:val="40"/>
        </w:trPr>
        <w:tc>
          <w:tcPr>
            <w:tcW w:w="567" w:type="dxa"/>
          </w:tcPr>
          <w:p w:rsidR="0083728C" w:rsidRPr="0083728C" w:rsidRDefault="0083728C" w:rsidP="008B67A0">
            <w:pPr>
              <w:spacing w:before="20" w:after="20"/>
              <w:rPr>
                <w:sz w:val="18"/>
                <w:szCs w:val="18"/>
                <w:lang w:val="en-GB"/>
              </w:rPr>
            </w:pPr>
          </w:p>
        </w:tc>
        <w:tc>
          <w:tcPr>
            <w:tcW w:w="708" w:type="dxa"/>
          </w:tcPr>
          <w:p w:rsidR="0083728C" w:rsidRPr="00531307" w:rsidRDefault="0083728C" w:rsidP="008B67A0">
            <w:pPr>
              <w:spacing w:before="20" w:after="20"/>
              <w:rPr>
                <w:sz w:val="18"/>
                <w:szCs w:val="18"/>
              </w:rPr>
            </w:pPr>
            <w:r w:rsidRPr="00531307">
              <w:rPr>
                <w:sz w:val="18"/>
                <w:szCs w:val="18"/>
              </w:rPr>
              <w:t>3529</w:t>
            </w:r>
          </w:p>
        </w:tc>
        <w:tc>
          <w:tcPr>
            <w:tcW w:w="6663" w:type="dxa"/>
          </w:tcPr>
          <w:p w:rsidR="0083728C" w:rsidRPr="0083728C" w:rsidRDefault="0083728C" w:rsidP="008B67A0">
            <w:pPr>
              <w:spacing w:before="20" w:after="20"/>
              <w:ind w:left="164" w:hanging="164"/>
              <w:rPr>
                <w:sz w:val="18"/>
                <w:szCs w:val="18"/>
                <w:lang w:val="en-GB"/>
              </w:rPr>
            </w:pPr>
            <w:r w:rsidRPr="0083728C">
              <w:rPr>
                <w:sz w:val="18"/>
                <w:szCs w:val="18"/>
                <w:lang w:val="en-GB"/>
              </w:rPr>
              <w:t>ENGINE, FUEL CELL, FLAMMABLE GAS POWERED</w:t>
            </w:r>
          </w:p>
        </w:tc>
      </w:tr>
      <w:tr w:rsidR="0083728C" w:rsidRPr="00A669C6" w:rsidTr="008B67A0">
        <w:trPr>
          <w:cantSplit/>
          <w:trHeight w:val="40"/>
        </w:trPr>
        <w:tc>
          <w:tcPr>
            <w:tcW w:w="567" w:type="dxa"/>
          </w:tcPr>
          <w:p w:rsidR="0083728C" w:rsidRPr="0083728C" w:rsidRDefault="0083728C" w:rsidP="008B67A0">
            <w:pPr>
              <w:spacing w:before="20" w:after="20"/>
              <w:rPr>
                <w:sz w:val="18"/>
                <w:szCs w:val="18"/>
                <w:lang w:val="en-GB"/>
              </w:rPr>
            </w:pPr>
          </w:p>
        </w:tc>
        <w:tc>
          <w:tcPr>
            <w:tcW w:w="708" w:type="dxa"/>
          </w:tcPr>
          <w:p w:rsidR="0083728C" w:rsidRPr="00531307" w:rsidRDefault="0083728C" w:rsidP="008B67A0">
            <w:pPr>
              <w:spacing w:before="20" w:after="20"/>
              <w:rPr>
                <w:sz w:val="18"/>
                <w:szCs w:val="18"/>
              </w:rPr>
            </w:pPr>
            <w:r w:rsidRPr="00531307">
              <w:rPr>
                <w:sz w:val="18"/>
                <w:szCs w:val="18"/>
              </w:rPr>
              <w:t>3529</w:t>
            </w:r>
          </w:p>
        </w:tc>
        <w:tc>
          <w:tcPr>
            <w:tcW w:w="6663" w:type="dxa"/>
          </w:tcPr>
          <w:p w:rsidR="0083728C" w:rsidRPr="0083728C" w:rsidRDefault="0083728C" w:rsidP="008B67A0">
            <w:pPr>
              <w:spacing w:before="20" w:after="20"/>
              <w:ind w:left="164" w:hanging="164"/>
              <w:rPr>
                <w:sz w:val="18"/>
                <w:szCs w:val="18"/>
                <w:lang w:val="en-GB"/>
              </w:rPr>
            </w:pPr>
            <w:r w:rsidRPr="0083728C">
              <w:rPr>
                <w:sz w:val="18"/>
                <w:szCs w:val="18"/>
                <w:lang w:val="en-GB"/>
              </w:rPr>
              <w:t>MACHINERY, INTERNAL COMBUSTION, FLAMMABLE GAS POWERED</w:t>
            </w:r>
          </w:p>
        </w:tc>
      </w:tr>
      <w:tr w:rsidR="0083728C" w:rsidRPr="00A669C6" w:rsidTr="008B67A0">
        <w:trPr>
          <w:cantSplit/>
          <w:trHeight w:val="40"/>
        </w:trPr>
        <w:tc>
          <w:tcPr>
            <w:tcW w:w="567" w:type="dxa"/>
          </w:tcPr>
          <w:p w:rsidR="0083728C" w:rsidRPr="0083728C" w:rsidRDefault="0083728C" w:rsidP="008B67A0">
            <w:pPr>
              <w:spacing w:before="20" w:after="20"/>
              <w:rPr>
                <w:sz w:val="18"/>
                <w:szCs w:val="18"/>
                <w:lang w:val="en-GB"/>
              </w:rPr>
            </w:pPr>
          </w:p>
        </w:tc>
        <w:tc>
          <w:tcPr>
            <w:tcW w:w="708" w:type="dxa"/>
          </w:tcPr>
          <w:p w:rsidR="0083728C" w:rsidRPr="00531307" w:rsidRDefault="0083728C" w:rsidP="008B67A0">
            <w:pPr>
              <w:spacing w:before="20" w:after="20"/>
              <w:rPr>
                <w:sz w:val="18"/>
                <w:szCs w:val="18"/>
              </w:rPr>
            </w:pPr>
            <w:r w:rsidRPr="00531307">
              <w:rPr>
                <w:sz w:val="18"/>
                <w:szCs w:val="18"/>
              </w:rPr>
              <w:t>3529</w:t>
            </w:r>
          </w:p>
        </w:tc>
        <w:tc>
          <w:tcPr>
            <w:tcW w:w="6663" w:type="dxa"/>
          </w:tcPr>
          <w:p w:rsidR="0083728C" w:rsidRPr="0083728C" w:rsidRDefault="0083728C" w:rsidP="008B67A0">
            <w:pPr>
              <w:spacing w:before="20" w:after="20"/>
              <w:ind w:left="164" w:hanging="164"/>
              <w:rPr>
                <w:sz w:val="18"/>
                <w:szCs w:val="18"/>
                <w:lang w:val="en-GB"/>
              </w:rPr>
            </w:pPr>
            <w:r w:rsidRPr="0083728C">
              <w:rPr>
                <w:sz w:val="18"/>
                <w:szCs w:val="18"/>
                <w:lang w:val="en-GB"/>
              </w:rPr>
              <w:t>MACHINERY, FUEL CELL, FLAMMABLE GAS POWERED</w:t>
            </w:r>
          </w:p>
        </w:tc>
      </w:tr>
    </w:tbl>
    <w:p w:rsidR="0083728C" w:rsidRPr="0083728C" w:rsidRDefault="0083728C" w:rsidP="0083728C">
      <w:pPr>
        <w:pStyle w:val="SingleTxtG"/>
        <w:spacing w:before="120" w:line="240" w:lineRule="auto"/>
        <w:rPr>
          <w:lang w:val="en-GB"/>
        </w:rPr>
      </w:pPr>
      <w:r w:rsidRPr="0083728C">
        <w:rPr>
          <w:lang w:val="en-GB"/>
        </w:rPr>
        <w:t>2.2.3.3</w:t>
      </w:r>
      <w:r w:rsidRPr="0083728C">
        <w:rPr>
          <w:lang w:val="en-GB"/>
        </w:rPr>
        <w:tab/>
      </w:r>
      <w:r w:rsidRPr="0083728C">
        <w:rPr>
          <w:lang w:val="en-GB"/>
        </w:rPr>
        <w:tab/>
        <w:t>For “F3 articles”, at the end add the new following entries:</w:t>
      </w:r>
    </w:p>
    <w:p w:rsidR="0083728C" w:rsidRPr="0083728C" w:rsidRDefault="0083728C" w:rsidP="00935E45">
      <w:pPr>
        <w:pStyle w:val="SingleTxtG"/>
        <w:spacing w:line="240" w:lineRule="auto"/>
        <w:rPr>
          <w:rFonts w:eastAsia="Calibri"/>
          <w:lang w:val="en-GB"/>
        </w:rPr>
      </w:pPr>
      <w:r w:rsidRPr="0083728C">
        <w:rPr>
          <w:rFonts w:eastAsia="Calibri"/>
          <w:lang w:val="en-GB"/>
        </w:rPr>
        <w:t>“3528</w:t>
      </w:r>
      <w:r w:rsidRPr="0083728C">
        <w:rPr>
          <w:rFonts w:eastAsia="Calibri"/>
          <w:lang w:val="en-GB"/>
        </w:rPr>
        <w:tab/>
        <w:t>ENGINE, INTERNAL COMBUSTION, FLAMMABLE LIQUID POWERED or</w:t>
      </w:r>
    </w:p>
    <w:p w:rsidR="0083728C" w:rsidRPr="0083728C" w:rsidRDefault="0083728C" w:rsidP="00935E45">
      <w:pPr>
        <w:pStyle w:val="SingleTxtG"/>
        <w:spacing w:line="240" w:lineRule="auto"/>
        <w:rPr>
          <w:rFonts w:eastAsia="Calibri"/>
          <w:lang w:val="en-GB"/>
        </w:rPr>
      </w:pPr>
      <w:r w:rsidRPr="0083728C">
        <w:rPr>
          <w:rFonts w:eastAsia="Calibri"/>
          <w:lang w:val="en-GB"/>
        </w:rPr>
        <w:t>3528</w:t>
      </w:r>
      <w:r w:rsidRPr="0083728C">
        <w:rPr>
          <w:rFonts w:eastAsia="Calibri"/>
          <w:lang w:val="en-GB"/>
        </w:rPr>
        <w:tab/>
        <w:t>ENGINE, FUEL CELL, FLAMMABLE LIQUID POWERED or</w:t>
      </w:r>
    </w:p>
    <w:p w:rsidR="0083728C" w:rsidRPr="0083728C" w:rsidRDefault="0083728C" w:rsidP="00935E45">
      <w:pPr>
        <w:pStyle w:val="SingleTxtG"/>
        <w:rPr>
          <w:rFonts w:eastAsia="Calibri"/>
          <w:lang w:val="en-GB"/>
        </w:rPr>
      </w:pPr>
      <w:r w:rsidRPr="0083728C">
        <w:rPr>
          <w:rFonts w:eastAsia="Calibri"/>
          <w:lang w:val="en-GB"/>
        </w:rPr>
        <w:t>3528</w:t>
      </w:r>
      <w:r w:rsidRPr="0083728C">
        <w:rPr>
          <w:rFonts w:eastAsia="Calibri"/>
          <w:lang w:val="en-GB"/>
        </w:rPr>
        <w:tab/>
        <w:t>MACHINERY, INTERNAL COMBUSTION, FLAMMABLE LIQUID POWERED or</w:t>
      </w:r>
    </w:p>
    <w:p w:rsidR="0083728C" w:rsidRPr="0083728C" w:rsidRDefault="0083728C" w:rsidP="00935E45">
      <w:pPr>
        <w:pStyle w:val="SingleTxtG"/>
        <w:rPr>
          <w:lang w:val="en-GB"/>
        </w:rPr>
      </w:pPr>
      <w:r w:rsidRPr="0083728C">
        <w:rPr>
          <w:rFonts w:eastAsia="Calibri"/>
          <w:lang w:val="en-GB"/>
        </w:rPr>
        <w:t>3528</w:t>
      </w:r>
      <w:r w:rsidRPr="0083728C">
        <w:rPr>
          <w:rFonts w:eastAsia="Calibri"/>
          <w:lang w:val="en-GB"/>
        </w:rPr>
        <w:tab/>
        <w:t>MACHINERY, FUEL CELL, FLAMMABLE LIQUID POWERED”.</w:t>
      </w:r>
    </w:p>
    <w:p w:rsidR="0083728C" w:rsidRPr="00531307" w:rsidRDefault="0083728C" w:rsidP="0083728C">
      <w:pPr>
        <w:pStyle w:val="SingleTxtG"/>
        <w:rPr>
          <w:lang w:val="en-US"/>
        </w:rPr>
      </w:pPr>
      <w:r w:rsidRPr="00531307">
        <w:rPr>
          <w:lang w:val="en-US"/>
        </w:rPr>
        <w:t>2.2.7.2.4.1.5 (b) Replace “2.2.7.2.4.5.1” by “2.2.7.2.4.5.2”.</w:t>
      </w:r>
    </w:p>
    <w:p w:rsidR="0083728C" w:rsidRPr="00531307" w:rsidRDefault="0083728C" w:rsidP="0083728C">
      <w:pPr>
        <w:pStyle w:val="SingleTxtG"/>
        <w:rPr>
          <w:lang w:val="en-US"/>
        </w:rPr>
      </w:pPr>
      <w:r w:rsidRPr="00531307">
        <w:rPr>
          <w:lang w:val="en-US"/>
        </w:rPr>
        <w:t xml:space="preserve">2.2.9.1.2 </w:t>
      </w:r>
      <w:r w:rsidRPr="00531307">
        <w:rPr>
          <w:lang w:val="en-US"/>
        </w:rPr>
        <w:tab/>
        <w:t>For subdivision M11, add “and articles” after “substances”.</w:t>
      </w:r>
    </w:p>
    <w:p w:rsidR="0083728C" w:rsidRPr="00531307" w:rsidRDefault="0083728C" w:rsidP="0083728C">
      <w:pPr>
        <w:pStyle w:val="SingleTxtG"/>
        <w:rPr>
          <w:lang w:val="en-US"/>
        </w:rPr>
      </w:pPr>
      <w:r w:rsidRPr="00531307">
        <w:rPr>
          <w:lang w:val="en-US"/>
        </w:rPr>
        <w:t xml:space="preserve">2.2.9.3 </w:t>
      </w:r>
      <w:r w:rsidRPr="00531307">
        <w:rPr>
          <w:lang w:val="en-US"/>
        </w:rPr>
        <w:tab/>
      </w:r>
      <w:r w:rsidRPr="0083728C">
        <w:rPr>
          <w:lang w:val="en-GB"/>
        </w:rPr>
        <w:t>For “</w:t>
      </w:r>
      <w:r w:rsidRPr="00531307">
        <w:rPr>
          <w:lang w:val="en-US"/>
        </w:rPr>
        <w:t xml:space="preserve">M11”, replace “substances or articles” by “substances and articles”. In the right box, in the introductory sentence add “and articles” after “only substances”. Add </w:t>
      </w:r>
      <w:r>
        <w:rPr>
          <w:lang w:val="en-US"/>
        </w:rPr>
        <w:t>the following new entries:</w:t>
      </w:r>
    </w:p>
    <w:p w:rsidR="0083728C" w:rsidRPr="00531307" w:rsidRDefault="0083728C" w:rsidP="00935E45">
      <w:pPr>
        <w:pStyle w:val="SingleTxtG"/>
        <w:rPr>
          <w:lang w:val="en-US"/>
        </w:rPr>
      </w:pPr>
      <w:r w:rsidRPr="00531307">
        <w:rPr>
          <w:lang w:val="en-US"/>
        </w:rPr>
        <w:t xml:space="preserve">“3530 ENGINE, INTERNAL COMBUSTION or </w:t>
      </w:r>
    </w:p>
    <w:p w:rsidR="0083728C" w:rsidRPr="00531307" w:rsidRDefault="0083728C" w:rsidP="00935E45">
      <w:pPr>
        <w:pStyle w:val="SingleTxtG"/>
        <w:rPr>
          <w:lang w:val="en-US"/>
        </w:rPr>
      </w:pPr>
      <w:r w:rsidRPr="00531307">
        <w:rPr>
          <w:lang w:val="en-US"/>
        </w:rPr>
        <w:t>3530 MACHINERY, INTERNAL COMBUSTION”.</w:t>
      </w:r>
    </w:p>
    <w:p w:rsidR="0083728C" w:rsidRPr="0083728C" w:rsidRDefault="0083728C" w:rsidP="0083728C">
      <w:pPr>
        <w:pStyle w:val="H23G"/>
        <w:rPr>
          <w:lang w:val="en-GB"/>
        </w:rPr>
      </w:pPr>
      <w:r w:rsidRPr="0083728C">
        <w:rPr>
          <w:lang w:val="en-GB"/>
        </w:rPr>
        <w:tab/>
      </w:r>
      <w:r w:rsidRPr="0083728C">
        <w:rPr>
          <w:lang w:val="en-GB"/>
        </w:rPr>
        <w:tab/>
        <w:t>Chapter 3.2</w:t>
      </w:r>
      <w:r w:rsidR="002F6E51">
        <w:rPr>
          <w:lang w:val="en-GB"/>
        </w:rPr>
        <w:t>, T</w:t>
      </w:r>
      <w:r w:rsidRPr="0083728C">
        <w:rPr>
          <w:lang w:val="en-GB"/>
        </w:rPr>
        <w:t>able A</w:t>
      </w:r>
    </w:p>
    <w:p w:rsidR="0083728C" w:rsidRPr="00531307" w:rsidRDefault="0083728C" w:rsidP="0083728C">
      <w:pPr>
        <w:pStyle w:val="SingleTxtG"/>
        <w:rPr>
          <w:lang w:val="en-US"/>
        </w:rPr>
      </w:pPr>
      <w:r w:rsidRPr="00531307">
        <w:rPr>
          <w:lang w:val="en-US"/>
        </w:rPr>
        <w:t>For UN Nos. 1361 and 3088, packing group III, in column (6) insert “665”.</w:t>
      </w:r>
    </w:p>
    <w:p w:rsidR="0083728C" w:rsidRPr="00531307" w:rsidRDefault="0083728C" w:rsidP="0083728C">
      <w:pPr>
        <w:pStyle w:val="SingleTxtG"/>
        <w:rPr>
          <w:lang w:val="en-US"/>
        </w:rPr>
      </w:pPr>
      <w:r w:rsidRPr="00531307">
        <w:rPr>
          <w:lang w:val="en-US"/>
        </w:rPr>
        <w:t xml:space="preserve">The amendment for UN No. 2022 does not apply to the English </w:t>
      </w:r>
      <w:r w:rsidR="00AD15AE">
        <w:rPr>
          <w:lang w:val="en-US"/>
        </w:rPr>
        <w:t>text</w:t>
      </w:r>
      <w:r w:rsidRPr="00531307">
        <w:rPr>
          <w:lang w:val="en-US"/>
        </w:rPr>
        <w:t>.</w:t>
      </w:r>
    </w:p>
    <w:p w:rsidR="0083728C" w:rsidRPr="0083728C" w:rsidRDefault="0083728C" w:rsidP="0083728C">
      <w:pPr>
        <w:pStyle w:val="SingleTxtG"/>
        <w:rPr>
          <w:lang w:val="en-GB"/>
        </w:rPr>
      </w:pPr>
      <w:r w:rsidRPr="0083728C">
        <w:rPr>
          <w:lang w:val="en-GB"/>
        </w:rPr>
        <w:t>For UN No. 3528, in column (3b), insert “F3”.</w:t>
      </w:r>
    </w:p>
    <w:p w:rsidR="0083728C" w:rsidRPr="0083728C" w:rsidRDefault="0083728C" w:rsidP="0083728C">
      <w:pPr>
        <w:pStyle w:val="SingleTxtG"/>
        <w:rPr>
          <w:lang w:val="en-GB"/>
        </w:rPr>
      </w:pPr>
      <w:r w:rsidRPr="0083728C">
        <w:rPr>
          <w:lang w:val="en-GB"/>
        </w:rPr>
        <w:lastRenderedPageBreak/>
        <w:t>For UN No. 3529, in column (3b), insert “6F”.</w:t>
      </w:r>
    </w:p>
    <w:p w:rsidR="0083728C" w:rsidRPr="0083728C" w:rsidRDefault="0083728C" w:rsidP="0083728C">
      <w:pPr>
        <w:pStyle w:val="SingleTxtG"/>
        <w:rPr>
          <w:lang w:val="en-GB"/>
        </w:rPr>
      </w:pPr>
      <w:r w:rsidRPr="0083728C">
        <w:rPr>
          <w:lang w:val="en-GB"/>
        </w:rPr>
        <w:t>For UN No. 3530, in column (3b), insert “M11”.</w:t>
      </w:r>
    </w:p>
    <w:p w:rsidR="0083728C" w:rsidRPr="0083728C" w:rsidRDefault="0083728C" w:rsidP="0083728C">
      <w:pPr>
        <w:pStyle w:val="H23G"/>
        <w:rPr>
          <w:lang w:val="en-GB"/>
        </w:rPr>
      </w:pPr>
      <w:r w:rsidRPr="0083728C">
        <w:rPr>
          <w:lang w:val="en-GB"/>
        </w:rPr>
        <w:tab/>
      </w:r>
      <w:r w:rsidRPr="0083728C">
        <w:rPr>
          <w:lang w:val="en-GB"/>
        </w:rPr>
        <w:tab/>
        <w:t>Chapter 3.3</w:t>
      </w:r>
    </w:p>
    <w:p w:rsidR="0083728C" w:rsidRPr="0083728C" w:rsidRDefault="0083728C" w:rsidP="0083728C">
      <w:pPr>
        <w:pStyle w:val="SingleTxtG"/>
        <w:rPr>
          <w:lang w:val="en-GB"/>
        </w:rPr>
      </w:pPr>
      <w:r w:rsidRPr="00531307">
        <w:rPr>
          <w:lang w:val="en-US"/>
        </w:rPr>
        <w:t>S</w:t>
      </w:r>
      <w:r w:rsidRPr="0083728C">
        <w:rPr>
          <w:lang w:val="en-GB"/>
        </w:rPr>
        <w:t>pecial provision 369</w:t>
      </w:r>
      <w:r w:rsidRPr="0083728C">
        <w:rPr>
          <w:lang w:val="en-GB"/>
        </w:rPr>
        <w:tab/>
        <w:t>Replace “2.2.7.2.3.6” by “2.2.7.2.3.5”.</w:t>
      </w:r>
    </w:p>
    <w:p w:rsidR="0083728C" w:rsidRPr="0083728C" w:rsidRDefault="0083728C" w:rsidP="0083728C">
      <w:pPr>
        <w:pStyle w:val="SingleTxtG"/>
        <w:rPr>
          <w:lang w:val="en-GB"/>
        </w:rPr>
      </w:pPr>
      <w:r w:rsidRPr="00531307">
        <w:rPr>
          <w:lang w:val="en-US"/>
        </w:rPr>
        <w:t>S</w:t>
      </w:r>
      <w:r w:rsidRPr="0083728C">
        <w:rPr>
          <w:lang w:val="en-GB"/>
        </w:rPr>
        <w:t>pecial provision 376, at the end, add the following new sentence: “In this case the cells and batteries are assigned to transport category 0.”.</w:t>
      </w:r>
    </w:p>
    <w:p w:rsidR="0083728C" w:rsidRPr="00531307" w:rsidRDefault="0083728C" w:rsidP="0083728C">
      <w:pPr>
        <w:pStyle w:val="SingleTxtG"/>
        <w:rPr>
          <w:lang w:val="en-US"/>
        </w:rPr>
      </w:pPr>
      <w:r w:rsidRPr="0083728C">
        <w:rPr>
          <w:lang w:val="en-GB"/>
        </w:rPr>
        <w:t>Special p</w:t>
      </w:r>
      <w:r w:rsidR="00AD27FA">
        <w:rPr>
          <w:lang w:val="en-GB"/>
        </w:rPr>
        <w:t>rovision 545</w:t>
      </w:r>
      <w:r w:rsidRPr="0083728C">
        <w:rPr>
          <w:lang w:val="en-GB"/>
        </w:rPr>
        <w:tab/>
        <w:t xml:space="preserve">The </w:t>
      </w:r>
      <w:r w:rsidRPr="00531307">
        <w:rPr>
          <w:lang w:val="en-US"/>
        </w:rPr>
        <w:t>amendment does not apply to the English text.</w:t>
      </w:r>
    </w:p>
    <w:p w:rsidR="0083728C" w:rsidRPr="0083728C" w:rsidRDefault="0083728C" w:rsidP="0083728C">
      <w:pPr>
        <w:pStyle w:val="SingleTxtG"/>
        <w:rPr>
          <w:lang w:val="en-GB"/>
        </w:rPr>
      </w:pPr>
      <w:r w:rsidRPr="0083728C">
        <w:rPr>
          <w:lang w:val="en-GB"/>
        </w:rPr>
        <w:t>Add the following new special provision:</w:t>
      </w:r>
    </w:p>
    <w:p w:rsidR="0083728C" w:rsidRPr="0083728C" w:rsidRDefault="0083728C" w:rsidP="0083728C">
      <w:pPr>
        <w:pStyle w:val="SingleTxtG"/>
        <w:rPr>
          <w:lang w:val="en-GB"/>
        </w:rPr>
      </w:pPr>
      <w:r w:rsidRPr="0083728C">
        <w:rPr>
          <w:lang w:val="en-GB"/>
        </w:rPr>
        <w:t xml:space="preserve">“665 </w:t>
      </w:r>
      <w:r w:rsidRPr="0083728C">
        <w:rPr>
          <w:lang w:val="en-GB"/>
        </w:rPr>
        <w:tab/>
        <w:t>Unground hard coal, coke and anthracite, meeting the classification criteria of Class 4.2, packing group III, are not subject to the requirements of ADN.”.</w:t>
      </w:r>
    </w:p>
    <w:p w:rsidR="0083728C" w:rsidRPr="0083728C" w:rsidRDefault="0083728C" w:rsidP="0083728C">
      <w:pPr>
        <w:pStyle w:val="H23G"/>
        <w:rPr>
          <w:lang w:val="en-GB"/>
        </w:rPr>
      </w:pPr>
      <w:r w:rsidRPr="0083728C">
        <w:rPr>
          <w:lang w:val="en-GB"/>
        </w:rPr>
        <w:tab/>
      </w:r>
      <w:r w:rsidRPr="0083728C">
        <w:rPr>
          <w:lang w:val="en-GB"/>
        </w:rPr>
        <w:tab/>
        <w:t>Chapter 5.1</w:t>
      </w:r>
    </w:p>
    <w:p w:rsidR="0083728C" w:rsidRPr="0083728C" w:rsidRDefault="0083728C" w:rsidP="0083728C">
      <w:pPr>
        <w:pStyle w:val="SingleTxtG"/>
        <w:rPr>
          <w:lang w:val="en-GB"/>
        </w:rPr>
      </w:pPr>
      <w:r w:rsidRPr="0083728C">
        <w:rPr>
          <w:lang w:val="en-GB"/>
        </w:rPr>
        <w:t xml:space="preserve">5.1.5.5 </w:t>
      </w:r>
      <w:r w:rsidRPr="0083728C">
        <w:rPr>
          <w:lang w:val="en-GB"/>
        </w:rPr>
        <w:tab/>
        <w:t>Amend the Table as follows:</w:t>
      </w:r>
    </w:p>
    <w:p w:rsidR="0083728C" w:rsidRPr="0083728C" w:rsidRDefault="0083728C" w:rsidP="00DE7B6E">
      <w:pPr>
        <w:pStyle w:val="SingleTxtG"/>
        <w:spacing w:before="120"/>
        <w:rPr>
          <w:lang w:val="en-GB"/>
        </w:rPr>
      </w:pPr>
      <w:r w:rsidRPr="0083728C">
        <w:rPr>
          <w:lang w:val="en-GB"/>
        </w:rPr>
        <w:t>Add the following new rows:</w:t>
      </w:r>
    </w:p>
    <w:tbl>
      <w:tblPr>
        <w:tblW w:w="0" w:type="auto"/>
        <w:tblInd w:w="1059" w:type="dxa"/>
        <w:tblLayout w:type="fixed"/>
        <w:tblCellMar>
          <w:left w:w="66" w:type="dxa"/>
          <w:right w:w="66" w:type="dxa"/>
        </w:tblCellMar>
        <w:tblLook w:val="0000" w:firstRow="0" w:lastRow="0" w:firstColumn="0" w:lastColumn="0" w:noHBand="0" w:noVBand="0"/>
      </w:tblPr>
      <w:tblGrid>
        <w:gridCol w:w="2693"/>
        <w:gridCol w:w="709"/>
        <w:gridCol w:w="708"/>
        <w:gridCol w:w="1134"/>
        <w:gridCol w:w="1134"/>
        <w:gridCol w:w="1843"/>
      </w:tblGrid>
      <w:tr w:rsidR="0083728C" w:rsidRPr="00531307" w:rsidTr="00DE7B6E">
        <w:trPr>
          <w:cantSplit/>
        </w:trPr>
        <w:tc>
          <w:tcPr>
            <w:tcW w:w="2693" w:type="dxa"/>
            <w:tcBorders>
              <w:top w:val="single" w:sz="6" w:space="0" w:color="auto"/>
              <w:left w:val="single" w:sz="6" w:space="0" w:color="auto"/>
              <w:bottom w:val="single" w:sz="6" w:space="0" w:color="auto"/>
            </w:tcBorders>
          </w:tcPr>
          <w:p w:rsidR="0083728C" w:rsidRPr="0083728C" w:rsidRDefault="0083728C" w:rsidP="008B67A0">
            <w:pPr>
              <w:keepNext/>
              <w:tabs>
                <w:tab w:val="left" w:pos="218"/>
              </w:tabs>
              <w:spacing w:before="20" w:after="20"/>
              <w:rPr>
                <w:lang w:val="en-GB"/>
              </w:rPr>
            </w:pPr>
            <w:r w:rsidRPr="0083728C">
              <w:rPr>
                <w:lang w:val="en-GB"/>
              </w:rPr>
              <w:t>Alternative activity limits for an exempt consignment of instruments or articles</w:t>
            </w:r>
          </w:p>
        </w:tc>
        <w:tc>
          <w:tcPr>
            <w:tcW w:w="709" w:type="dxa"/>
            <w:tcBorders>
              <w:top w:val="single" w:sz="6" w:space="0" w:color="auto"/>
              <w:left w:val="single" w:sz="6" w:space="0" w:color="auto"/>
              <w:bottom w:val="single" w:sz="6" w:space="0" w:color="auto"/>
            </w:tcBorders>
          </w:tcPr>
          <w:p w:rsidR="0083728C" w:rsidRPr="00531307" w:rsidRDefault="0083728C" w:rsidP="008B67A0">
            <w:pPr>
              <w:keepNext/>
              <w:spacing w:before="20" w:after="20"/>
              <w:jc w:val="center"/>
            </w:pPr>
            <w:r w:rsidRPr="00531307">
              <w:t>-</w:t>
            </w:r>
          </w:p>
        </w:tc>
        <w:tc>
          <w:tcPr>
            <w:tcW w:w="708" w:type="dxa"/>
            <w:tcBorders>
              <w:top w:val="single" w:sz="6" w:space="0" w:color="auto"/>
              <w:left w:val="single" w:sz="6" w:space="0" w:color="auto"/>
              <w:bottom w:val="single" w:sz="6" w:space="0" w:color="auto"/>
            </w:tcBorders>
          </w:tcPr>
          <w:p w:rsidR="0083728C" w:rsidRPr="00531307" w:rsidRDefault="0083728C" w:rsidP="008B67A0">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83728C" w:rsidRPr="00531307" w:rsidRDefault="0083728C" w:rsidP="008B67A0">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83728C" w:rsidRPr="00531307" w:rsidRDefault="0083728C" w:rsidP="008B67A0">
            <w:pPr>
              <w:keepNext/>
              <w:spacing w:before="20" w:after="20"/>
              <w:jc w:val="center"/>
            </w:pPr>
            <w:r w:rsidRPr="00531307">
              <w:t>No</w:t>
            </w:r>
          </w:p>
        </w:tc>
        <w:tc>
          <w:tcPr>
            <w:tcW w:w="1843" w:type="dxa"/>
            <w:tcBorders>
              <w:top w:val="single" w:sz="6" w:space="0" w:color="auto"/>
              <w:left w:val="single" w:sz="6" w:space="0" w:color="auto"/>
              <w:bottom w:val="single" w:sz="6" w:space="0" w:color="auto"/>
              <w:right w:val="single" w:sz="6" w:space="0" w:color="auto"/>
            </w:tcBorders>
          </w:tcPr>
          <w:p w:rsidR="0083728C" w:rsidRPr="00531307" w:rsidRDefault="0083728C" w:rsidP="008B67A0">
            <w:pPr>
              <w:keepNext/>
              <w:spacing w:before="20" w:after="20"/>
              <w:jc w:val="center"/>
            </w:pPr>
            <w:r w:rsidRPr="00531307">
              <w:t xml:space="preserve">5.1.5.2.1(e), </w:t>
            </w:r>
            <w:r w:rsidRPr="00531307">
              <w:br/>
              <w:t>6.4.22.7</w:t>
            </w:r>
            <w:r>
              <w:t xml:space="preserve"> (ADR)</w:t>
            </w:r>
          </w:p>
        </w:tc>
      </w:tr>
      <w:tr w:rsidR="0083728C" w:rsidRPr="00531307" w:rsidTr="00DE7B6E">
        <w:trPr>
          <w:cantSplit/>
        </w:trPr>
        <w:tc>
          <w:tcPr>
            <w:tcW w:w="2693" w:type="dxa"/>
            <w:tcBorders>
              <w:top w:val="single" w:sz="6" w:space="0" w:color="auto"/>
              <w:left w:val="single" w:sz="6" w:space="0" w:color="auto"/>
              <w:bottom w:val="single" w:sz="6" w:space="0" w:color="auto"/>
            </w:tcBorders>
          </w:tcPr>
          <w:p w:rsidR="0083728C" w:rsidRPr="0083728C" w:rsidRDefault="0083728C" w:rsidP="008B67A0">
            <w:pPr>
              <w:keepNext/>
              <w:spacing w:before="20" w:after="20"/>
              <w:rPr>
                <w:lang w:val="en-GB"/>
              </w:rPr>
            </w:pPr>
            <w:r w:rsidRPr="0083728C">
              <w:rPr>
                <w:lang w:val="en-GB"/>
              </w:rPr>
              <w:t>Fissile material excepted in accordance with 2.2.7.2.3.5 (f)</w:t>
            </w:r>
          </w:p>
        </w:tc>
        <w:tc>
          <w:tcPr>
            <w:tcW w:w="709" w:type="dxa"/>
            <w:tcBorders>
              <w:top w:val="single" w:sz="6" w:space="0" w:color="auto"/>
              <w:left w:val="single" w:sz="6" w:space="0" w:color="auto"/>
              <w:bottom w:val="single" w:sz="6" w:space="0" w:color="auto"/>
            </w:tcBorders>
          </w:tcPr>
          <w:p w:rsidR="0083728C" w:rsidRPr="00531307" w:rsidRDefault="0083728C" w:rsidP="008B67A0">
            <w:pPr>
              <w:keepNext/>
              <w:spacing w:before="20" w:after="20"/>
              <w:jc w:val="center"/>
            </w:pPr>
            <w:r w:rsidRPr="00531307">
              <w:t>-</w:t>
            </w:r>
          </w:p>
        </w:tc>
        <w:tc>
          <w:tcPr>
            <w:tcW w:w="708" w:type="dxa"/>
            <w:tcBorders>
              <w:top w:val="single" w:sz="6" w:space="0" w:color="auto"/>
              <w:left w:val="single" w:sz="6" w:space="0" w:color="auto"/>
              <w:bottom w:val="single" w:sz="6" w:space="0" w:color="auto"/>
            </w:tcBorders>
          </w:tcPr>
          <w:p w:rsidR="0083728C" w:rsidRPr="00531307" w:rsidRDefault="0083728C" w:rsidP="008B67A0">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83728C" w:rsidRPr="00531307" w:rsidRDefault="0083728C" w:rsidP="008B67A0">
            <w:pPr>
              <w:keepNext/>
              <w:spacing w:before="20" w:after="20"/>
              <w:jc w:val="center"/>
            </w:pPr>
            <w:r w:rsidRPr="00531307">
              <w:t>Yes</w:t>
            </w:r>
          </w:p>
        </w:tc>
        <w:tc>
          <w:tcPr>
            <w:tcW w:w="1134" w:type="dxa"/>
            <w:tcBorders>
              <w:top w:val="single" w:sz="6" w:space="0" w:color="auto"/>
              <w:left w:val="single" w:sz="6" w:space="0" w:color="auto"/>
              <w:bottom w:val="single" w:sz="6" w:space="0" w:color="auto"/>
            </w:tcBorders>
          </w:tcPr>
          <w:p w:rsidR="0083728C" w:rsidRPr="00531307" w:rsidRDefault="0083728C" w:rsidP="008B67A0">
            <w:pPr>
              <w:keepNext/>
              <w:spacing w:before="20" w:after="20"/>
              <w:jc w:val="center"/>
            </w:pPr>
            <w:r w:rsidRPr="00531307">
              <w:t>No</w:t>
            </w:r>
          </w:p>
        </w:tc>
        <w:tc>
          <w:tcPr>
            <w:tcW w:w="1843" w:type="dxa"/>
            <w:tcBorders>
              <w:top w:val="single" w:sz="6" w:space="0" w:color="auto"/>
              <w:left w:val="single" w:sz="6" w:space="0" w:color="auto"/>
              <w:bottom w:val="single" w:sz="6" w:space="0" w:color="auto"/>
              <w:right w:val="single" w:sz="6" w:space="0" w:color="auto"/>
            </w:tcBorders>
          </w:tcPr>
          <w:p w:rsidR="0083728C" w:rsidRPr="00531307" w:rsidRDefault="0083728C" w:rsidP="008B67A0">
            <w:pPr>
              <w:keepNext/>
              <w:spacing w:before="20" w:after="20"/>
              <w:jc w:val="center"/>
            </w:pPr>
            <w:r w:rsidRPr="00531307">
              <w:t>5.1.5.2.1 (a) (iii),</w:t>
            </w:r>
            <w:r w:rsidRPr="00531307">
              <w:br/>
              <w:t>6.4.22.6</w:t>
            </w:r>
            <w:r>
              <w:t xml:space="preserve"> (ADR)</w:t>
            </w:r>
          </w:p>
        </w:tc>
      </w:tr>
    </w:tbl>
    <w:p w:rsidR="0083728C" w:rsidRPr="0083728C" w:rsidRDefault="0083728C" w:rsidP="00DE7B6E">
      <w:pPr>
        <w:pStyle w:val="SingleTxtG"/>
        <w:spacing w:before="120"/>
        <w:rPr>
          <w:lang w:val="en-GB"/>
        </w:rPr>
      </w:pPr>
      <w:r w:rsidRPr="0083728C">
        <w:rPr>
          <w:lang w:val="en-GB"/>
        </w:rPr>
        <w:t>In the first row (Calculation of unlisted A</w:t>
      </w:r>
      <w:r w:rsidRPr="0083728C">
        <w:rPr>
          <w:vertAlign w:val="subscript"/>
          <w:lang w:val="en-GB"/>
        </w:rPr>
        <w:t>1</w:t>
      </w:r>
      <w:r w:rsidRPr="0083728C">
        <w:rPr>
          <w:lang w:val="en-GB"/>
        </w:rPr>
        <w:t xml:space="preserve"> and A</w:t>
      </w:r>
      <w:r w:rsidRPr="0083728C">
        <w:rPr>
          <w:vertAlign w:val="subscript"/>
          <w:lang w:val="en-GB"/>
        </w:rPr>
        <w:t>2</w:t>
      </w:r>
      <w:r w:rsidRPr="0083728C">
        <w:rPr>
          <w:lang w:val="en-GB"/>
        </w:rPr>
        <w:t xml:space="preserve"> values), in the last column, replace “---” by “2.2.7.2.2.2 (a), 5.1.5.2.1 (d)”.</w:t>
      </w:r>
    </w:p>
    <w:p w:rsidR="0083728C" w:rsidRPr="0083728C" w:rsidRDefault="0083728C" w:rsidP="00DE7B6E">
      <w:pPr>
        <w:pStyle w:val="SingleTxtG"/>
        <w:rPr>
          <w:lang w:val="en-GB"/>
        </w:rPr>
      </w:pPr>
      <w:r w:rsidRPr="0083728C">
        <w:rPr>
          <w:lang w:val="en-GB"/>
        </w:rPr>
        <w:t>In the tenth row (Low dispersible radioactive material), in the last column, replace “6.4.22.3” by “6.4.22.5”.</w:t>
      </w:r>
    </w:p>
    <w:p w:rsidR="0083728C" w:rsidRPr="0083728C" w:rsidRDefault="0083728C" w:rsidP="00DE7B6E">
      <w:pPr>
        <w:pStyle w:val="SingleTxtG"/>
        <w:rPr>
          <w:lang w:val="en-GB"/>
        </w:rPr>
      </w:pPr>
      <w:r w:rsidRPr="0083728C">
        <w:rPr>
          <w:lang w:val="en-GB"/>
        </w:rPr>
        <w:t>In the thirteenth row (Approved packages designs subjected to transitional measures), in the last column, delete “1.6.6.1” and insert “, 6.4.22.9 (ADR)” at the end.</w:t>
      </w:r>
    </w:p>
    <w:p w:rsidR="0083728C" w:rsidRPr="0083728C" w:rsidRDefault="0083728C" w:rsidP="0083728C">
      <w:pPr>
        <w:pStyle w:val="H23G"/>
        <w:rPr>
          <w:lang w:val="en-GB"/>
        </w:rPr>
      </w:pPr>
      <w:r w:rsidRPr="0083728C">
        <w:rPr>
          <w:lang w:val="en-GB"/>
        </w:rPr>
        <w:tab/>
      </w:r>
      <w:r w:rsidRPr="0083728C">
        <w:rPr>
          <w:lang w:val="en-GB"/>
        </w:rPr>
        <w:tab/>
        <w:t>Chapter 5.4</w:t>
      </w:r>
    </w:p>
    <w:p w:rsidR="0083728C" w:rsidRPr="0083728C" w:rsidRDefault="0083728C" w:rsidP="0083728C">
      <w:pPr>
        <w:pStyle w:val="SingleTxtG"/>
        <w:rPr>
          <w:lang w:val="en-GB"/>
        </w:rPr>
      </w:pPr>
      <w:r w:rsidRPr="0083728C">
        <w:rPr>
          <w:lang w:val="en-GB"/>
        </w:rPr>
        <w:t>5.4.3</w:t>
      </w:r>
      <w:r w:rsidRPr="0083728C">
        <w:rPr>
          <w:lang w:val="en-GB"/>
        </w:rPr>
        <w:tab/>
        <w:t>Add the following new paragraph:</w:t>
      </w:r>
    </w:p>
    <w:p w:rsidR="0083728C" w:rsidRPr="0083728C" w:rsidRDefault="0083728C" w:rsidP="0083728C">
      <w:pPr>
        <w:pStyle w:val="SingleTxtG"/>
        <w:rPr>
          <w:lang w:val="en-GB"/>
        </w:rPr>
      </w:pPr>
      <w:r w:rsidRPr="0083728C">
        <w:rPr>
          <w:lang w:val="en-GB"/>
        </w:rPr>
        <w:t>“5.4.3.5</w:t>
      </w:r>
      <w:r w:rsidRPr="0083728C">
        <w:rPr>
          <w:lang w:val="en-GB"/>
        </w:rPr>
        <w:tab/>
        <w:t>Contracting Parties shall provide the UNECE secretariat with the official translation of the instructions in writing in their national language(s), in accordance with this section. The UNECE secretariat shall make the national versions of the instructions in writing that it has received available to all Contracting Parties.”.</w:t>
      </w:r>
    </w:p>
    <w:p w:rsidR="00133F18" w:rsidRPr="00C17E19" w:rsidRDefault="00133F18" w:rsidP="002B0C85">
      <w:pPr>
        <w:pStyle w:val="SingleTxtG"/>
        <w:spacing w:before="240" w:after="0"/>
        <w:jc w:val="center"/>
        <w:rPr>
          <w:u w:val="single"/>
          <w:lang w:val="en-GB"/>
        </w:rPr>
      </w:pPr>
      <w:r w:rsidRPr="00C17E19">
        <w:rPr>
          <w:u w:val="single"/>
          <w:lang w:val="en-GB"/>
        </w:rPr>
        <w:tab/>
      </w:r>
      <w:r w:rsidRPr="00C17E19">
        <w:rPr>
          <w:u w:val="single"/>
          <w:lang w:val="en-GB"/>
        </w:rPr>
        <w:tab/>
      </w:r>
      <w:r w:rsidRPr="00C17E19">
        <w:rPr>
          <w:u w:val="single"/>
          <w:lang w:val="en-GB"/>
        </w:rPr>
        <w:tab/>
      </w:r>
    </w:p>
    <w:sectPr w:rsidR="00133F18" w:rsidRPr="00C17E19" w:rsidSect="00F73F3A">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CA" w:rsidRDefault="003B23CA"/>
  </w:endnote>
  <w:endnote w:type="continuationSeparator" w:id="0">
    <w:p w:rsidR="003B23CA" w:rsidRDefault="003B23CA"/>
  </w:endnote>
  <w:endnote w:type="continuationNotice" w:id="1">
    <w:p w:rsidR="003B23CA" w:rsidRPr="00BF38EF" w:rsidRDefault="003B23CA"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F73F3A">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F73F3A">
      <w:rPr>
        <w:b/>
        <w:noProof/>
        <w:sz w:val="18"/>
      </w:rPr>
      <w:t>3</w:t>
    </w:r>
    <w:r w:rsidRPr="00CD428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CA" w:rsidRPr="00D27D5E" w:rsidRDefault="003B23CA" w:rsidP="00D27D5E">
      <w:pPr>
        <w:tabs>
          <w:tab w:val="right" w:pos="2155"/>
        </w:tabs>
        <w:spacing w:after="80"/>
        <w:ind w:left="680"/>
        <w:rPr>
          <w:u w:val="single"/>
        </w:rPr>
      </w:pPr>
      <w:r>
        <w:rPr>
          <w:u w:val="single"/>
        </w:rPr>
        <w:tab/>
      </w:r>
    </w:p>
  </w:footnote>
  <w:footnote w:type="continuationSeparator" w:id="0">
    <w:p w:rsidR="003B23CA" w:rsidRPr="00836A24" w:rsidRDefault="003B23CA" w:rsidP="00836A24">
      <w:pPr>
        <w:tabs>
          <w:tab w:val="right" w:pos="2155"/>
        </w:tabs>
        <w:spacing w:after="80"/>
        <w:ind w:left="680"/>
        <w:rPr>
          <w:u w:val="single"/>
        </w:rPr>
      </w:pPr>
      <w:r w:rsidRPr="00836A24">
        <w:rPr>
          <w:u w:val="single"/>
        </w:rPr>
        <w:tab/>
      </w:r>
    </w:p>
  </w:footnote>
  <w:footnote w:type="continuationNotice" w:id="1">
    <w:p w:rsidR="003B23CA" w:rsidRPr="00BF38EF" w:rsidRDefault="003B23CA" w:rsidP="00BF38EF">
      <w:pPr>
        <w:spacing w:line="240" w:lineRule="auto"/>
        <w:rPr>
          <w:sz w:val="2"/>
          <w:szCs w:val="2"/>
        </w:rPr>
      </w:pPr>
    </w:p>
  </w:footnote>
  <w:footnote w:id="2">
    <w:p w:rsidR="00856CB1" w:rsidRPr="00C17E19" w:rsidRDefault="00856CB1" w:rsidP="00EC66F9">
      <w:pPr>
        <w:pStyle w:val="FootnoteText"/>
        <w:widowControl w:val="0"/>
        <w:tabs>
          <w:tab w:val="clear" w:pos="1021"/>
          <w:tab w:val="right" w:pos="1020"/>
        </w:tabs>
        <w:rPr>
          <w:lang w:val="en-GB"/>
        </w:rPr>
      </w:pPr>
      <w:r>
        <w:tab/>
      </w:r>
      <w:r>
        <w:rPr>
          <w:rStyle w:val="FootnoteReference"/>
        </w:rPr>
        <w:footnoteRef/>
      </w:r>
      <w:r w:rsidRPr="00C17E19">
        <w:rPr>
          <w:lang w:val="en-GB"/>
        </w:rPr>
        <w:tab/>
      </w:r>
      <w:r w:rsidR="00171DAC" w:rsidRPr="00853410">
        <w:rPr>
          <w:lang w:val="en-US"/>
        </w:rPr>
        <w:t>Distributed in German by the Central Commission for the Navigation of the Rhine under the symbol CCNR-ZKR/ADN/WP.15/AC.2/2016/</w:t>
      </w:r>
      <w:r w:rsidR="002F6E51">
        <w:rPr>
          <w:lang w:val="en-US"/>
        </w:rPr>
        <w:t>28</w:t>
      </w:r>
      <w:r w:rsidR="00171DAC" w:rsidRPr="00853410">
        <w:rPr>
          <w:lang w:val="en-US"/>
        </w:rPr>
        <w:t>.</w:t>
      </w:r>
    </w:p>
  </w:footnote>
  <w:footnote w:id="3">
    <w:p w:rsidR="00F524BE" w:rsidRPr="00171DAC" w:rsidRDefault="00856CB1" w:rsidP="00EC66F9">
      <w:pPr>
        <w:pStyle w:val="FootnoteText"/>
        <w:widowControl w:val="0"/>
        <w:tabs>
          <w:tab w:val="clear" w:pos="1021"/>
          <w:tab w:val="right" w:pos="1020"/>
        </w:tabs>
        <w:rPr>
          <w:lang w:val="en-GB"/>
        </w:rPr>
      </w:pPr>
      <w:r w:rsidRPr="00C17E19">
        <w:rPr>
          <w:lang w:val="en-GB"/>
        </w:rPr>
        <w:tab/>
      </w:r>
      <w:r>
        <w:rPr>
          <w:rStyle w:val="FootnoteReference"/>
        </w:rPr>
        <w:footnoteRef/>
      </w:r>
      <w:r w:rsidRPr="00C17E19">
        <w:rPr>
          <w:lang w:val="en-GB"/>
        </w:rPr>
        <w:tab/>
      </w:r>
      <w:r w:rsidR="00171DAC" w:rsidRPr="003D077D">
        <w:rPr>
          <w:lang w:val="en-US"/>
        </w:rPr>
        <w:t xml:space="preserve">In accordance with the programme of work of the Inland Transport Committee for 2016–2017 </w:t>
      </w:r>
      <w:r w:rsidR="00171DAC" w:rsidRPr="00171DAC">
        <w:rPr>
          <w:lang w:val="en-GB"/>
        </w:rPr>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B1" w:rsidRPr="00CD4281" w:rsidRDefault="00856CB1">
    <w:pPr>
      <w:pStyle w:val="Header"/>
    </w:pPr>
    <w:r>
      <w:t>ECE/TRANS/WP.15/AC.2/201</w:t>
    </w:r>
    <w:r w:rsidR="003F3DA4">
      <w:t>6</w:t>
    </w:r>
    <w:r>
      <w:t>/</w:t>
    </w:r>
    <w:r w:rsidR="003F3DA4">
      <w:t>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CB1" w:rsidRPr="00CD4281" w:rsidRDefault="00856CB1" w:rsidP="00CD4281">
    <w:pPr>
      <w:pStyle w:val="Header"/>
      <w:jc w:val="right"/>
    </w:pPr>
    <w:r>
      <w:t>ECE/TRANS/WP.15/AC.2/201</w:t>
    </w:r>
    <w:r w:rsidR="003F3DA4">
      <w:t>6</w:t>
    </w:r>
    <w:r>
      <w:t>/</w:t>
    </w:r>
    <w:r w:rsidR="003F3DA4">
      <w:t>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0047A"/>
    <w:rsid w:val="00003C92"/>
    <w:rsid w:val="00016AC5"/>
    <w:rsid w:val="0003028E"/>
    <w:rsid w:val="00030ADE"/>
    <w:rsid w:val="000312C0"/>
    <w:rsid w:val="000B0D4D"/>
    <w:rsid w:val="000D65BC"/>
    <w:rsid w:val="000F41F2"/>
    <w:rsid w:val="0010156A"/>
    <w:rsid w:val="00133F18"/>
    <w:rsid w:val="00135C0D"/>
    <w:rsid w:val="00135F2D"/>
    <w:rsid w:val="00160540"/>
    <w:rsid w:val="0017182C"/>
    <w:rsid w:val="00171DAC"/>
    <w:rsid w:val="00175156"/>
    <w:rsid w:val="00177007"/>
    <w:rsid w:val="00186EE9"/>
    <w:rsid w:val="00192EEB"/>
    <w:rsid w:val="001947FF"/>
    <w:rsid w:val="001A20FB"/>
    <w:rsid w:val="001B0BE2"/>
    <w:rsid w:val="001B6F40"/>
    <w:rsid w:val="001C61AA"/>
    <w:rsid w:val="001D7F8A"/>
    <w:rsid w:val="001E2C5A"/>
    <w:rsid w:val="001E3FEB"/>
    <w:rsid w:val="001E4A02"/>
    <w:rsid w:val="00215AA3"/>
    <w:rsid w:val="00223B89"/>
    <w:rsid w:val="00225A8C"/>
    <w:rsid w:val="00225F10"/>
    <w:rsid w:val="00234E40"/>
    <w:rsid w:val="00260EA1"/>
    <w:rsid w:val="002659F1"/>
    <w:rsid w:val="00271AAD"/>
    <w:rsid w:val="00271C7C"/>
    <w:rsid w:val="00287E79"/>
    <w:rsid w:val="002928F9"/>
    <w:rsid w:val="00295BC5"/>
    <w:rsid w:val="002A5D07"/>
    <w:rsid w:val="002B0C85"/>
    <w:rsid w:val="002D7669"/>
    <w:rsid w:val="002E457A"/>
    <w:rsid w:val="002E6F0D"/>
    <w:rsid w:val="002F6E51"/>
    <w:rsid w:val="003016B7"/>
    <w:rsid w:val="00320826"/>
    <w:rsid w:val="00330F9C"/>
    <w:rsid w:val="00332BC9"/>
    <w:rsid w:val="00335DC4"/>
    <w:rsid w:val="00340C35"/>
    <w:rsid w:val="00343C15"/>
    <w:rsid w:val="003515AA"/>
    <w:rsid w:val="00370E0F"/>
    <w:rsid w:val="00374106"/>
    <w:rsid w:val="003778FF"/>
    <w:rsid w:val="00386516"/>
    <w:rsid w:val="003976D5"/>
    <w:rsid w:val="003A2189"/>
    <w:rsid w:val="003A2976"/>
    <w:rsid w:val="003B23CA"/>
    <w:rsid w:val="003C3BD4"/>
    <w:rsid w:val="003D1DF3"/>
    <w:rsid w:val="003D46A7"/>
    <w:rsid w:val="003D6C68"/>
    <w:rsid w:val="003E5551"/>
    <w:rsid w:val="003F3DA4"/>
    <w:rsid w:val="004159D0"/>
    <w:rsid w:val="004249E7"/>
    <w:rsid w:val="00442D65"/>
    <w:rsid w:val="004532CE"/>
    <w:rsid w:val="004812F5"/>
    <w:rsid w:val="00493C5D"/>
    <w:rsid w:val="004A5935"/>
    <w:rsid w:val="004D0439"/>
    <w:rsid w:val="004D2EFE"/>
    <w:rsid w:val="004E670C"/>
    <w:rsid w:val="00530F2E"/>
    <w:rsid w:val="00542086"/>
    <w:rsid w:val="00543D5E"/>
    <w:rsid w:val="00571F41"/>
    <w:rsid w:val="005751C6"/>
    <w:rsid w:val="00580744"/>
    <w:rsid w:val="00595BE4"/>
    <w:rsid w:val="005B76A3"/>
    <w:rsid w:val="005C6D4D"/>
    <w:rsid w:val="005E5D1F"/>
    <w:rsid w:val="00603391"/>
    <w:rsid w:val="00611D43"/>
    <w:rsid w:val="00612D48"/>
    <w:rsid w:val="00616B45"/>
    <w:rsid w:val="00630D9B"/>
    <w:rsid w:val="00631953"/>
    <w:rsid w:val="0063383D"/>
    <w:rsid w:val="006439EC"/>
    <w:rsid w:val="00646CBB"/>
    <w:rsid w:val="00653D13"/>
    <w:rsid w:val="006644B5"/>
    <w:rsid w:val="0068004D"/>
    <w:rsid w:val="006823B6"/>
    <w:rsid w:val="006B4590"/>
    <w:rsid w:val="006C340C"/>
    <w:rsid w:val="006D3C84"/>
    <w:rsid w:val="006E5FC7"/>
    <w:rsid w:val="0070347C"/>
    <w:rsid w:val="00703489"/>
    <w:rsid w:val="007135ED"/>
    <w:rsid w:val="007176C1"/>
    <w:rsid w:val="00723FD7"/>
    <w:rsid w:val="00735A79"/>
    <w:rsid w:val="00757D0A"/>
    <w:rsid w:val="007631C0"/>
    <w:rsid w:val="00763EB9"/>
    <w:rsid w:val="00775AED"/>
    <w:rsid w:val="00790336"/>
    <w:rsid w:val="00790F2F"/>
    <w:rsid w:val="00792096"/>
    <w:rsid w:val="007C3C4F"/>
    <w:rsid w:val="007C6111"/>
    <w:rsid w:val="007F55CB"/>
    <w:rsid w:val="00802B5E"/>
    <w:rsid w:val="00805BAD"/>
    <w:rsid w:val="008100E5"/>
    <w:rsid w:val="00812C1A"/>
    <w:rsid w:val="00825170"/>
    <w:rsid w:val="008317F6"/>
    <w:rsid w:val="00836A24"/>
    <w:rsid w:val="0083728C"/>
    <w:rsid w:val="008440B8"/>
    <w:rsid w:val="00844750"/>
    <w:rsid w:val="00856CB1"/>
    <w:rsid w:val="008B44C4"/>
    <w:rsid w:val="008B7879"/>
    <w:rsid w:val="008C5FAD"/>
    <w:rsid w:val="008D3919"/>
    <w:rsid w:val="008E7FAE"/>
    <w:rsid w:val="008F40D2"/>
    <w:rsid w:val="009064BF"/>
    <w:rsid w:val="00911BF7"/>
    <w:rsid w:val="00916183"/>
    <w:rsid w:val="00935E45"/>
    <w:rsid w:val="00952FDB"/>
    <w:rsid w:val="00974DF0"/>
    <w:rsid w:val="00975B8F"/>
    <w:rsid w:val="009761FC"/>
    <w:rsid w:val="00977EC8"/>
    <w:rsid w:val="00983D68"/>
    <w:rsid w:val="00995D62"/>
    <w:rsid w:val="009B18A3"/>
    <w:rsid w:val="009C5907"/>
    <w:rsid w:val="009D3A8C"/>
    <w:rsid w:val="009E01B8"/>
    <w:rsid w:val="009E2194"/>
    <w:rsid w:val="009E7956"/>
    <w:rsid w:val="00A025E4"/>
    <w:rsid w:val="00A2161E"/>
    <w:rsid w:val="00A2492E"/>
    <w:rsid w:val="00A44C79"/>
    <w:rsid w:val="00A666CE"/>
    <w:rsid w:val="00A669C6"/>
    <w:rsid w:val="00A70163"/>
    <w:rsid w:val="00AB3EF4"/>
    <w:rsid w:val="00AC67A1"/>
    <w:rsid w:val="00AC7977"/>
    <w:rsid w:val="00AD15AE"/>
    <w:rsid w:val="00AD27FA"/>
    <w:rsid w:val="00AE352C"/>
    <w:rsid w:val="00AE5075"/>
    <w:rsid w:val="00B32E2D"/>
    <w:rsid w:val="00B4466B"/>
    <w:rsid w:val="00B61990"/>
    <w:rsid w:val="00B72D29"/>
    <w:rsid w:val="00B75EC5"/>
    <w:rsid w:val="00B85D99"/>
    <w:rsid w:val="00B93E72"/>
    <w:rsid w:val="00BF0556"/>
    <w:rsid w:val="00BF38EF"/>
    <w:rsid w:val="00C0250B"/>
    <w:rsid w:val="00C17E19"/>
    <w:rsid w:val="00C24B53"/>
    <w:rsid w:val="00C261F8"/>
    <w:rsid w:val="00C26D07"/>
    <w:rsid w:val="00C27150"/>
    <w:rsid w:val="00C33100"/>
    <w:rsid w:val="00C43BB0"/>
    <w:rsid w:val="00C44213"/>
    <w:rsid w:val="00C57892"/>
    <w:rsid w:val="00C940E9"/>
    <w:rsid w:val="00CA1414"/>
    <w:rsid w:val="00CB17A1"/>
    <w:rsid w:val="00CB6267"/>
    <w:rsid w:val="00CB694A"/>
    <w:rsid w:val="00CD1A71"/>
    <w:rsid w:val="00CD1FBB"/>
    <w:rsid w:val="00CD4281"/>
    <w:rsid w:val="00CE5BF6"/>
    <w:rsid w:val="00D016B5"/>
    <w:rsid w:val="00D034F1"/>
    <w:rsid w:val="00D04D8B"/>
    <w:rsid w:val="00D05E95"/>
    <w:rsid w:val="00D11B17"/>
    <w:rsid w:val="00D205A3"/>
    <w:rsid w:val="00D24779"/>
    <w:rsid w:val="00D27D5E"/>
    <w:rsid w:val="00D60301"/>
    <w:rsid w:val="00D751D5"/>
    <w:rsid w:val="00D761E2"/>
    <w:rsid w:val="00DA57D4"/>
    <w:rsid w:val="00DB4793"/>
    <w:rsid w:val="00DE01E3"/>
    <w:rsid w:val="00DE45DF"/>
    <w:rsid w:val="00DE6D90"/>
    <w:rsid w:val="00DE7B6E"/>
    <w:rsid w:val="00DF002F"/>
    <w:rsid w:val="00E0244D"/>
    <w:rsid w:val="00E0331A"/>
    <w:rsid w:val="00E37AE2"/>
    <w:rsid w:val="00E401F2"/>
    <w:rsid w:val="00E413D8"/>
    <w:rsid w:val="00E47862"/>
    <w:rsid w:val="00E50079"/>
    <w:rsid w:val="00E55D71"/>
    <w:rsid w:val="00E81E94"/>
    <w:rsid w:val="00E82607"/>
    <w:rsid w:val="00EA31C2"/>
    <w:rsid w:val="00EC66F9"/>
    <w:rsid w:val="00ED734B"/>
    <w:rsid w:val="00ED7E18"/>
    <w:rsid w:val="00EE2EA3"/>
    <w:rsid w:val="00EF1183"/>
    <w:rsid w:val="00EF486C"/>
    <w:rsid w:val="00EF6EE5"/>
    <w:rsid w:val="00F01516"/>
    <w:rsid w:val="00F460D3"/>
    <w:rsid w:val="00F524BE"/>
    <w:rsid w:val="00F57129"/>
    <w:rsid w:val="00F73F3A"/>
    <w:rsid w:val="00FA5A79"/>
    <w:rsid w:val="00FB00CB"/>
    <w:rsid w:val="00FB0BFE"/>
    <w:rsid w:val="00FB129B"/>
    <w:rsid w:val="00FB4C51"/>
    <w:rsid w:val="00FB62F2"/>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docId w15:val="{C0B48E60-ED99-4389-BFAA-ECBD6A7B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02</cp:lastModifiedBy>
  <cp:revision>28</cp:revision>
  <cp:lastPrinted>2016-06-09T13:02:00Z</cp:lastPrinted>
  <dcterms:created xsi:type="dcterms:W3CDTF">2016-06-03T08:12:00Z</dcterms:created>
  <dcterms:modified xsi:type="dcterms:W3CDTF">2016-06-09T13:03:00Z</dcterms:modified>
</cp:coreProperties>
</file>