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11A23" w:rsidP="00011A23">
            <w:pPr>
              <w:suppressAutoHyphens w:val="0"/>
              <w:spacing w:after="20"/>
              <w:jc w:val="right"/>
            </w:pPr>
            <w:r w:rsidRPr="00011A23">
              <w:rPr>
                <w:sz w:val="40"/>
              </w:rPr>
              <w:t>ECE</w:t>
            </w:r>
            <w:r>
              <w:t>/TRANS/WP.15/AC.2/2016/34</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11A23" w:rsidP="00011A23">
            <w:pPr>
              <w:suppressAutoHyphens w:val="0"/>
              <w:spacing w:before="240" w:line="240" w:lineRule="exact"/>
            </w:pPr>
            <w:r>
              <w:t>Distr.: General</w:t>
            </w:r>
          </w:p>
          <w:p w:rsidR="00011A23" w:rsidRDefault="00011A23" w:rsidP="00011A23">
            <w:pPr>
              <w:suppressAutoHyphens w:val="0"/>
            </w:pPr>
            <w:r>
              <w:t>2 June 2016</w:t>
            </w:r>
          </w:p>
          <w:p w:rsidR="00011A23" w:rsidRDefault="00011A23" w:rsidP="00011A23">
            <w:pPr>
              <w:suppressAutoHyphens w:val="0"/>
            </w:pPr>
            <w:r>
              <w:t>English</w:t>
            </w:r>
          </w:p>
          <w:p w:rsidR="00011A23" w:rsidRDefault="00011A23" w:rsidP="00011A23">
            <w:pPr>
              <w:suppressAutoHyphens w:val="0"/>
            </w:pPr>
            <w:r>
              <w:t>Original: French</w:t>
            </w:r>
          </w:p>
        </w:tc>
      </w:tr>
    </w:tbl>
    <w:p w:rsidR="00011A23" w:rsidRDefault="00011A23">
      <w:pPr>
        <w:spacing w:before="120"/>
        <w:rPr>
          <w:b/>
          <w:sz w:val="28"/>
          <w:szCs w:val="28"/>
        </w:rPr>
      </w:pPr>
      <w:r>
        <w:rPr>
          <w:b/>
          <w:sz w:val="28"/>
          <w:szCs w:val="28"/>
        </w:rPr>
        <w:t>Economic Commission for Europe</w:t>
      </w:r>
    </w:p>
    <w:p w:rsidR="00011A23" w:rsidRDefault="00011A23">
      <w:pPr>
        <w:spacing w:before="120"/>
        <w:rPr>
          <w:sz w:val="28"/>
          <w:szCs w:val="28"/>
        </w:rPr>
      </w:pPr>
      <w:r>
        <w:rPr>
          <w:sz w:val="28"/>
          <w:szCs w:val="28"/>
        </w:rPr>
        <w:t>Inland Transport Committee</w:t>
      </w:r>
    </w:p>
    <w:p w:rsidR="00011A23" w:rsidRDefault="00011A23" w:rsidP="00011A23">
      <w:pPr>
        <w:spacing w:before="120"/>
        <w:rPr>
          <w:b/>
          <w:sz w:val="24"/>
          <w:szCs w:val="24"/>
        </w:rPr>
      </w:pPr>
      <w:r>
        <w:rPr>
          <w:b/>
          <w:sz w:val="24"/>
          <w:szCs w:val="24"/>
        </w:rPr>
        <w:t xml:space="preserve">Working Party on the Transport of </w:t>
      </w:r>
      <w:r w:rsidRPr="00011A23">
        <w:rPr>
          <w:b/>
          <w:sz w:val="24"/>
          <w:szCs w:val="24"/>
        </w:rPr>
        <w:t>Dangerous Goods</w:t>
      </w:r>
    </w:p>
    <w:p w:rsidR="00011A23" w:rsidRPr="00011A23" w:rsidRDefault="00011A23" w:rsidP="00011A23">
      <w:pPr>
        <w:pStyle w:val="BodyText"/>
      </w:pPr>
      <w:r w:rsidRPr="00011A23">
        <w:t>Joint Meeting of Experts on the Regulations annexed to the</w:t>
      </w:r>
      <w:r w:rsidRPr="00011A23">
        <w:br/>
        <w:t>European Agreement concerning the International Carriage</w:t>
      </w:r>
      <w:r w:rsidRPr="00011A23">
        <w:br/>
        <w:t>of Dangerous Goods by Inland Waterways (ADN)</w:t>
      </w:r>
      <w:r w:rsidRPr="00011A23">
        <w:br/>
        <w:t>(ADN Safety Committee)</w:t>
      </w:r>
    </w:p>
    <w:p w:rsidR="00011A23" w:rsidRPr="00011A23" w:rsidRDefault="00011A23" w:rsidP="00011A23">
      <w:pPr>
        <w:spacing w:before="120"/>
        <w:rPr>
          <w:b/>
          <w:bCs/>
        </w:rPr>
      </w:pPr>
      <w:r w:rsidRPr="00011A23">
        <w:rPr>
          <w:b/>
          <w:bCs/>
        </w:rPr>
        <w:t>Twenty-ninth session</w:t>
      </w:r>
    </w:p>
    <w:p w:rsidR="00011A23" w:rsidRPr="00330A98" w:rsidRDefault="00011A23" w:rsidP="00011A23">
      <w:r w:rsidRPr="00330A98">
        <w:t>Geneva, 22-26 August 2016</w:t>
      </w:r>
    </w:p>
    <w:p w:rsidR="00011A23" w:rsidRPr="00330A98" w:rsidRDefault="00011A23" w:rsidP="00011A23">
      <w:r w:rsidRPr="00330A98">
        <w:t>Item 3 (c) of the provisional agenda</w:t>
      </w:r>
    </w:p>
    <w:p w:rsidR="00011A23" w:rsidRPr="00011A23" w:rsidRDefault="00011A23" w:rsidP="00011A23">
      <w:pPr>
        <w:rPr>
          <w:b/>
          <w:bCs/>
        </w:rPr>
      </w:pPr>
      <w:r w:rsidRPr="00011A23">
        <w:rPr>
          <w:b/>
          <w:bCs/>
        </w:rPr>
        <w:t xml:space="preserve">Implementation of the European Agreement </w:t>
      </w:r>
    </w:p>
    <w:p w:rsidR="00011A23" w:rsidRPr="00011A23" w:rsidRDefault="00011A23" w:rsidP="00011A23">
      <w:pPr>
        <w:rPr>
          <w:b/>
          <w:bCs/>
        </w:rPr>
      </w:pPr>
      <w:r w:rsidRPr="00011A23">
        <w:rPr>
          <w:b/>
          <w:bCs/>
        </w:rPr>
        <w:t xml:space="preserve">concerning the International Carriage of </w:t>
      </w:r>
    </w:p>
    <w:p w:rsidR="00011A23" w:rsidRPr="00011A23" w:rsidRDefault="00011A23" w:rsidP="00011A23">
      <w:pPr>
        <w:rPr>
          <w:b/>
          <w:bCs/>
        </w:rPr>
      </w:pPr>
      <w:r w:rsidRPr="00011A23">
        <w:rPr>
          <w:b/>
          <w:bCs/>
        </w:rPr>
        <w:t xml:space="preserve">Dangerous Goods by Inland Waterways (ADN): </w:t>
      </w:r>
    </w:p>
    <w:p w:rsidR="00011A23" w:rsidRPr="00011A23" w:rsidRDefault="00011A23" w:rsidP="00011A23">
      <w:pPr>
        <w:rPr>
          <w:b/>
          <w:bCs/>
        </w:rPr>
      </w:pPr>
      <w:r w:rsidRPr="00011A23">
        <w:rPr>
          <w:b/>
          <w:bCs/>
        </w:rPr>
        <w:t>Interpretation of the Regulations annexed to ADN</w:t>
      </w:r>
    </w:p>
    <w:p w:rsidR="00011A23" w:rsidRPr="00330A98" w:rsidRDefault="00011A23" w:rsidP="002A6808">
      <w:pPr>
        <w:pStyle w:val="HChG"/>
        <w:spacing w:before="280"/>
      </w:pPr>
      <w:r w:rsidRPr="00330A98">
        <w:tab/>
      </w:r>
      <w:r w:rsidRPr="00330A98">
        <w:tab/>
        <w:t>7.2.4.1 of ADN, carriage of packages on board tank vessels</w:t>
      </w:r>
    </w:p>
    <w:p w:rsidR="00011A23" w:rsidRDefault="00011A23" w:rsidP="002A6808">
      <w:pPr>
        <w:pStyle w:val="H1G"/>
        <w:spacing w:before="320"/>
      </w:pPr>
      <w:r w:rsidRPr="00330A98">
        <w:tab/>
      </w:r>
      <w:r w:rsidRPr="00330A98">
        <w:tab/>
        <w:t>Transmitted by the Government of Germany</w:t>
      </w:r>
      <w:r w:rsidRPr="00011A23">
        <w:rPr>
          <w:rStyle w:val="FootnoteReference"/>
        </w:rPr>
        <w:footnoteReference w:id="1"/>
      </w:r>
      <w:r w:rsidRPr="00C4096D">
        <w:rPr>
          <w:sz w:val="18"/>
          <w:szCs w:val="18"/>
        </w:rPr>
        <w:t>,</w:t>
      </w:r>
      <w:r w:rsidRPr="00011A23">
        <w:rPr>
          <w:rStyle w:val="FootnoteReference"/>
        </w:rPr>
        <w:footnoteReference w:id="2"/>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011A23" w:rsidRPr="00011A23" w:rsidTr="00EB06A9">
        <w:trPr>
          <w:jc w:val="center"/>
        </w:trPr>
        <w:tc>
          <w:tcPr>
            <w:tcW w:w="9637" w:type="dxa"/>
            <w:tcBorders>
              <w:bottom w:val="nil"/>
            </w:tcBorders>
          </w:tcPr>
          <w:p w:rsidR="00011A23" w:rsidRPr="00011A23" w:rsidRDefault="00011A23" w:rsidP="00EB06A9">
            <w:pPr>
              <w:tabs>
                <w:tab w:val="left" w:pos="255"/>
              </w:tabs>
              <w:suppressAutoHyphens w:val="0"/>
              <w:spacing w:before="240" w:after="120"/>
              <w:rPr>
                <w:sz w:val="24"/>
              </w:rPr>
            </w:pPr>
            <w:r w:rsidRPr="00011A23">
              <w:tab/>
            </w:r>
            <w:r w:rsidRPr="00011A23">
              <w:rPr>
                <w:i/>
                <w:sz w:val="24"/>
              </w:rPr>
              <w:t>Summary</w:t>
            </w:r>
          </w:p>
        </w:tc>
      </w:tr>
      <w:tr w:rsidR="00011A23" w:rsidRPr="00011A23" w:rsidTr="00EB06A9">
        <w:trPr>
          <w:jc w:val="center"/>
        </w:trPr>
        <w:tc>
          <w:tcPr>
            <w:tcW w:w="9637" w:type="dxa"/>
            <w:tcBorders>
              <w:top w:val="nil"/>
              <w:bottom w:val="nil"/>
            </w:tcBorders>
            <w:shd w:val="clear" w:color="auto" w:fill="auto"/>
          </w:tcPr>
          <w:p w:rsidR="00011A23" w:rsidRPr="00011A23" w:rsidRDefault="00011A23" w:rsidP="006B6EE1">
            <w:pPr>
              <w:pStyle w:val="SingleTxtG"/>
              <w:spacing w:after="60"/>
              <w:ind w:left="2552" w:hanging="2268"/>
            </w:pPr>
            <w:r w:rsidRPr="00011A23">
              <w:rPr>
                <w:rFonts w:eastAsia="Times New Roman"/>
                <w:b/>
                <w:szCs w:val="22"/>
                <w:lang w:eastAsia="en-US"/>
              </w:rPr>
              <w:t>Executive</w:t>
            </w:r>
            <w:r w:rsidRPr="00011A23">
              <w:t xml:space="preserve"> </w:t>
            </w:r>
            <w:r w:rsidRPr="00011A23">
              <w:rPr>
                <w:b/>
                <w:bCs/>
              </w:rPr>
              <w:t>summary</w:t>
            </w:r>
            <w:r w:rsidRPr="00011A23">
              <w:t>:</w:t>
            </w:r>
            <w:r w:rsidRPr="00011A23">
              <w:tab/>
              <w:t>7.2.4.1 of ADN permits the carriage of some packages on board tank vessels.</w:t>
            </w:r>
          </w:p>
        </w:tc>
      </w:tr>
      <w:tr w:rsidR="006B6EE1" w:rsidRPr="00011A23" w:rsidTr="00EB06A9">
        <w:trPr>
          <w:jc w:val="center"/>
        </w:trPr>
        <w:tc>
          <w:tcPr>
            <w:tcW w:w="9637" w:type="dxa"/>
            <w:tcBorders>
              <w:top w:val="nil"/>
              <w:bottom w:val="nil"/>
            </w:tcBorders>
            <w:shd w:val="clear" w:color="auto" w:fill="auto"/>
          </w:tcPr>
          <w:p w:rsidR="006B6EE1" w:rsidRPr="00011A23" w:rsidRDefault="006B6EE1" w:rsidP="00011A23">
            <w:pPr>
              <w:pStyle w:val="SingleTxtG"/>
              <w:spacing w:after="60"/>
              <w:ind w:left="2552" w:hanging="2268"/>
              <w:rPr>
                <w:rFonts w:eastAsia="Times New Roman"/>
                <w:b/>
                <w:szCs w:val="22"/>
                <w:lang w:eastAsia="en-US"/>
              </w:rPr>
            </w:pPr>
            <w:r w:rsidRPr="00011A23">
              <w:tab/>
              <w:t>There is no clear indication of whether only the receptacle has to meet these requirements or if all carriage on board a tank vessel must comply with the conditions established for the carriage of packages on board dry cargo vessels.</w:t>
            </w:r>
          </w:p>
        </w:tc>
      </w:tr>
      <w:tr w:rsidR="00011A23" w:rsidRPr="00011A23" w:rsidTr="00EB06A9">
        <w:trPr>
          <w:jc w:val="center"/>
        </w:trPr>
        <w:tc>
          <w:tcPr>
            <w:tcW w:w="9637" w:type="dxa"/>
            <w:tcBorders>
              <w:top w:val="nil"/>
              <w:bottom w:val="nil"/>
            </w:tcBorders>
            <w:shd w:val="clear" w:color="auto" w:fill="auto"/>
          </w:tcPr>
          <w:p w:rsidR="00011A23" w:rsidRPr="00011A23" w:rsidRDefault="00011A23" w:rsidP="00011A23">
            <w:pPr>
              <w:pStyle w:val="SingleTxtG"/>
              <w:spacing w:after="60"/>
              <w:ind w:left="2552" w:hanging="2268"/>
            </w:pPr>
            <w:r w:rsidRPr="00011A23">
              <w:rPr>
                <w:b/>
                <w:bCs/>
              </w:rPr>
              <w:t>Action to be taken</w:t>
            </w:r>
            <w:r w:rsidRPr="00011A23">
              <w:t>:</w:t>
            </w:r>
            <w:r w:rsidRPr="00011A23">
              <w:tab/>
            </w:r>
            <w:r w:rsidRPr="00011A23">
              <w:rPr>
                <w:rFonts w:eastAsia="Times New Roman"/>
                <w:bCs/>
                <w:lang w:eastAsia="en-US"/>
              </w:rPr>
              <w:t>Consideration</w:t>
            </w:r>
            <w:r w:rsidRPr="00011A23">
              <w:t xml:space="preserve"> by the ADN Safety Committee. Inclusion of proper interpretation in the report of the meeting.</w:t>
            </w:r>
          </w:p>
        </w:tc>
      </w:tr>
      <w:tr w:rsidR="00011A23" w:rsidRPr="00011A23" w:rsidTr="00EB06A9">
        <w:trPr>
          <w:jc w:val="center"/>
        </w:trPr>
        <w:tc>
          <w:tcPr>
            <w:tcW w:w="9637" w:type="dxa"/>
            <w:tcBorders>
              <w:top w:val="nil"/>
              <w:bottom w:val="nil"/>
            </w:tcBorders>
            <w:shd w:val="clear" w:color="auto" w:fill="auto"/>
          </w:tcPr>
          <w:p w:rsidR="00011A23" w:rsidRPr="00011A23" w:rsidRDefault="00011A23" w:rsidP="00011A23">
            <w:pPr>
              <w:pStyle w:val="SingleTxtG"/>
              <w:spacing w:after="60"/>
              <w:ind w:left="2552" w:hanging="2268"/>
            </w:pPr>
            <w:r w:rsidRPr="00011A23">
              <w:rPr>
                <w:b/>
                <w:bCs/>
              </w:rPr>
              <w:t>Related documents</w:t>
            </w:r>
            <w:r w:rsidRPr="00011A23">
              <w:t>:</w:t>
            </w:r>
            <w:r w:rsidRPr="00011A23">
              <w:tab/>
            </w:r>
            <w:r w:rsidRPr="00011A23">
              <w:rPr>
                <w:rFonts w:eastAsia="Times New Roman"/>
                <w:bCs/>
                <w:lang w:eastAsia="en-US"/>
              </w:rPr>
              <w:t>None</w:t>
            </w:r>
            <w:r w:rsidRPr="00011A23">
              <w:t xml:space="preserve"> </w:t>
            </w:r>
          </w:p>
        </w:tc>
      </w:tr>
      <w:tr w:rsidR="00011A23" w:rsidRPr="00011A23" w:rsidTr="00EB06A9">
        <w:trPr>
          <w:jc w:val="center"/>
        </w:trPr>
        <w:tc>
          <w:tcPr>
            <w:tcW w:w="9637" w:type="dxa"/>
            <w:tcBorders>
              <w:top w:val="nil"/>
            </w:tcBorders>
          </w:tcPr>
          <w:p w:rsidR="00011A23" w:rsidRPr="00011A23" w:rsidRDefault="00011A23" w:rsidP="00EB06A9">
            <w:pPr>
              <w:suppressAutoHyphens w:val="0"/>
            </w:pPr>
          </w:p>
        </w:tc>
      </w:tr>
    </w:tbl>
    <w:p w:rsidR="00011A23" w:rsidRPr="00330A98" w:rsidRDefault="00011A23" w:rsidP="00011A23">
      <w:pPr>
        <w:pStyle w:val="HChG"/>
      </w:pPr>
      <w:r w:rsidRPr="00330A98">
        <w:tab/>
        <w:t>I.</w:t>
      </w:r>
      <w:r w:rsidRPr="00330A98">
        <w:tab/>
        <w:t>Introduction</w:t>
      </w:r>
    </w:p>
    <w:p w:rsidR="00011A23" w:rsidRPr="00330A98" w:rsidRDefault="00011A23" w:rsidP="00011A23">
      <w:pPr>
        <w:pStyle w:val="SingleTxtG"/>
      </w:pPr>
      <w:r w:rsidRPr="00330A98">
        <w:t>1.</w:t>
      </w:r>
      <w:r w:rsidRPr="00330A98">
        <w:tab/>
        <w:t xml:space="preserve">7.2.4.1 of ADN allows the carriage of some packages, of dangerous or other goods, on board tank vessels. </w:t>
      </w:r>
    </w:p>
    <w:p w:rsidR="00011A23" w:rsidRPr="00330A98" w:rsidRDefault="00011A23" w:rsidP="00011A23">
      <w:pPr>
        <w:pStyle w:val="SingleTxtG"/>
      </w:pPr>
      <w:r w:rsidRPr="00330A98">
        <w:t>2.</w:t>
      </w:r>
      <w:r w:rsidRPr="00330A98">
        <w:tab/>
        <w:t>7.2.4.1.1 of ADN specifies that the receptacles for</w:t>
      </w:r>
      <w:r>
        <w:t xml:space="preserve"> </w:t>
      </w:r>
      <w:r w:rsidRPr="00330A98">
        <w:t>residual</w:t>
      </w:r>
      <w:r>
        <w:t xml:space="preserve"> </w:t>
      </w:r>
      <w:r w:rsidRPr="00330A98">
        <w:t xml:space="preserve">products </w:t>
      </w:r>
      <w:r>
        <w:t>“</w:t>
      </w:r>
      <w:r w:rsidRPr="00330A98">
        <w:t>shall</w:t>
      </w:r>
      <w:r>
        <w:t xml:space="preserve"> </w:t>
      </w:r>
      <w:r w:rsidRPr="00330A98">
        <w:t>meet</w:t>
      </w:r>
      <w:r>
        <w:t xml:space="preserve"> </w:t>
      </w:r>
      <w:r w:rsidRPr="00330A98">
        <w:t>the</w:t>
      </w:r>
      <w:r>
        <w:t xml:space="preserve"> </w:t>
      </w:r>
      <w:r w:rsidRPr="00330A98">
        <w:t>requirements</w:t>
      </w:r>
      <w:r>
        <w:t xml:space="preserve"> </w:t>
      </w:r>
      <w:r w:rsidRPr="00330A98">
        <w:t>of</w:t>
      </w:r>
      <w:r>
        <w:t xml:space="preserve"> </w:t>
      </w:r>
      <w:r w:rsidRPr="00330A98">
        <w:t>international</w:t>
      </w:r>
      <w:r>
        <w:t xml:space="preserve"> </w:t>
      </w:r>
      <w:r w:rsidRPr="00330A98">
        <w:t>regulations</w:t>
      </w:r>
      <w:r>
        <w:t xml:space="preserve"> </w:t>
      </w:r>
      <w:r w:rsidRPr="00330A98">
        <w:t>applicable</w:t>
      </w:r>
      <w:r>
        <w:t xml:space="preserve"> </w:t>
      </w:r>
      <w:r w:rsidRPr="00330A98">
        <w:t>to</w:t>
      </w:r>
      <w:r>
        <w:t xml:space="preserve"> </w:t>
      </w:r>
      <w:r w:rsidRPr="00330A98">
        <w:t>the</w:t>
      </w:r>
      <w:r>
        <w:t xml:space="preserve"> </w:t>
      </w:r>
      <w:r w:rsidRPr="00330A98">
        <w:t>substance</w:t>
      </w:r>
      <w:r>
        <w:t xml:space="preserve"> </w:t>
      </w:r>
      <w:r w:rsidRPr="00330A98">
        <w:t>concerned</w:t>
      </w:r>
      <w:r>
        <w:t>”</w:t>
      </w:r>
      <w:r w:rsidRPr="00330A98">
        <w:t>.</w:t>
      </w:r>
    </w:p>
    <w:p w:rsidR="00011A23" w:rsidRPr="00330A98" w:rsidRDefault="00011A23" w:rsidP="00011A23">
      <w:pPr>
        <w:pStyle w:val="HChG"/>
      </w:pPr>
      <w:r w:rsidRPr="00330A98">
        <w:tab/>
        <w:t>II.</w:t>
      </w:r>
      <w:r w:rsidRPr="00330A98">
        <w:tab/>
        <w:t>Question of interpretation</w:t>
      </w:r>
    </w:p>
    <w:p w:rsidR="00011A23" w:rsidRPr="00330A98" w:rsidRDefault="00011A23" w:rsidP="00011A23">
      <w:pPr>
        <w:pStyle w:val="SingleTxtG"/>
      </w:pPr>
      <w:r w:rsidRPr="00330A98">
        <w:t>3.</w:t>
      </w:r>
      <w:r w:rsidRPr="00330A98">
        <w:tab/>
        <w:t>Should the packages mentioned in 7.2.4.1 of ADN also comply with the requirements applicable to the carriage of packages on board dry cargo vessels? (e.g. transport document, marking and approval of packaging, shells, tank-containers and portable tanks).</w:t>
      </w:r>
    </w:p>
    <w:p w:rsidR="00011A23" w:rsidRPr="00330A98" w:rsidRDefault="00011A23" w:rsidP="00011A23">
      <w:pPr>
        <w:pStyle w:val="SingleTxtG"/>
      </w:pPr>
      <w:r w:rsidRPr="00330A98">
        <w:t>4.</w:t>
      </w:r>
      <w:r w:rsidRPr="00330A98">
        <w:tab/>
        <w:t xml:space="preserve">If that is the case, 1.1.3.6 of ADN, and specifically 1.1.3.6.2 (a), (b), (c) and (e), could apply to intermediate bulk containers (IBCs), with exemptions depending on the quantities carried. </w:t>
      </w:r>
    </w:p>
    <w:p w:rsidR="00011A23" w:rsidRPr="00330A98" w:rsidRDefault="00011A23" w:rsidP="00011A23">
      <w:pPr>
        <w:pStyle w:val="SingleTxtG"/>
      </w:pPr>
      <w:r w:rsidRPr="00330A98">
        <w:t>5.</w:t>
      </w:r>
      <w:r w:rsidRPr="00330A98">
        <w:tab/>
        <w:t xml:space="preserve">1.1.3.6.2 (d) would not apply, as tank vessels do not have holds. Receptacles for residual products are stored on the bridge. Thus, </w:t>
      </w:r>
      <w:r>
        <w:t>“</w:t>
      </w:r>
      <w:r w:rsidRPr="00330A98">
        <w:t>in the cargo area</w:t>
      </w:r>
      <w:r>
        <w:t>”</w:t>
      </w:r>
      <w:r w:rsidRPr="00330A98">
        <w:t xml:space="preserve"> should be included.</w:t>
      </w:r>
    </w:p>
    <w:p w:rsidR="00011A23" w:rsidRPr="00330A98" w:rsidRDefault="00011A23" w:rsidP="00011A23">
      <w:pPr>
        <w:pStyle w:val="HChG"/>
      </w:pPr>
      <w:r w:rsidRPr="00330A98">
        <w:tab/>
        <w:t>III.</w:t>
      </w:r>
      <w:r w:rsidRPr="00330A98">
        <w:tab/>
        <w:t>The position of Germany</w:t>
      </w:r>
    </w:p>
    <w:p w:rsidR="00011A23" w:rsidRPr="00330A98" w:rsidRDefault="00011A23" w:rsidP="00011A23">
      <w:pPr>
        <w:pStyle w:val="SingleTxtG"/>
      </w:pPr>
      <w:r w:rsidRPr="00330A98">
        <w:t>6.</w:t>
      </w:r>
      <w:r w:rsidRPr="00330A98">
        <w:tab/>
        <w:t xml:space="preserve"> Receptacles for residual products and receptacles for slops are mentioned after the following introduction:</w:t>
      </w:r>
    </w:p>
    <w:p w:rsidR="00011A23" w:rsidRPr="00330A98" w:rsidRDefault="00011A23" w:rsidP="00E848E8">
      <w:pPr>
        <w:pStyle w:val="SingleTxtG"/>
      </w:pPr>
      <w:r>
        <w:t>“</w:t>
      </w:r>
      <w:r w:rsidRPr="00330A98">
        <w:t>7.2.4.1.1</w:t>
      </w:r>
      <w:r w:rsidR="00E848E8">
        <w:tab/>
      </w:r>
      <w:r w:rsidRPr="00330A98">
        <w:t>The carriage of packages in the cargo area is prohibited. This prohibition does not apply to:</w:t>
      </w:r>
      <w:r>
        <w:t>”</w:t>
      </w:r>
    </w:p>
    <w:p w:rsidR="00011A23" w:rsidRPr="00330A98" w:rsidRDefault="00011A23" w:rsidP="00011A23">
      <w:pPr>
        <w:pStyle w:val="SingleTxtG"/>
      </w:pPr>
      <w:r w:rsidRPr="00330A98">
        <w:t>1.2.1 of ADN contains a definition of packages. There are provisions for the carriage of packages that apply in the same way as those for carriage in tanks or carriage in bulk.</w:t>
      </w:r>
    </w:p>
    <w:p w:rsidR="00011A23" w:rsidRPr="00330A98" w:rsidRDefault="00011A23" w:rsidP="00011A23">
      <w:pPr>
        <w:pStyle w:val="SingleTxtG"/>
      </w:pPr>
      <w:r w:rsidRPr="00330A98">
        <w:t>There would not seem to be any reason why receptacles for residual products and receptacles for slops should enjoy exemptions that are otherwise mentioned only in 1.3.</w:t>
      </w:r>
    </w:p>
    <w:p w:rsidR="00011A23" w:rsidRPr="00330A98" w:rsidRDefault="00011A23" w:rsidP="00C9126F">
      <w:pPr>
        <w:pStyle w:val="SingleTxtG"/>
      </w:pPr>
      <w:r w:rsidRPr="00330A98">
        <w:t>7.</w:t>
      </w:r>
      <w:r w:rsidRPr="00330A98">
        <w:tab/>
        <w:t xml:space="preserve">Carriage of IBCs and receptacles for slops could to a large extent be exempted under 1.1.3.6. For safety reasons, the provisions applicable to the carriage of tank containers or portable tanks should also be applied to tank containers carrying a significant quantity </w:t>
      </w:r>
      <w:r w:rsidR="00C9126F">
        <w:t>—</w:t>
      </w:r>
      <w:r w:rsidRPr="00330A98">
        <w:t xml:space="preserve"> up to 12 m³ </w:t>
      </w:r>
      <w:r w:rsidR="00C9126F">
        <w:t>—</w:t>
      </w:r>
      <w:r w:rsidRPr="00330A98">
        <w:t xml:space="preserve"> of dangerous goods. </w:t>
      </w:r>
    </w:p>
    <w:p w:rsidR="00011A23" w:rsidRPr="00106A43" w:rsidRDefault="00011A23">
      <w:pPr>
        <w:spacing w:before="240"/>
        <w:jc w:val="center"/>
        <w:rPr>
          <w:u w:val="single"/>
        </w:rPr>
      </w:pPr>
      <w:r>
        <w:rPr>
          <w:u w:val="single"/>
        </w:rPr>
        <w:tab/>
      </w:r>
      <w:r>
        <w:rPr>
          <w:u w:val="single"/>
        </w:rPr>
        <w:tab/>
      </w:r>
      <w:r>
        <w:rPr>
          <w:u w:val="single"/>
        </w:rPr>
        <w:tab/>
      </w:r>
    </w:p>
    <w:sectPr w:rsidR="00011A23" w:rsidRPr="00106A43" w:rsidSect="00011A2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A1" w:rsidRPr="00FB1744" w:rsidRDefault="00FE08A1" w:rsidP="00FB1744">
      <w:pPr>
        <w:pStyle w:val="Footer"/>
      </w:pPr>
    </w:p>
  </w:endnote>
  <w:endnote w:type="continuationSeparator" w:id="0">
    <w:p w:rsidR="00FE08A1" w:rsidRPr="00FB1744" w:rsidRDefault="00FE08A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23" w:rsidRPr="00011A23" w:rsidRDefault="00011A23" w:rsidP="00011A23">
    <w:pPr>
      <w:pStyle w:val="Footer"/>
      <w:tabs>
        <w:tab w:val="right" w:pos="9598"/>
      </w:tabs>
    </w:pPr>
    <w:r w:rsidRPr="00011A23">
      <w:rPr>
        <w:b/>
        <w:sz w:val="18"/>
      </w:rPr>
      <w:fldChar w:fldCharType="begin"/>
    </w:r>
    <w:r w:rsidRPr="00011A23">
      <w:rPr>
        <w:b/>
        <w:sz w:val="18"/>
      </w:rPr>
      <w:instrText xml:space="preserve"> PAGE  \* MERGEFORMAT </w:instrText>
    </w:r>
    <w:r w:rsidRPr="00011A23">
      <w:rPr>
        <w:b/>
        <w:sz w:val="18"/>
      </w:rPr>
      <w:fldChar w:fldCharType="separate"/>
    </w:r>
    <w:r w:rsidR="00AF4D01">
      <w:rPr>
        <w:b/>
        <w:noProof/>
        <w:sz w:val="18"/>
      </w:rPr>
      <w:t>2</w:t>
    </w:r>
    <w:r w:rsidRPr="00011A23">
      <w:rPr>
        <w:b/>
        <w:sz w:val="18"/>
      </w:rPr>
      <w:fldChar w:fldCharType="end"/>
    </w:r>
    <w:r>
      <w:rPr>
        <w:sz w:val="18"/>
      </w:rPr>
      <w:tab/>
    </w:r>
    <w:r>
      <w:t>GE.16-08946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23" w:rsidRPr="00011A23" w:rsidRDefault="00011A23" w:rsidP="00011A23">
    <w:pPr>
      <w:pStyle w:val="Footer"/>
      <w:tabs>
        <w:tab w:val="right" w:pos="9598"/>
      </w:tabs>
      <w:rPr>
        <w:b/>
        <w:sz w:val="18"/>
      </w:rPr>
    </w:pPr>
    <w:r>
      <w:t>GE.16-08946</w:t>
    </w:r>
    <w:r>
      <w:tab/>
    </w:r>
    <w:r w:rsidRPr="00011A23">
      <w:rPr>
        <w:b/>
        <w:sz w:val="18"/>
      </w:rPr>
      <w:fldChar w:fldCharType="begin"/>
    </w:r>
    <w:r w:rsidRPr="00011A23">
      <w:rPr>
        <w:b/>
        <w:sz w:val="18"/>
      </w:rPr>
      <w:instrText xml:space="preserve"> PAGE  \* MERGEFORMAT </w:instrText>
    </w:r>
    <w:r w:rsidRPr="00011A23">
      <w:rPr>
        <w:b/>
        <w:sz w:val="18"/>
      </w:rPr>
      <w:fldChar w:fldCharType="separate"/>
    </w:r>
    <w:r>
      <w:rPr>
        <w:b/>
        <w:noProof/>
        <w:sz w:val="18"/>
      </w:rPr>
      <w:t>3</w:t>
    </w:r>
    <w:r w:rsidRPr="00011A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23" w:rsidRDefault="00717266" w:rsidP="006B6EE1">
    <w:r>
      <w:rPr>
        <w:noProof/>
        <w:lang w:val="en-US"/>
      </w:rPr>
      <w:drawing>
        <wp:anchor distT="0" distB="0" distL="114300" distR="114300" simplePos="0" relativeHeight="251659264" behindDoc="0" locked="1" layoutInCell="1" allowOverlap="1" wp14:anchorId="313A388D" wp14:editId="219859BC">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23">
      <w:t xml:space="preserve">GE.16-08946  (E)    130616    </w:t>
    </w:r>
    <w:r w:rsidR="006B6EE1">
      <w:t>13</w:t>
    </w:r>
    <w:r w:rsidR="00011A23">
      <w:t>0616</w:t>
    </w:r>
  </w:p>
  <w:p w:rsidR="00011A23" w:rsidRPr="00011A23" w:rsidRDefault="00011A23" w:rsidP="00011A2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E1D5CF6" wp14:editId="37841964">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6/3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3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A1" w:rsidRPr="00FB1744" w:rsidRDefault="00FE08A1" w:rsidP="00FB1744">
      <w:pPr>
        <w:tabs>
          <w:tab w:val="right" w:pos="2155"/>
        </w:tabs>
        <w:spacing w:after="80" w:line="240" w:lineRule="auto"/>
        <w:ind w:left="680"/>
      </w:pPr>
      <w:r>
        <w:rPr>
          <w:u w:val="single"/>
        </w:rPr>
        <w:tab/>
      </w:r>
    </w:p>
  </w:footnote>
  <w:footnote w:type="continuationSeparator" w:id="0">
    <w:p w:rsidR="00FE08A1" w:rsidRPr="00FB1744" w:rsidRDefault="00FE08A1" w:rsidP="00FB1744">
      <w:pPr>
        <w:tabs>
          <w:tab w:val="right" w:pos="2155"/>
        </w:tabs>
        <w:spacing w:after="80" w:line="240" w:lineRule="auto"/>
        <w:ind w:left="680"/>
      </w:pPr>
      <w:r>
        <w:rPr>
          <w:u w:val="single"/>
        </w:rPr>
        <w:tab/>
      </w:r>
    </w:p>
  </w:footnote>
  <w:footnote w:id="1">
    <w:p w:rsidR="00011A23" w:rsidRPr="00F337B3" w:rsidRDefault="00011A23" w:rsidP="00011A23">
      <w:pPr>
        <w:pStyle w:val="FootnoteText"/>
      </w:pPr>
      <w:r>
        <w:rPr>
          <w:szCs w:val="24"/>
        </w:rPr>
        <w:tab/>
      </w:r>
      <w:r w:rsidRPr="00011A23">
        <w:rPr>
          <w:rStyle w:val="FootnoteReference"/>
        </w:rPr>
        <w:footnoteRef/>
      </w:r>
      <w:r w:rsidRPr="00F337B3">
        <w:rPr>
          <w:szCs w:val="24"/>
        </w:rPr>
        <w:tab/>
      </w:r>
      <w:r>
        <w:t>Distributed in German by the Central Commission for the Navigation of the Rhine under the symbol CCNR-ZKR/ADN/WP.15/AC.2/2016/34</w:t>
      </w:r>
      <w:r w:rsidRPr="00F337B3">
        <w:rPr>
          <w:noProof/>
        </w:rPr>
        <w:t>.</w:t>
      </w:r>
    </w:p>
  </w:footnote>
  <w:footnote w:id="2">
    <w:p w:rsidR="00011A23" w:rsidRDefault="00011A23" w:rsidP="00E20B6C">
      <w:pPr>
        <w:pStyle w:val="FootnoteText"/>
      </w:pPr>
      <w:r>
        <w:tab/>
      </w:r>
      <w:r w:rsidRPr="00011A23">
        <w:rPr>
          <w:rStyle w:val="FootnoteReference"/>
        </w:rPr>
        <w:footnoteRef/>
      </w:r>
      <w:r>
        <w:tab/>
        <w:t>In accordance with the programme of work of the Inland Transport Committee for</w:t>
      </w:r>
      <w:r w:rsidRPr="00254650">
        <w:t xml:space="preserve">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23" w:rsidRPr="00011A23" w:rsidRDefault="00011A23" w:rsidP="00011A23">
    <w:pPr>
      <w:pStyle w:val="Header"/>
    </w:pPr>
    <w:r w:rsidRPr="00011A23">
      <w:t>ECE/TRANS/WP.15/AC.2/2016/34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23" w:rsidRPr="00011A23" w:rsidRDefault="00011A23" w:rsidP="00011A23">
    <w:pPr>
      <w:pStyle w:val="Header"/>
      <w:jc w:val="right"/>
    </w:pPr>
    <w:r w:rsidRPr="00011A23">
      <w:t>ECE/TRANS/WP.15/AC.2/2016/34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A1"/>
    <w:rsid w:val="00011A23"/>
    <w:rsid w:val="00046E92"/>
    <w:rsid w:val="001170DC"/>
    <w:rsid w:val="00247E2C"/>
    <w:rsid w:val="002A284A"/>
    <w:rsid w:val="002A6808"/>
    <w:rsid w:val="002D6C53"/>
    <w:rsid w:val="002F5595"/>
    <w:rsid w:val="00334F6A"/>
    <w:rsid w:val="00342AC8"/>
    <w:rsid w:val="003B4550"/>
    <w:rsid w:val="00461253"/>
    <w:rsid w:val="004D5C5F"/>
    <w:rsid w:val="005042C2"/>
    <w:rsid w:val="00671529"/>
    <w:rsid w:val="006B6EE1"/>
    <w:rsid w:val="00717266"/>
    <w:rsid w:val="007268F9"/>
    <w:rsid w:val="007C52B0"/>
    <w:rsid w:val="009411B4"/>
    <w:rsid w:val="009D0139"/>
    <w:rsid w:val="009F5CDC"/>
    <w:rsid w:val="00A775CF"/>
    <w:rsid w:val="00AB3C7E"/>
    <w:rsid w:val="00AF4D01"/>
    <w:rsid w:val="00B06045"/>
    <w:rsid w:val="00C35A27"/>
    <w:rsid w:val="00C4096D"/>
    <w:rsid w:val="00C9126F"/>
    <w:rsid w:val="00E02C2B"/>
    <w:rsid w:val="00E20B6C"/>
    <w:rsid w:val="00E848E8"/>
    <w:rsid w:val="00ED6C48"/>
    <w:rsid w:val="00F65F5D"/>
    <w:rsid w:val="00F86A3A"/>
    <w:rsid w:val="00FB1744"/>
    <w:rsid w:val="00FE08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20D3A0-2B03-4DC3-8C4D-BB590703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paragraph" w:styleId="BodyText">
    <w:name w:val="Body Text"/>
    <w:basedOn w:val="Normal"/>
    <w:link w:val="BodyTextChar"/>
    <w:uiPriority w:val="99"/>
    <w:unhideWhenUsed/>
    <w:rsid w:val="00011A23"/>
    <w:pPr>
      <w:spacing w:before="120"/>
    </w:pPr>
    <w:rPr>
      <w:b/>
      <w:bCs/>
    </w:rPr>
  </w:style>
  <w:style w:type="character" w:customStyle="1" w:styleId="BodyTextChar">
    <w:name w:val="Body Text Char"/>
    <w:basedOn w:val="DefaultParagraphFont"/>
    <w:link w:val="BodyText"/>
    <w:uiPriority w:val="99"/>
    <w:rsid w:val="00011A23"/>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7973-1C7B-45F0-B79D-503C669B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1608946</vt:lpstr>
    </vt:vector>
  </TitlesOfParts>
  <Company>DCM</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1608946</dc:title>
  <dc:subject>ECE/TRANS/WP.15/AC.2/2016/34</dc:subject>
  <dc:creator>Escalante</dc:creator>
  <cp:keywords/>
  <dc:description>final</dc:description>
  <cp:lastModifiedBy>02</cp:lastModifiedBy>
  <cp:revision>2</cp:revision>
  <cp:lastPrinted>2016-06-13T13:09:00Z</cp:lastPrinted>
  <dcterms:created xsi:type="dcterms:W3CDTF">2016-06-14T16:56:00Z</dcterms:created>
  <dcterms:modified xsi:type="dcterms:W3CDTF">2016-06-14T16:56:00Z</dcterms:modified>
</cp:coreProperties>
</file>