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0" w:rsidRPr="007E68C0" w:rsidRDefault="00B400D0" w:rsidP="00D076BA">
      <w:pPr>
        <w:ind w:left="5387" w:right="-286" w:firstLine="0"/>
        <w:outlineLvl w:val="0"/>
        <w:rPr>
          <w:snapToGrid w:val="0"/>
          <w:lang w:val="en-US" w:bidi="fr-FR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1905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8C0">
        <w:rPr>
          <w:rFonts w:eastAsia="Arial" w:cs="Arial"/>
          <w:bCs/>
          <w:szCs w:val="24"/>
          <w:lang w:val="en-US" w:eastAsia="de-DE"/>
        </w:rPr>
        <w:t>CCNR-ZKR/ADN/WP.15/AC.2/201</w:t>
      </w:r>
      <w:r>
        <w:rPr>
          <w:rFonts w:eastAsia="Arial" w:cs="Arial"/>
          <w:bCs/>
          <w:szCs w:val="24"/>
          <w:lang w:val="en-US" w:eastAsia="de-DE"/>
        </w:rPr>
        <w:t>6</w:t>
      </w:r>
      <w:r w:rsidRPr="007E68C0">
        <w:rPr>
          <w:rFonts w:eastAsia="Arial" w:cs="Arial"/>
          <w:bCs/>
          <w:szCs w:val="24"/>
          <w:lang w:val="en-US" w:eastAsia="de-DE"/>
        </w:rPr>
        <w:t>/</w:t>
      </w:r>
      <w:r w:rsidR="00462FE6">
        <w:rPr>
          <w:rFonts w:eastAsia="Arial" w:cs="Arial"/>
          <w:bCs/>
          <w:szCs w:val="24"/>
          <w:lang w:val="en-US" w:eastAsia="de-DE"/>
        </w:rPr>
        <w:t>39</w:t>
      </w:r>
    </w:p>
    <w:p w:rsidR="00B400D0" w:rsidRPr="007E68C0" w:rsidRDefault="00D076BA" w:rsidP="00B400D0">
      <w:pPr>
        <w:tabs>
          <w:tab w:val="left" w:pos="5670"/>
        </w:tabs>
        <w:ind w:left="5387"/>
        <w:rPr>
          <w:rFonts w:cs="Arial"/>
          <w:sz w:val="16"/>
          <w:szCs w:val="24"/>
          <w:lang w:val="de-DE" w:eastAsia="de-DE"/>
        </w:rPr>
      </w:pPr>
      <w:r>
        <w:rPr>
          <w:rFonts w:cs="Arial"/>
          <w:sz w:val="16"/>
          <w:szCs w:val="24"/>
          <w:lang w:val="de-DE" w:eastAsia="de-DE"/>
        </w:rPr>
        <w:tab/>
      </w:r>
      <w:r w:rsidR="00B400D0" w:rsidRPr="007E68C0">
        <w:rPr>
          <w:rFonts w:cs="Arial"/>
          <w:sz w:val="16"/>
          <w:szCs w:val="24"/>
          <w:lang w:val="de-DE" w:eastAsia="de-DE"/>
        </w:rPr>
        <w:t>Allgemeine Verteilung</w:t>
      </w:r>
    </w:p>
    <w:p w:rsidR="00B400D0" w:rsidRPr="007E68C0" w:rsidRDefault="00D076BA" w:rsidP="00B400D0">
      <w:pPr>
        <w:tabs>
          <w:tab w:val="right" w:pos="3856"/>
          <w:tab w:val="left" w:pos="5670"/>
        </w:tabs>
        <w:ind w:left="5387"/>
        <w:rPr>
          <w:rFonts w:eastAsia="Arial" w:cs="Arial"/>
          <w:szCs w:val="24"/>
          <w:lang w:val="de-DE" w:eastAsia="de-DE"/>
        </w:rPr>
      </w:pPr>
      <w:r>
        <w:rPr>
          <w:rFonts w:eastAsia="Arial" w:cs="Arial"/>
          <w:szCs w:val="24"/>
          <w:lang w:val="de-DE" w:eastAsia="de-DE"/>
        </w:rPr>
        <w:tab/>
      </w:r>
      <w:r w:rsidR="00462FE6">
        <w:rPr>
          <w:rFonts w:eastAsia="Arial" w:cs="Arial"/>
          <w:szCs w:val="24"/>
          <w:lang w:val="de-DE" w:eastAsia="de-DE"/>
        </w:rPr>
        <w:t>8</w:t>
      </w:r>
      <w:r w:rsidR="00B400D0" w:rsidRPr="007E68C0">
        <w:rPr>
          <w:rFonts w:eastAsia="Arial" w:cs="Arial"/>
          <w:szCs w:val="24"/>
          <w:lang w:val="de-DE" w:eastAsia="de-DE"/>
        </w:rPr>
        <w:t xml:space="preserve">. </w:t>
      </w:r>
      <w:r w:rsidR="00462FE6">
        <w:rPr>
          <w:rFonts w:eastAsia="Arial" w:cs="Arial"/>
          <w:szCs w:val="24"/>
          <w:lang w:val="de-DE" w:eastAsia="de-DE"/>
        </w:rPr>
        <w:t>Juni</w:t>
      </w:r>
      <w:r w:rsidR="00B400D0">
        <w:rPr>
          <w:rFonts w:eastAsia="Arial" w:cs="Arial"/>
          <w:szCs w:val="24"/>
          <w:lang w:val="de-DE" w:eastAsia="de-DE"/>
        </w:rPr>
        <w:t xml:space="preserve"> 2016</w:t>
      </w:r>
    </w:p>
    <w:p w:rsidR="00B400D0" w:rsidRPr="007E68C0" w:rsidRDefault="00D076BA" w:rsidP="00B400D0">
      <w:pPr>
        <w:tabs>
          <w:tab w:val="right" w:pos="3856"/>
          <w:tab w:val="left" w:pos="5670"/>
        </w:tabs>
        <w:ind w:left="5387" w:right="565"/>
        <w:rPr>
          <w:rFonts w:cs="Arial"/>
          <w:snapToGrid w:val="0"/>
          <w:kern w:val="1"/>
          <w:lang w:val="de-DE" w:eastAsia="de-DE"/>
        </w:rPr>
      </w:pPr>
      <w:r>
        <w:rPr>
          <w:rFonts w:eastAsia="Arial" w:cs="Arial"/>
          <w:sz w:val="16"/>
          <w:szCs w:val="24"/>
          <w:lang w:val="de-DE" w:eastAsia="de-DE"/>
        </w:rPr>
        <w:tab/>
      </w:r>
      <w:r w:rsidR="00B400D0" w:rsidRPr="007E68C0">
        <w:rPr>
          <w:rFonts w:eastAsia="Arial" w:cs="Arial"/>
          <w:sz w:val="16"/>
          <w:szCs w:val="24"/>
          <w:lang w:val="de-DE" w:eastAsia="de-DE"/>
        </w:rPr>
        <w:t>Or. DEUTSCH</w:t>
      </w:r>
    </w:p>
    <w:p w:rsidR="00B400D0" w:rsidRPr="007E68C0" w:rsidRDefault="00B400D0" w:rsidP="00B400D0">
      <w:pPr>
        <w:rPr>
          <w:rFonts w:cs="Arial"/>
          <w:sz w:val="16"/>
          <w:szCs w:val="24"/>
          <w:lang w:val="de-DE" w:eastAsia="de-DE"/>
        </w:rPr>
      </w:pPr>
    </w:p>
    <w:p w:rsidR="00B400D0" w:rsidRPr="007E68C0" w:rsidRDefault="00B400D0" w:rsidP="00B400D0">
      <w:pPr>
        <w:rPr>
          <w:rFonts w:cs="Arial"/>
          <w:sz w:val="16"/>
          <w:szCs w:val="24"/>
          <w:lang w:val="de-DE" w:eastAsia="de-DE"/>
        </w:rPr>
      </w:pPr>
    </w:p>
    <w:p w:rsidR="00B400D0" w:rsidRPr="007E68C0" w:rsidRDefault="00B400D0" w:rsidP="00D076BA">
      <w:pPr>
        <w:ind w:left="4111" w:right="-2" w:firstLine="0"/>
        <w:rPr>
          <w:rFonts w:cs="Arial"/>
          <w:snapToGrid w:val="0"/>
          <w:sz w:val="16"/>
          <w:szCs w:val="16"/>
          <w:lang w:val="de-DE"/>
        </w:rPr>
      </w:pPr>
      <w:r w:rsidRPr="007E68C0">
        <w:rPr>
          <w:rFonts w:cs="Arial"/>
          <w:snapToGrid w:val="0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B400D0" w:rsidRPr="007E68C0" w:rsidRDefault="00B400D0" w:rsidP="00D076BA">
      <w:pPr>
        <w:ind w:left="4111" w:right="-2" w:firstLine="0"/>
        <w:rPr>
          <w:rFonts w:cs="Arial"/>
          <w:snapToGrid w:val="0"/>
          <w:sz w:val="16"/>
          <w:szCs w:val="16"/>
          <w:lang w:val="de-DE"/>
        </w:rPr>
      </w:pPr>
      <w:r w:rsidRPr="007E68C0">
        <w:rPr>
          <w:rFonts w:cs="Arial"/>
          <w:snapToGrid w:val="0"/>
          <w:sz w:val="16"/>
          <w:szCs w:val="16"/>
          <w:lang w:val="de-DE"/>
        </w:rPr>
        <w:t>BEIGEFÜGTE VERORDNUNG (ADN)</w:t>
      </w:r>
    </w:p>
    <w:p w:rsidR="00B400D0" w:rsidRPr="007E68C0" w:rsidRDefault="00B400D0" w:rsidP="00D076BA">
      <w:pPr>
        <w:tabs>
          <w:tab w:val="left" w:pos="2977"/>
        </w:tabs>
        <w:ind w:left="4111" w:right="-2" w:firstLine="0"/>
        <w:rPr>
          <w:rFonts w:cs="Arial"/>
          <w:snapToGrid w:val="0"/>
          <w:sz w:val="16"/>
          <w:szCs w:val="16"/>
          <w:lang w:val="de-DE"/>
        </w:rPr>
      </w:pPr>
      <w:r w:rsidRPr="007E68C0">
        <w:rPr>
          <w:rFonts w:cs="Arial"/>
          <w:snapToGrid w:val="0"/>
          <w:sz w:val="16"/>
          <w:szCs w:val="16"/>
          <w:lang w:val="de-DE"/>
        </w:rPr>
        <w:t>(SICHERHEITSAUSSCHUSS)</w:t>
      </w:r>
    </w:p>
    <w:p w:rsidR="00B400D0" w:rsidRPr="007E68C0" w:rsidRDefault="00B400D0" w:rsidP="00D076BA">
      <w:pPr>
        <w:tabs>
          <w:tab w:val="left" w:pos="2977"/>
        </w:tabs>
        <w:ind w:left="4111" w:right="-2" w:firstLine="0"/>
        <w:rPr>
          <w:rFonts w:cs="Arial"/>
          <w:snapToGrid w:val="0"/>
          <w:sz w:val="16"/>
          <w:szCs w:val="16"/>
          <w:lang w:val="de-DE"/>
        </w:rPr>
      </w:pPr>
      <w:r w:rsidRPr="007E68C0">
        <w:rPr>
          <w:rFonts w:cs="Arial"/>
          <w:snapToGrid w:val="0"/>
          <w:sz w:val="16"/>
          <w:szCs w:val="16"/>
          <w:lang w:val="de-DE"/>
        </w:rPr>
        <w:t>(2</w:t>
      </w:r>
      <w:r>
        <w:rPr>
          <w:rFonts w:cs="Arial"/>
          <w:snapToGrid w:val="0"/>
          <w:sz w:val="16"/>
          <w:szCs w:val="16"/>
          <w:lang w:val="de-DE"/>
        </w:rPr>
        <w:t>9</w:t>
      </w:r>
      <w:r w:rsidRPr="007E68C0">
        <w:rPr>
          <w:rFonts w:cs="Arial"/>
          <w:snapToGrid w:val="0"/>
          <w:sz w:val="16"/>
          <w:szCs w:val="16"/>
          <w:lang w:val="de-DE"/>
        </w:rPr>
        <w:t>. Tagung, Genf, 2</w:t>
      </w:r>
      <w:r>
        <w:rPr>
          <w:rFonts w:cs="Arial"/>
          <w:snapToGrid w:val="0"/>
          <w:sz w:val="16"/>
          <w:szCs w:val="16"/>
          <w:lang w:val="de-DE"/>
        </w:rPr>
        <w:t>2</w:t>
      </w:r>
      <w:r w:rsidRPr="007E68C0">
        <w:rPr>
          <w:rFonts w:cs="Arial"/>
          <w:snapToGrid w:val="0"/>
          <w:sz w:val="16"/>
          <w:szCs w:val="16"/>
          <w:lang w:val="de-DE"/>
        </w:rPr>
        <w:t>. bis 2</w:t>
      </w:r>
      <w:r w:rsidR="00462FE6">
        <w:rPr>
          <w:rFonts w:cs="Arial"/>
          <w:snapToGrid w:val="0"/>
          <w:sz w:val="16"/>
          <w:szCs w:val="16"/>
          <w:lang w:val="de-DE"/>
        </w:rPr>
        <w:t>5</w:t>
      </w:r>
      <w:r w:rsidRPr="007E68C0">
        <w:rPr>
          <w:rFonts w:cs="Arial"/>
          <w:snapToGrid w:val="0"/>
          <w:sz w:val="16"/>
          <w:szCs w:val="16"/>
          <w:lang w:val="de-DE"/>
        </w:rPr>
        <w:t xml:space="preserve">. </w:t>
      </w:r>
      <w:r>
        <w:rPr>
          <w:rFonts w:cs="Arial"/>
          <w:snapToGrid w:val="0"/>
          <w:sz w:val="16"/>
          <w:szCs w:val="16"/>
          <w:lang w:val="de-DE"/>
        </w:rPr>
        <w:t>August</w:t>
      </w:r>
      <w:r w:rsidRPr="007E68C0">
        <w:rPr>
          <w:rFonts w:cs="Arial"/>
          <w:snapToGrid w:val="0"/>
          <w:sz w:val="16"/>
          <w:szCs w:val="16"/>
          <w:lang w:val="de-DE"/>
        </w:rPr>
        <w:t xml:space="preserve"> 201</w:t>
      </w:r>
      <w:r>
        <w:rPr>
          <w:rFonts w:cs="Arial"/>
          <w:snapToGrid w:val="0"/>
          <w:sz w:val="16"/>
          <w:szCs w:val="16"/>
          <w:lang w:val="de-DE"/>
        </w:rPr>
        <w:t>6</w:t>
      </w:r>
      <w:r w:rsidRPr="007E68C0">
        <w:rPr>
          <w:rFonts w:cs="Arial"/>
          <w:snapToGrid w:val="0"/>
          <w:sz w:val="16"/>
          <w:szCs w:val="16"/>
          <w:lang w:val="de-DE"/>
        </w:rPr>
        <w:t>)</w:t>
      </w:r>
    </w:p>
    <w:p w:rsidR="00B400D0" w:rsidRDefault="00B400D0" w:rsidP="00D076BA">
      <w:pPr>
        <w:tabs>
          <w:tab w:val="left" w:pos="2977"/>
        </w:tabs>
        <w:ind w:left="4111" w:right="-2" w:firstLine="0"/>
        <w:rPr>
          <w:rFonts w:cs="Arial"/>
          <w:snapToGrid w:val="0"/>
          <w:sz w:val="16"/>
          <w:szCs w:val="16"/>
          <w:lang w:val="de-DE"/>
        </w:rPr>
      </w:pPr>
      <w:r w:rsidRPr="007E68C0">
        <w:rPr>
          <w:rFonts w:cs="Arial"/>
          <w:snapToGrid w:val="0"/>
          <w:sz w:val="16"/>
          <w:szCs w:val="16"/>
          <w:lang w:val="de-DE"/>
        </w:rPr>
        <w:t xml:space="preserve">Punkt </w:t>
      </w:r>
      <w:r>
        <w:rPr>
          <w:rFonts w:cs="Arial"/>
          <w:snapToGrid w:val="0"/>
          <w:sz w:val="16"/>
          <w:szCs w:val="16"/>
          <w:lang w:val="de-DE"/>
        </w:rPr>
        <w:t>4 b)</w:t>
      </w:r>
      <w:r w:rsidRPr="007E68C0">
        <w:rPr>
          <w:rFonts w:cs="Arial"/>
          <w:snapToGrid w:val="0"/>
          <w:sz w:val="16"/>
          <w:szCs w:val="16"/>
          <w:lang w:val="de-DE"/>
        </w:rPr>
        <w:t xml:space="preserve"> zur vorläufigen Tagesordnung</w:t>
      </w:r>
    </w:p>
    <w:p w:rsidR="00A22C2B" w:rsidRPr="00A22C2B" w:rsidRDefault="00A22C2B" w:rsidP="00D076BA">
      <w:pPr>
        <w:tabs>
          <w:tab w:val="left" w:pos="2977"/>
        </w:tabs>
        <w:overflowPunct/>
        <w:autoSpaceDE/>
        <w:autoSpaceDN/>
        <w:adjustRightInd/>
        <w:ind w:left="4111" w:right="-2" w:firstLine="0"/>
        <w:jc w:val="left"/>
        <w:textAlignment w:val="auto"/>
        <w:rPr>
          <w:rFonts w:cs="Arial"/>
          <w:b/>
          <w:snapToGrid w:val="0"/>
          <w:sz w:val="16"/>
          <w:szCs w:val="16"/>
          <w:lang w:val="de-DE"/>
        </w:rPr>
      </w:pPr>
      <w:r w:rsidRPr="00A22C2B">
        <w:rPr>
          <w:rFonts w:cs="Arial"/>
          <w:b/>
          <w:snapToGrid w:val="0"/>
          <w:sz w:val="16"/>
          <w:szCs w:val="16"/>
          <w:lang w:val="de-DE"/>
        </w:rPr>
        <w:t>Vorschläge für Änderungen der dem ADN beigefügten Verordnung:</w:t>
      </w:r>
    </w:p>
    <w:p w:rsidR="00A22C2B" w:rsidRPr="00A22C2B" w:rsidRDefault="00A22C2B" w:rsidP="00D076BA">
      <w:pPr>
        <w:tabs>
          <w:tab w:val="left" w:pos="2977"/>
        </w:tabs>
        <w:overflowPunct/>
        <w:autoSpaceDE/>
        <w:autoSpaceDN/>
        <w:adjustRightInd/>
        <w:ind w:left="4111" w:right="-2" w:firstLine="0"/>
        <w:jc w:val="left"/>
        <w:textAlignment w:val="auto"/>
        <w:rPr>
          <w:rFonts w:cs="Arial"/>
          <w:snapToGrid w:val="0"/>
          <w:sz w:val="16"/>
          <w:szCs w:val="16"/>
          <w:lang w:val="de-DE"/>
        </w:rPr>
      </w:pPr>
      <w:r w:rsidRPr="00A22C2B">
        <w:rPr>
          <w:rFonts w:cs="Arial"/>
          <w:b/>
          <w:snapToGrid w:val="0"/>
          <w:sz w:val="16"/>
          <w:szCs w:val="16"/>
          <w:lang w:val="de-DE"/>
        </w:rPr>
        <w:t>Weitere Änderungsvorschläge</w:t>
      </w:r>
    </w:p>
    <w:p w:rsidR="00A22C2B" w:rsidRDefault="00A22C2B" w:rsidP="00A22C2B">
      <w:pPr>
        <w:overflowPunct/>
        <w:autoSpaceDE/>
        <w:autoSpaceDN/>
        <w:adjustRightInd/>
        <w:ind w:left="0" w:firstLine="0"/>
        <w:jc w:val="left"/>
        <w:textAlignment w:val="auto"/>
        <w:rPr>
          <w:rFonts w:cs="Arial"/>
          <w:b/>
          <w:lang w:val="de-DE" w:eastAsia="en-US"/>
        </w:rPr>
      </w:pPr>
    </w:p>
    <w:p w:rsidR="00C17E7E" w:rsidRPr="00A22C2B" w:rsidRDefault="00C17E7E" w:rsidP="00A22C2B">
      <w:pPr>
        <w:overflowPunct/>
        <w:autoSpaceDE/>
        <w:autoSpaceDN/>
        <w:adjustRightInd/>
        <w:ind w:left="0" w:firstLine="0"/>
        <w:jc w:val="left"/>
        <w:textAlignment w:val="auto"/>
        <w:rPr>
          <w:rFonts w:cs="Arial"/>
          <w:b/>
          <w:lang w:val="de-DE" w:eastAsia="en-US"/>
        </w:rPr>
      </w:pPr>
    </w:p>
    <w:p w:rsidR="00A22C2B" w:rsidRPr="00A22C2B" w:rsidRDefault="00A22C2B" w:rsidP="00A22C2B">
      <w:pPr>
        <w:overflowPunct/>
        <w:autoSpaceDE/>
        <w:autoSpaceDN/>
        <w:adjustRightInd/>
        <w:ind w:left="0" w:firstLine="0"/>
        <w:jc w:val="left"/>
        <w:textAlignment w:val="auto"/>
        <w:rPr>
          <w:rFonts w:cs="Arial"/>
          <w:lang w:val="de-DE" w:eastAsia="en-US"/>
        </w:rPr>
      </w:pPr>
    </w:p>
    <w:p w:rsidR="00A22C2B" w:rsidRPr="00A22C2B" w:rsidRDefault="00A22C2B" w:rsidP="00A22C2B">
      <w:pPr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b/>
          <w:szCs w:val="24"/>
          <w:lang w:val="de-DE"/>
        </w:rPr>
      </w:pPr>
    </w:p>
    <w:p w:rsidR="00B400D0" w:rsidRPr="0007085E" w:rsidRDefault="00B400D0" w:rsidP="00D076BA">
      <w:pPr>
        <w:overflowPunct/>
        <w:autoSpaceDE/>
        <w:autoSpaceDN/>
        <w:adjustRightInd/>
        <w:spacing w:after="360" w:line="360" w:lineRule="auto"/>
        <w:ind w:right="567" w:firstLine="0"/>
        <w:jc w:val="left"/>
        <w:textAlignment w:val="auto"/>
        <w:rPr>
          <w:rFonts w:ascii="Times New Roman" w:hAnsi="Times New Roman"/>
          <w:b/>
          <w:sz w:val="28"/>
          <w:szCs w:val="28"/>
          <w:lang w:val="de-DE" w:eastAsia="en-US"/>
        </w:rPr>
      </w:pPr>
      <w:r w:rsidRPr="0007085E">
        <w:rPr>
          <w:rFonts w:ascii="Times New Roman" w:hAnsi="Times New Roman"/>
          <w:b/>
          <w:sz w:val="28"/>
          <w:szCs w:val="28"/>
          <w:lang w:val="de-DE" w:eastAsia="en-US"/>
        </w:rPr>
        <w:t>Änderung und Erläuterung zu 7.1.</w:t>
      </w:r>
      <w:r w:rsidR="00A22C2B" w:rsidRPr="0007085E">
        <w:rPr>
          <w:rFonts w:ascii="Times New Roman" w:hAnsi="Times New Roman"/>
          <w:b/>
          <w:sz w:val="28"/>
          <w:szCs w:val="28"/>
          <w:lang w:val="de-DE" w:eastAsia="en-US"/>
        </w:rPr>
        <w:t>4.1.1 und 7.1.4.1.2</w:t>
      </w:r>
    </w:p>
    <w:p w:rsidR="00E146F6" w:rsidRPr="00E146F6" w:rsidRDefault="00CB7518" w:rsidP="00E146F6">
      <w:pPr>
        <w:ind w:right="567" w:firstLine="0"/>
        <w:jc w:val="left"/>
        <w:rPr>
          <w:rFonts w:ascii="Times New Roman" w:hAnsi="Times New Roman"/>
          <w:b/>
          <w:sz w:val="24"/>
          <w:szCs w:val="24"/>
          <w:vertAlign w:val="superscript"/>
          <w:lang w:val="de-DE"/>
        </w:rPr>
      </w:pPr>
      <w:r w:rsidRPr="0007085E">
        <w:rPr>
          <w:rFonts w:ascii="Times New Roman" w:hAnsi="Times New Roman"/>
          <w:b/>
          <w:sz w:val="24"/>
          <w:szCs w:val="24"/>
          <w:lang w:val="de-DE"/>
        </w:rPr>
        <w:t>Gemeinsam eingereicht durch die Europäische Binnenschifffahrts Union (EBU), ERSTU (European River Sea Transport Union) und die Europäische Schifferorganisation (ESO)</w:t>
      </w:r>
      <w:r w:rsidR="00E146F6" w:rsidRPr="00E15648">
        <w:rPr>
          <w:rFonts w:ascii="Times New Roman" w:hAnsi="Times New Roman"/>
          <w:b/>
          <w:sz w:val="16"/>
          <w:szCs w:val="16"/>
          <w:vertAlign w:val="superscript"/>
          <w:lang w:val="de-DE" w:eastAsia="en-US"/>
        </w:rPr>
        <w:footnoteReference w:id="1"/>
      </w:r>
      <w:r w:rsidR="00E15648" w:rsidRPr="00E15648">
        <w:rPr>
          <w:rFonts w:ascii="Times New Roman" w:hAnsi="Times New Roman"/>
          <w:b/>
          <w:sz w:val="16"/>
          <w:szCs w:val="16"/>
          <w:vertAlign w:val="superscript"/>
          <w:lang w:val="de-DE" w:eastAsia="en-US"/>
        </w:rPr>
        <w:t xml:space="preserve">, </w:t>
      </w:r>
      <w:r w:rsidR="00E15648" w:rsidRPr="00E15648">
        <w:rPr>
          <w:rFonts w:ascii="Times New Roman" w:hAnsi="Times New Roman"/>
          <w:b/>
          <w:sz w:val="16"/>
          <w:szCs w:val="16"/>
          <w:vertAlign w:val="superscript"/>
          <w:lang w:val="de-DE" w:eastAsia="en-US"/>
        </w:rPr>
        <w:footnoteReference w:id="2"/>
      </w:r>
    </w:p>
    <w:p w:rsidR="006C2FE7" w:rsidRPr="0007085E" w:rsidRDefault="006C2FE7" w:rsidP="00D076BA">
      <w:pPr>
        <w:ind w:right="567" w:firstLine="0"/>
        <w:jc w:val="left"/>
        <w:rPr>
          <w:rFonts w:ascii="Times New Roman" w:hAnsi="Times New Roman"/>
          <w:snapToGrid w:val="0"/>
          <w:sz w:val="24"/>
          <w:szCs w:val="24"/>
          <w:lang w:val="de-DE"/>
        </w:rPr>
      </w:pPr>
    </w:p>
    <w:p w:rsidR="00CB7518" w:rsidRDefault="00CB7518" w:rsidP="006C2FE7">
      <w:pPr>
        <w:rPr>
          <w:rFonts w:ascii="Times New Roman" w:hAnsi="Times New Roman"/>
          <w:b/>
          <w:snapToGrid w:val="0"/>
          <w:sz w:val="24"/>
          <w:szCs w:val="24"/>
          <w:lang w:val="de-DE"/>
        </w:rPr>
      </w:pPr>
    </w:p>
    <w:p w:rsidR="00C17E7E" w:rsidRPr="0007085E" w:rsidRDefault="00C17E7E" w:rsidP="006C2FE7">
      <w:pPr>
        <w:rPr>
          <w:rFonts w:ascii="Times New Roman" w:hAnsi="Times New Roman"/>
          <w:b/>
          <w:snapToGrid w:val="0"/>
          <w:sz w:val="24"/>
          <w:szCs w:val="24"/>
          <w:lang w:val="de-DE"/>
        </w:rPr>
      </w:pPr>
    </w:p>
    <w:p w:rsidR="00B400D0" w:rsidRPr="004F5457" w:rsidRDefault="00B400D0" w:rsidP="006C2FE7">
      <w:pPr>
        <w:rPr>
          <w:rFonts w:ascii="Times New Roman" w:hAnsi="Times New Roman"/>
          <w:b/>
          <w:snapToGrid w:val="0"/>
          <w:lang w:val="de-DE"/>
        </w:rPr>
      </w:pPr>
    </w:p>
    <w:p w:rsidR="00B400D0" w:rsidRPr="004F5457" w:rsidRDefault="00B400D0" w:rsidP="006C2FE7">
      <w:pPr>
        <w:rPr>
          <w:rFonts w:ascii="Times New Roman" w:hAnsi="Times New Roman"/>
          <w:b/>
          <w:snapToGrid w:val="0"/>
          <w:lang w:val="de-DE"/>
        </w:rPr>
      </w:pPr>
    </w:p>
    <w:p w:rsidR="007C4DD4" w:rsidRPr="00A22C2B" w:rsidRDefault="00CB7518" w:rsidP="006C2FE7">
      <w:pPr>
        <w:rPr>
          <w:rFonts w:ascii="Times New Roman" w:hAnsi="Times New Roman"/>
          <w:b/>
          <w:snapToGrid w:val="0"/>
          <w:sz w:val="28"/>
          <w:szCs w:val="28"/>
          <w:lang w:val="de-DE"/>
        </w:rPr>
      </w:pPr>
      <w:r w:rsidRPr="00A22C2B">
        <w:rPr>
          <w:rFonts w:ascii="Times New Roman" w:hAnsi="Times New Roman"/>
          <w:b/>
          <w:snapToGrid w:val="0"/>
          <w:sz w:val="28"/>
          <w:szCs w:val="28"/>
          <w:lang w:val="de-DE"/>
        </w:rPr>
        <w:t>Einleitung</w:t>
      </w:r>
    </w:p>
    <w:p w:rsidR="00457C58" w:rsidRPr="004F5457" w:rsidRDefault="00457C58" w:rsidP="00457C58">
      <w:pPr>
        <w:ind w:left="0" w:firstLine="0"/>
        <w:rPr>
          <w:rFonts w:ascii="Times New Roman" w:hAnsi="Times New Roman"/>
          <w:lang w:val="de-DE"/>
        </w:rPr>
      </w:pPr>
    </w:p>
    <w:p w:rsidR="001F7436" w:rsidRPr="004F5457" w:rsidRDefault="00023B2E" w:rsidP="00A22C2B">
      <w:pPr>
        <w:tabs>
          <w:tab w:val="left" w:pos="567"/>
        </w:tabs>
        <w:ind w:left="0" w:firstLine="0"/>
        <w:rPr>
          <w:rFonts w:ascii="Times New Roman" w:hAnsi="Times New Roman"/>
          <w:lang w:val="de-DE"/>
        </w:rPr>
      </w:pPr>
      <w:r w:rsidRPr="004F5457">
        <w:rPr>
          <w:rFonts w:ascii="Times New Roman" w:hAnsi="Times New Roman"/>
          <w:lang w:val="de-DE"/>
        </w:rPr>
        <w:t>1.</w:t>
      </w:r>
      <w:r w:rsidRPr="004F5457">
        <w:rPr>
          <w:rFonts w:ascii="Times New Roman" w:hAnsi="Times New Roman"/>
          <w:lang w:val="de-DE"/>
        </w:rPr>
        <w:tab/>
      </w:r>
      <w:r w:rsidR="0020260B" w:rsidRPr="004F5457">
        <w:rPr>
          <w:rFonts w:ascii="Times New Roman" w:hAnsi="Times New Roman"/>
          <w:lang w:val="de-DE"/>
        </w:rPr>
        <w:t>Das ADN enthält Vorschriften in 7.1.4.1.1 über Höchstmengen an gefährliche Gütern (Bruttomassen) - nach Gefahrgutklassen differenziert -</w:t>
      </w:r>
      <w:r w:rsidR="00BC778A" w:rsidRPr="004F5457">
        <w:rPr>
          <w:rFonts w:ascii="Times New Roman" w:hAnsi="Times New Roman"/>
          <w:lang w:val="de-DE"/>
        </w:rPr>
        <w:t>,</w:t>
      </w:r>
      <w:r w:rsidR="0020260B" w:rsidRPr="004F5457">
        <w:rPr>
          <w:rFonts w:ascii="Times New Roman" w:hAnsi="Times New Roman"/>
          <w:lang w:val="de-DE"/>
        </w:rPr>
        <w:t xml:space="preserve"> die in einem Schiff nicht überschritten werden dürfen. Vorbehaltlich des Absatzes 7.1.4.1.3 dürfen nach 7.1.4.1.2 </w:t>
      </w:r>
      <w:r w:rsidR="00E24094" w:rsidRPr="004F5457">
        <w:rPr>
          <w:rFonts w:ascii="Times New Roman" w:hAnsi="Times New Roman"/>
          <w:lang w:val="de-DE"/>
        </w:rPr>
        <w:t>maximal pro Schiff 1.100.000 kg gefährliche Güter transportiert werden.</w:t>
      </w:r>
    </w:p>
    <w:p w:rsidR="0020260B" w:rsidRDefault="0020260B" w:rsidP="00A22C2B">
      <w:pPr>
        <w:tabs>
          <w:tab w:val="left" w:pos="567"/>
        </w:tabs>
        <w:ind w:left="0" w:firstLine="0"/>
        <w:rPr>
          <w:rFonts w:ascii="Times New Roman" w:hAnsi="Times New Roman"/>
          <w:lang w:val="de-DE"/>
        </w:rPr>
      </w:pPr>
    </w:p>
    <w:p w:rsidR="00C17E7E" w:rsidRPr="004F5457" w:rsidRDefault="00C17E7E" w:rsidP="00A22C2B">
      <w:pPr>
        <w:tabs>
          <w:tab w:val="left" w:pos="567"/>
        </w:tabs>
        <w:ind w:left="0" w:firstLine="0"/>
        <w:rPr>
          <w:rFonts w:ascii="Times New Roman" w:hAnsi="Times New Roman"/>
          <w:lang w:val="de-DE"/>
        </w:rPr>
      </w:pPr>
    </w:p>
    <w:p w:rsidR="008F18B2" w:rsidRPr="004F5457" w:rsidRDefault="00023B2E" w:rsidP="00A22C2B">
      <w:pPr>
        <w:tabs>
          <w:tab w:val="left" w:pos="567"/>
        </w:tabs>
        <w:overflowPunct/>
        <w:ind w:left="0" w:firstLine="0"/>
        <w:textAlignment w:val="auto"/>
        <w:rPr>
          <w:rFonts w:ascii="Times New Roman" w:hAnsi="Times New Roman"/>
          <w:lang w:val="de-DE"/>
        </w:rPr>
      </w:pPr>
      <w:r w:rsidRPr="004F5457">
        <w:rPr>
          <w:rFonts w:ascii="Times New Roman" w:hAnsi="Times New Roman"/>
          <w:lang w:val="de-DE"/>
        </w:rPr>
        <w:t>2.</w:t>
      </w:r>
      <w:r w:rsidRPr="004F5457">
        <w:rPr>
          <w:rFonts w:ascii="Times New Roman" w:hAnsi="Times New Roman"/>
          <w:lang w:val="de-DE"/>
        </w:rPr>
        <w:tab/>
      </w:r>
      <w:r w:rsidR="00E24094" w:rsidRPr="004F5457">
        <w:rPr>
          <w:rFonts w:ascii="Times New Roman" w:hAnsi="Times New Roman"/>
          <w:lang w:val="de-DE"/>
        </w:rPr>
        <w:t xml:space="preserve">Der von 7.1.4.1.3 ausgesprochene Vorbehalt </w:t>
      </w:r>
      <w:r w:rsidR="00BC778A" w:rsidRPr="004F5457">
        <w:rPr>
          <w:rFonts w:ascii="Times New Roman" w:hAnsi="Times New Roman"/>
          <w:lang w:val="de-DE"/>
        </w:rPr>
        <w:t xml:space="preserve">nimmt für bestimmte Gefahrgutklassen eine weitere Unterteilung nach „Gefahrzettel 1“ vor, Dies wiederum gilt nicht für Doppelhüllenschiffe nach bestimmten Unterabschnitten. </w:t>
      </w:r>
      <w:r w:rsidR="008F18B2" w:rsidRPr="004F5457">
        <w:rPr>
          <w:rFonts w:ascii="Times New Roman" w:hAnsi="Times New Roman"/>
          <w:lang w:val="de-DE"/>
        </w:rPr>
        <w:t>Doppelhüllenschiffe, die bestimmte Kriterien erfüllen, dürfen Gefahrgüter in unbegrenzten Mengen transportieren.</w:t>
      </w:r>
      <w:r w:rsidR="006A1210" w:rsidRPr="004F5457">
        <w:rPr>
          <w:rFonts w:ascii="Times New Roman" w:hAnsi="Times New Roman"/>
          <w:lang w:val="de-DE"/>
        </w:rPr>
        <w:t xml:space="preserve"> Zudem heißt es bei Mengengrenzen in 7.1.4.1.1 verschiedentlich „unbeschränkt“. Wie ist dieses </w:t>
      </w:r>
      <w:r w:rsidR="00D86321" w:rsidRPr="004F5457">
        <w:rPr>
          <w:rFonts w:ascii="Times New Roman" w:hAnsi="Times New Roman"/>
          <w:lang w:val="de-DE"/>
        </w:rPr>
        <w:t>Wort „</w:t>
      </w:r>
      <w:r w:rsidR="006A1210" w:rsidRPr="004F5457">
        <w:rPr>
          <w:rFonts w:ascii="Times New Roman" w:hAnsi="Times New Roman"/>
          <w:lang w:val="de-DE"/>
        </w:rPr>
        <w:t>unbeschränkt</w:t>
      </w:r>
      <w:r w:rsidR="00D86321" w:rsidRPr="004F5457">
        <w:rPr>
          <w:rFonts w:ascii="Times New Roman" w:hAnsi="Times New Roman"/>
          <w:lang w:val="de-DE"/>
        </w:rPr>
        <w:t>“</w:t>
      </w:r>
      <w:r w:rsidR="006A1210" w:rsidRPr="004F5457">
        <w:rPr>
          <w:rFonts w:ascii="Times New Roman" w:hAnsi="Times New Roman"/>
          <w:lang w:val="de-DE"/>
        </w:rPr>
        <w:t xml:space="preserve"> zu verstehen?</w:t>
      </w:r>
      <w:r w:rsidR="00D86321" w:rsidRPr="004F5457">
        <w:rPr>
          <w:rFonts w:ascii="Times New Roman" w:hAnsi="Times New Roman"/>
          <w:lang w:val="de-DE"/>
        </w:rPr>
        <w:t xml:space="preserve"> </w:t>
      </w:r>
    </w:p>
    <w:p w:rsidR="00BC778A" w:rsidRPr="004F5457" w:rsidRDefault="00BC778A" w:rsidP="00A22C2B">
      <w:pPr>
        <w:tabs>
          <w:tab w:val="left" w:pos="567"/>
        </w:tabs>
        <w:overflowPunct/>
        <w:ind w:left="0" w:firstLine="0"/>
        <w:jc w:val="left"/>
        <w:textAlignment w:val="auto"/>
        <w:rPr>
          <w:rFonts w:ascii="Times New Roman" w:hAnsi="Times New Roman"/>
          <w:lang w:val="de-DE"/>
        </w:rPr>
      </w:pPr>
    </w:p>
    <w:p w:rsidR="00C17E7E" w:rsidRDefault="00C17E7E">
      <w:pPr>
        <w:overflowPunct/>
        <w:autoSpaceDE/>
        <w:autoSpaceDN/>
        <w:adjustRightInd/>
        <w:spacing w:after="200" w:line="276" w:lineRule="auto"/>
        <w:ind w:left="0" w:firstLine="0"/>
        <w:jc w:val="left"/>
        <w:textAlignment w:val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br w:type="page"/>
      </w:r>
    </w:p>
    <w:p w:rsidR="005A792B" w:rsidRPr="004F5457" w:rsidRDefault="006A1210" w:rsidP="00A22C2B">
      <w:pPr>
        <w:tabs>
          <w:tab w:val="left" w:pos="567"/>
        </w:tabs>
        <w:ind w:left="0" w:firstLine="0"/>
        <w:rPr>
          <w:rFonts w:ascii="Times New Roman" w:hAnsi="Times New Roman"/>
          <w:color w:val="222222"/>
          <w:lang w:val="de-DE"/>
        </w:rPr>
      </w:pPr>
      <w:r w:rsidRPr="004F5457">
        <w:rPr>
          <w:rFonts w:ascii="Times New Roman" w:hAnsi="Times New Roman"/>
          <w:lang w:val="de-DE"/>
        </w:rPr>
        <w:lastRenderedPageBreak/>
        <w:t>3</w:t>
      </w:r>
      <w:r w:rsidR="00023B2E" w:rsidRPr="004F5457">
        <w:rPr>
          <w:rFonts w:ascii="Times New Roman" w:hAnsi="Times New Roman"/>
          <w:lang w:val="de-DE"/>
        </w:rPr>
        <w:t>.</w:t>
      </w:r>
      <w:r w:rsidR="00023B2E" w:rsidRPr="004F5457">
        <w:rPr>
          <w:rFonts w:ascii="Times New Roman" w:hAnsi="Times New Roman"/>
          <w:lang w:val="de-DE"/>
        </w:rPr>
        <w:tab/>
      </w:r>
      <w:r w:rsidR="00BE7C19" w:rsidRPr="004F5457">
        <w:rPr>
          <w:rFonts w:ascii="Times New Roman" w:hAnsi="Times New Roman"/>
          <w:lang w:val="de-DE"/>
        </w:rPr>
        <w:t xml:space="preserve">An dem bestehenden </w:t>
      </w:r>
      <w:r w:rsidR="00072D45" w:rsidRPr="004F5457">
        <w:rPr>
          <w:rFonts w:ascii="Times New Roman" w:hAnsi="Times New Roman"/>
          <w:lang w:val="de-DE"/>
        </w:rPr>
        <w:t xml:space="preserve">Text </w:t>
      </w:r>
      <w:r w:rsidR="00BE7C19" w:rsidRPr="004F5457">
        <w:rPr>
          <w:rFonts w:ascii="Times New Roman" w:hAnsi="Times New Roman"/>
          <w:lang w:val="de-DE"/>
        </w:rPr>
        <w:t xml:space="preserve">sind über die Jahre hinweg </w:t>
      </w:r>
      <w:r w:rsidR="008F18B2" w:rsidRPr="004F5457">
        <w:rPr>
          <w:rFonts w:ascii="Times New Roman" w:hAnsi="Times New Roman"/>
          <w:lang w:val="de-DE"/>
        </w:rPr>
        <w:t xml:space="preserve">in verschiedenen Schritten </w:t>
      </w:r>
      <w:r w:rsidR="00BE7C19" w:rsidRPr="004F5457">
        <w:rPr>
          <w:rFonts w:ascii="Times New Roman" w:hAnsi="Times New Roman"/>
          <w:lang w:val="de-DE"/>
        </w:rPr>
        <w:t xml:space="preserve">Änderungen vorgenommen worden, die </w:t>
      </w:r>
      <w:r w:rsidR="008F18B2" w:rsidRPr="004F5457">
        <w:rPr>
          <w:rFonts w:ascii="Times New Roman" w:hAnsi="Times New Roman"/>
          <w:lang w:val="de-DE"/>
        </w:rPr>
        <w:t xml:space="preserve">jeweils </w:t>
      </w:r>
      <w:r w:rsidR="00BE7C19" w:rsidRPr="004F5457">
        <w:rPr>
          <w:rFonts w:ascii="Times New Roman" w:hAnsi="Times New Roman"/>
          <w:lang w:val="de-DE"/>
        </w:rPr>
        <w:t xml:space="preserve">im Detail notwendig und sinnvoll erschienen. In Summe ist der aktuelle Text </w:t>
      </w:r>
      <w:r w:rsidR="00072D45" w:rsidRPr="004F5457">
        <w:rPr>
          <w:rFonts w:ascii="Times New Roman" w:hAnsi="Times New Roman"/>
          <w:lang w:val="de-DE"/>
        </w:rPr>
        <w:t xml:space="preserve">für den ungeübten Anwender schwer verständlich und birgt die Gefahr von Missverständnissen zwischen Schiffsbesatzung und </w:t>
      </w:r>
      <w:r w:rsidR="005A792B" w:rsidRPr="004F5457">
        <w:rPr>
          <w:rStyle w:val="hps"/>
          <w:rFonts w:ascii="Times New Roman" w:hAnsi="Times New Roman"/>
          <w:color w:val="222222"/>
          <w:lang w:val="de-DE"/>
        </w:rPr>
        <w:t>Kontrollbehörden</w:t>
      </w:r>
      <w:r w:rsidR="005A792B" w:rsidRPr="004F5457">
        <w:rPr>
          <w:rFonts w:ascii="Times New Roman" w:hAnsi="Times New Roman"/>
          <w:color w:val="222222"/>
          <w:lang w:val="de-DE"/>
        </w:rPr>
        <w:t>.</w:t>
      </w:r>
    </w:p>
    <w:p w:rsidR="00BC778A" w:rsidRPr="004F5457" w:rsidRDefault="00BC778A" w:rsidP="00A22C2B">
      <w:pPr>
        <w:tabs>
          <w:tab w:val="left" w:pos="567"/>
        </w:tabs>
        <w:ind w:left="0" w:firstLine="0"/>
        <w:rPr>
          <w:rFonts w:ascii="Times New Roman" w:hAnsi="Times New Roman"/>
          <w:color w:val="222222"/>
          <w:lang w:val="de-DE"/>
        </w:rPr>
      </w:pPr>
    </w:p>
    <w:p w:rsidR="006A1210" w:rsidRPr="004F5457" w:rsidRDefault="006A1210" w:rsidP="00A22C2B">
      <w:pPr>
        <w:tabs>
          <w:tab w:val="left" w:pos="567"/>
        </w:tabs>
        <w:overflowPunct/>
        <w:ind w:left="0" w:firstLine="0"/>
        <w:textAlignment w:val="auto"/>
        <w:rPr>
          <w:rFonts w:ascii="Times New Roman" w:hAnsi="Times New Roman"/>
          <w:lang w:val="de-DE"/>
        </w:rPr>
      </w:pPr>
      <w:r w:rsidRPr="004F5457">
        <w:rPr>
          <w:rFonts w:ascii="Times New Roman" w:hAnsi="Times New Roman"/>
          <w:lang w:val="de-DE"/>
        </w:rPr>
        <w:t>4.</w:t>
      </w:r>
      <w:r w:rsidRPr="004F5457">
        <w:rPr>
          <w:rFonts w:ascii="Times New Roman" w:hAnsi="Times New Roman"/>
          <w:lang w:val="de-DE"/>
        </w:rPr>
        <w:tab/>
        <w:t>Aus diesem Grunde schlägt das europäische Binnenschifffahrtsgewerbe ein</w:t>
      </w:r>
      <w:r w:rsidR="00D86321" w:rsidRPr="004F5457">
        <w:rPr>
          <w:rFonts w:ascii="Times New Roman" w:hAnsi="Times New Roman"/>
          <w:lang w:val="de-DE"/>
        </w:rPr>
        <w:t>e</w:t>
      </w:r>
      <w:r w:rsidRPr="004F5457">
        <w:rPr>
          <w:rFonts w:ascii="Times New Roman" w:hAnsi="Times New Roman"/>
          <w:lang w:val="de-DE"/>
        </w:rPr>
        <w:t xml:space="preserve"> Überarbeitung von 7.1.4.1.1 vor. Ein Vorschlag ist beigefügt.</w:t>
      </w:r>
    </w:p>
    <w:p w:rsidR="006A1210" w:rsidRPr="004F5457" w:rsidRDefault="006A1210" w:rsidP="00A22C2B">
      <w:pPr>
        <w:tabs>
          <w:tab w:val="left" w:pos="567"/>
        </w:tabs>
        <w:overflowPunct/>
        <w:ind w:left="0" w:firstLine="0"/>
        <w:textAlignment w:val="auto"/>
        <w:rPr>
          <w:rFonts w:ascii="Times New Roman" w:hAnsi="Times New Roman"/>
          <w:lang w:val="de-DE"/>
        </w:rPr>
      </w:pPr>
    </w:p>
    <w:p w:rsidR="006A1210" w:rsidRPr="004F5457" w:rsidRDefault="005A792B" w:rsidP="00A22C2B">
      <w:pPr>
        <w:tabs>
          <w:tab w:val="left" w:pos="567"/>
        </w:tabs>
        <w:ind w:left="0" w:firstLine="0"/>
        <w:rPr>
          <w:rFonts w:ascii="Times New Roman" w:hAnsi="Times New Roman"/>
          <w:lang w:val="de-DE"/>
        </w:rPr>
      </w:pPr>
      <w:r w:rsidRPr="004F5457">
        <w:rPr>
          <w:rFonts w:ascii="Times New Roman" w:hAnsi="Times New Roman"/>
          <w:lang w:val="de-DE"/>
        </w:rPr>
        <w:t>5.</w:t>
      </w:r>
      <w:r w:rsidRPr="004F5457">
        <w:rPr>
          <w:rFonts w:ascii="Times New Roman" w:hAnsi="Times New Roman"/>
          <w:lang w:val="de-DE"/>
        </w:rPr>
        <w:tab/>
      </w:r>
      <w:r w:rsidR="006A1210" w:rsidRPr="004F5457">
        <w:rPr>
          <w:rFonts w:ascii="Times New Roman" w:hAnsi="Times New Roman"/>
          <w:lang w:val="de-DE"/>
        </w:rPr>
        <w:t>Das europäische Binnenschifffahrtsgewerbe schlägt darüber hinaus vor, zur weiteren Bearbeitung eine Arbeitsgruppe einzusetzen. Das Gewerbe hat Unterlagen vorbereitet, die die Mitglieder einer solchen Arbeitsgruppe über d</w:t>
      </w:r>
      <w:r w:rsidR="00E8616D" w:rsidRPr="004F5457">
        <w:rPr>
          <w:rFonts w:ascii="Times New Roman" w:hAnsi="Times New Roman"/>
          <w:lang w:val="de-DE"/>
        </w:rPr>
        <w:t>en Wortlaut der verschied</w:t>
      </w:r>
      <w:r w:rsidR="00D86321" w:rsidRPr="004F5457">
        <w:rPr>
          <w:rFonts w:ascii="Times New Roman" w:hAnsi="Times New Roman"/>
          <w:lang w:val="de-DE"/>
        </w:rPr>
        <w:t>e</w:t>
      </w:r>
      <w:r w:rsidR="00E8616D" w:rsidRPr="004F5457">
        <w:rPr>
          <w:rFonts w:ascii="Times New Roman" w:hAnsi="Times New Roman"/>
          <w:lang w:val="de-DE"/>
        </w:rPr>
        <w:t xml:space="preserve">nen seit 2003 in </w:t>
      </w:r>
      <w:r w:rsidR="00D86321" w:rsidRPr="004F5457">
        <w:rPr>
          <w:rFonts w:ascii="Times New Roman" w:hAnsi="Times New Roman"/>
          <w:lang w:val="de-DE"/>
        </w:rPr>
        <w:t>Kraft</w:t>
      </w:r>
      <w:r w:rsidR="00E8616D" w:rsidRPr="004F5457">
        <w:rPr>
          <w:rFonts w:ascii="Times New Roman" w:hAnsi="Times New Roman"/>
          <w:lang w:val="de-DE"/>
        </w:rPr>
        <w:t xml:space="preserve"> getretenen Versionen von 7.1.4.1.1 informiert</w:t>
      </w:r>
    </w:p>
    <w:p w:rsidR="0020260B" w:rsidRPr="004F5457" w:rsidRDefault="0020260B" w:rsidP="00591037">
      <w:pPr>
        <w:rPr>
          <w:rFonts w:ascii="Times New Roman" w:hAnsi="Times New Roman"/>
          <w:lang w:val="de-DE"/>
        </w:rPr>
      </w:pPr>
    </w:p>
    <w:p w:rsidR="00C17E7E" w:rsidRDefault="00C17E7E" w:rsidP="0020260B">
      <w:pPr>
        <w:ind w:left="284" w:hanging="284"/>
        <w:rPr>
          <w:rFonts w:ascii="Times New Roman" w:hAnsi="Times New Roman"/>
          <w:b/>
          <w:sz w:val="28"/>
          <w:szCs w:val="28"/>
          <w:lang w:val="de-DE"/>
        </w:rPr>
      </w:pPr>
    </w:p>
    <w:p w:rsidR="0020260B" w:rsidRPr="00D076BA" w:rsidRDefault="0020260B" w:rsidP="0020260B">
      <w:pPr>
        <w:ind w:left="284" w:hanging="284"/>
        <w:rPr>
          <w:rFonts w:ascii="Times New Roman" w:hAnsi="Times New Roman"/>
          <w:b/>
          <w:sz w:val="28"/>
          <w:szCs w:val="28"/>
          <w:lang w:val="de-DE"/>
        </w:rPr>
      </w:pPr>
      <w:r w:rsidRPr="00D076BA">
        <w:rPr>
          <w:rFonts w:ascii="Times New Roman" w:hAnsi="Times New Roman"/>
          <w:b/>
          <w:sz w:val="28"/>
          <w:szCs w:val="28"/>
          <w:lang w:val="de-DE"/>
        </w:rPr>
        <w:t>Vorschlag</w:t>
      </w:r>
    </w:p>
    <w:p w:rsidR="0020260B" w:rsidRPr="004F5457" w:rsidRDefault="0020260B" w:rsidP="00591037">
      <w:pPr>
        <w:rPr>
          <w:rFonts w:ascii="Times New Roman" w:hAnsi="Times New Roman"/>
          <w:lang w:val="de-DE"/>
        </w:rPr>
      </w:pPr>
    </w:p>
    <w:p w:rsidR="00591037" w:rsidRPr="004F5457" w:rsidRDefault="00591037" w:rsidP="00591037">
      <w:pPr>
        <w:rPr>
          <w:rFonts w:ascii="Times New Roman" w:eastAsiaTheme="minorHAnsi" w:hAnsi="Times New Roman"/>
          <w:lang w:val="de-DE" w:eastAsia="en-US"/>
        </w:rPr>
      </w:pPr>
      <w:r w:rsidRPr="004F5457">
        <w:rPr>
          <w:rFonts w:ascii="Times New Roman" w:hAnsi="Times New Roman"/>
          <w:lang w:val="de-DE"/>
        </w:rPr>
        <w:t>7.1.4.1.1</w:t>
      </w:r>
      <w:r w:rsidRPr="004F5457">
        <w:rPr>
          <w:rFonts w:ascii="Times New Roman" w:hAnsi="Times New Roman"/>
          <w:lang w:val="de-DE"/>
        </w:rPr>
        <w:tab/>
      </w:r>
      <w:r w:rsidRPr="004F5457">
        <w:rPr>
          <w:rFonts w:ascii="Times New Roman" w:eastAsiaTheme="minorHAnsi" w:hAnsi="Times New Roman"/>
          <w:lang w:val="de-DE" w:eastAsia="en-US"/>
        </w:rPr>
        <w:t>Vorbehaltlich des Absatzes 7.1.4.1.3 dürfen auf einem Schiff die folgenden Bruttomassen nicht überschritten werden. Bei Schubverbänden und gekuppelten Schiffen gilt diese Bruttomasse pro Einheit.</w:t>
      </w:r>
    </w:p>
    <w:p w:rsidR="00591037" w:rsidRPr="004F5457" w:rsidRDefault="00591037" w:rsidP="00591037">
      <w:pPr>
        <w:overflowPunct/>
        <w:ind w:left="0" w:firstLine="0"/>
        <w:jc w:val="left"/>
        <w:textAlignment w:val="auto"/>
        <w:rPr>
          <w:rFonts w:ascii="Times New Roman" w:hAnsi="Times New Roman"/>
          <w:lang w:val="de-DE"/>
        </w:rPr>
      </w:pPr>
    </w:p>
    <w:tbl>
      <w:tblPr>
        <w:tblW w:w="9111" w:type="dxa"/>
        <w:tblInd w:w="817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685"/>
        <w:gridCol w:w="6"/>
      </w:tblGrid>
      <w:tr w:rsidR="00591037" w:rsidRPr="004F5457" w:rsidTr="00991D05">
        <w:trPr>
          <w:trHeight w:val="298"/>
        </w:trPr>
        <w:tc>
          <w:tcPr>
            <w:tcW w:w="9111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u w:val="single"/>
              </w:rPr>
            </w:pPr>
            <w:r w:rsidRPr="004F5457">
              <w:rPr>
                <w:b/>
                <w:u w:val="single"/>
              </w:rPr>
              <w:t>Klasse 1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und Gegenstände der Unterklasse 1.1 der Verträglichkeitsgruppe A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90 kg</w:t>
            </w:r>
            <w:r w:rsidRPr="004F5457">
              <w:rPr>
                <w:vertAlign w:val="superscript"/>
              </w:rPr>
              <w:t>1)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und Gegenstände der Unterklasse 1.1 der Verträglichkeitsgruppe B, C, D, E, F, G, J oder L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 xml:space="preserve">                                          </w:t>
            </w: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15 000 kg</w:t>
            </w:r>
            <w:r w:rsidRPr="004F5457">
              <w:rPr>
                <w:vertAlign w:val="superscript"/>
              </w:rPr>
              <w:t>2)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und Gegenstände der Unterklasse 1.2 der Verträglichkeitsgruppe B, C, D, E, F, G, H, J oder L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 xml:space="preserve">                                        </w:t>
            </w: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50 000 kg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und Gegenstände der Unterklasse 1.3 der Verträglichkeitsgruppe C, G, H, J oder L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300 000 kg</w:t>
            </w:r>
            <w:r w:rsidRPr="004F5457">
              <w:rPr>
                <w:vertAlign w:val="superscript"/>
              </w:rPr>
              <w:t>3)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und Gegenstände der Unterklasse 1.4 der Verträglichkeitsgruppe B, C, D, E, F, G oder S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 xml:space="preserve">                                    </w:t>
            </w: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1 100 000 kg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Stoffe der Unterklasse 1.5 der</w:t>
            </w: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Verträglichkeitsgruppe D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15 000 kg</w:t>
            </w:r>
            <w:r w:rsidRPr="004F5457">
              <w:rPr>
                <w:vertAlign w:val="superscript"/>
              </w:rPr>
              <w:t>2)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Gegenstände der Unterklasse 1.6 der</w:t>
            </w: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Verträglichkeitsgruppe N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300 000 kg</w:t>
            </w:r>
            <w:r w:rsidRPr="004F5457">
              <w:rPr>
                <w:vertAlign w:val="superscript"/>
              </w:rPr>
              <w:t>3)</w:t>
            </w:r>
          </w:p>
        </w:tc>
      </w:tr>
      <w:tr w:rsidR="00591037" w:rsidRPr="004F5457" w:rsidTr="00991D05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ungereinigte leere Verpackungen</w:t>
            </w:r>
          </w:p>
        </w:tc>
        <w:tc>
          <w:tcPr>
            <w:tcW w:w="3685" w:type="dxa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1 100 000 kg</w:t>
            </w:r>
          </w:p>
        </w:tc>
      </w:tr>
      <w:tr w:rsidR="00591037" w:rsidRPr="00462FE6" w:rsidTr="00991D05">
        <w:tc>
          <w:tcPr>
            <w:tcW w:w="9111" w:type="dxa"/>
            <w:gridSpan w:val="3"/>
          </w:tcPr>
          <w:p w:rsidR="00591037" w:rsidRPr="00625ACA" w:rsidRDefault="00591037" w:rsidP="00591037">
            <w:pPr>
              <w:overflowPunct/>
              <w:ind w:left="731" w:hanging="731"/>
              <w:jc w:val="left"/>
              <w:textAlignment w:val="auto"/>
              <w:rPr>
                <w:rFonts w:ascii="Times New Roman" w:eastAsiaTheme="minorHAnsi" w:hAnsi="Times New Roman"/>
                <w:b/>
                <w:bCs/>
                <w:i/>
                <w:sz w:val="18"/>
                <w:szCs w:val="18"/>
                <w:lang w:val="de-DE" w:eastAsia="en-US"/>
              </w:rPr>
            </w:pPr>
            <w:r w:rsidRPr="00625ACA">
              <w:rPr>
                <w:rFonts w:ascii="Times New Roman" w:eastAsiaTheme="minorHAnsi" w:hAnsi="Times New Roman"/>
                <w:b/>
                <w:bCs/>
                <w:i/>
                <w:sz w:val="18"/>
                <w:szCs w:val="18"/>
                <w:lang w:val="de-DE" w:eastAsia="en-US"/>
              </w:rPr>
              <w:t>Bemerkungen</w:t>
            </w:r>
          </w:p>
          <w:p w:rsidR="00591037" w:rsidRPr="00625ACA" w:rsidRDefault="00591037" w:rsidP="00591037">
            <w:pPr>
              <w:overflowPunct/>
              <w:ind w:left="731" w:hanging="731"/>
              <w:jc w:val="left"/>
              <w:textAlignment w:val="auto"/>
              <w:rPr>
                <w:rFonts w:ascii="Times New Roman" w:eastAsiaTheme="minorHAnsi" w:hAnsi="Times New Roman"/>
                <w:i/>
                <w:sz w:val="18"/>
                <w:szCs w:val="18"/>
                <w:lang w:val="de-DE" w:eastAsia="en-US"/>
              </w:rPr>
            </w:pP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vertAlign w:val="superscript"/>
                <w:lang w:val="de-DE" w:eastAsia="en-US"/>
              </w:rPr>
              <w:t>1)</w:t>
            </w: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lang w:val="de-DE" w:eastAsia="en-US"/>
              </w:rPr>
              <w:t xml:space="preserve"> In mindestens drei Partien zu maximal je 30 kg und mindestens 10 m Abstand zwischen den einzelnen Partien.</w:t>
            </w:r>
          </w:p>
          <w:p w:rsidR="00591037" w:rsidRPr="00625ACA" w:rsidRDefault="00591037" w:rsidP="00591037">
            <w:pPr>
              <w:overflowPunct/>
              <w:ind w:left="731" w:hanging="731"/>
              <w:jc w:val="left"/>
              <w:textAlignment w:val="auto"/>
              <w:rPr>
                <w:rFonts w:ascii="Times New Roman" w:eastAsiaTheme="minorHAnsi" w:hAnsi="Times New Roman"/>
                <w:i/>
                <w:sz w:val="18"/>
                <w:szCs w:val="18"/>
                <w:lang w:val="de-DE" w:eastAsia="en-US"/>
              </w:rPr>
            </w:pP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vertAlign w:val="superscript"/>
                <w:lang w:val="de-DE" w:eastAsia="en-US"/>
              </w:rPr>
              <w:t xml:space="preserve">2) </w:t>
            </w: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lang w:val="de-DE" w:eastAsia="en-US"/>
              </w:rPr>
              <w:t>In mindestens drei Partien zu maximal je 5 000 kg und mindestens 10 m Abstand zwischen den einzelnen Partien.</w:t>
            </w:r>
          </w:p>
          <w:p w:rsidR="00591037" w:rsidRPr="004F5457" w:rsidRDefault="00591037" w:rsidP="00591037">
            <w:pPr>
              <w:overflowPunct/>
              <w:ind w:left="731" w:hanging="731"/>
              <w:jc w:val="left"/>
              <w:textAlignment w:val="auto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vertAlign w:val="superscript"/>
                <w:lang w:val="de-DE" w:eastAsia="en-US"/>
              </w:rPr>
              <w:t>3)</w:t>
            </w:r>
            <w:r w:rsidRPr="00625ACA">
              <w:rPr>
                <w:rFonts w:ascii="Times New Roman" w:eastAsiaTheme="minorHAnsi" w:hAnsi="Times New Roman"/>
                <w:i/>
                <w:sz w:val="18"/>
                <w:szCs w:val="18"/>
                <w:lang w:val="de-DE" w:eastAsia="en-US"/>
              </w:rPr>
              <w:t xml:space="preserve"> Nicht mehr als 100 000 kg pro Laderaum. Ein eingesetztes Holzschott wird als Laderaumtrennung anerkannt.</w:t>
            </w:r>
          </w:p>
        </w:tc>
      </w:tr>
    </w:tbl>
    <w:p w:rsidR="000D271C" w:rsidRPr="004F5457" w:rsidRDefault="000D271C">
      <w:pPr>
        <w:rPr>
          <w:rFonts w:ascii="Times New Roman" w:hAnsi="Times New Roman"/>
          <w:lang w:val="de-DE"/>
        </w:rPr>
      </w:pPr>
    </w:p>
    <w:p w:rsidR="00C17E7E" w:rsidRDefault="00C17E7E">
      <w:r>
        <w:br w:type="page"/>
      </w:r>
    </w:p>
    <w:tbl>
      <w:tblPr>
        <w:tblW w:w="9111" w:type="dxa"/>
        <w:tblInd w:w="817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685"/>
        <w:gridCol w:w="6"/>
      </w:tblGrid>
      <w:tr w:rsidR="00591037" w:rsidRPr="004F5457" w:rsidTr="0020260B">
        <w:trPr>
          <w:trHeight w:val="435"/>
        </w:trPr>
        <w:tc>
          <w:tcPr>
            <w:tcW w:w="9111" w:type="dxa"/>
            <w:gridSpan w:val="3"/>
            <w:tcBorders>
              <w:bottom w:val="nil"/>
            </w:tcBorders>
          </w:tcPr>
          <w:p w:rsidR="00591037" w:rsidRPr="004F5457" w:rsidRDefault="00591037" w:rsidP="00591037">
            <w:pPr>
              <w:tabs>
                <w:tab w:val="left" w:pos="6804"/>
                <w:tab w:val="left" w:pos="7088"/>
              </w:tabs>
              <w:ind w:left="0" w:firstLine="0"/>
              <w:rPr>
                <w:rFonts w:ascii="Times New Roman" w:hAnsi="Times New Roman"/>
                <w:b/>
                <w:lang w:val="de-DE"/>
              </w:rPr>
            </w:pPr>
          </w:p>
          <w:p w:rsidR="00591037" w:rsidRPr="004F5457" w:rsidRDefault="00591037" w:rsidP="00591037">
            <w:pPr>
              <w:tabs>
                <w:tab w:val="left" w:pos="6804"/>
                <w:tab w:val="left" w:pos="7088"/>
              </w:tabs>
              <w:ind w:left="0" w:firstLine="0"/>
              <w:rPr>
                <w:rFonts w:ascii="Times New Roman" w:hAnsi="Times New Roman"/>
                <w:u w:val="single"/>
              </w:rPr>
            </w:pPr>
            <w:r w:rsidRPr="004F5457">
              <w:rPr>
                <w:rFonts w:ascii="Times New Roman" w:hAnsi="Times New Roman"/>
                <w:b/>
                <w:u w:val="single"/>
              </w:rPr>
              <w:t>Klasse 2</w:t>
            </w:r>
          </w:p>
        </w:tc>
      </w:tr>
      <w:tr w:rsidR="00591037" w:rsidRPr="004F5457" w:rsidTr="0020260B">
        <w:trPr>
          <w:gridAfter w:val="1"/>
          <w:wAfter w:w="6" w:type="dxa"/>
          <w:trHeight w:val="567"/>
        </w:trPr>
        <w:tc>
          <w:tcPr>
            <w:tcW w:w="5420" w:type="dxa"/>
            <w:tcBorders>
              <w:right w:val="nil"/>
            </w:tcBorders>
            <w:vAlign w:val="center"/>
          </w:tcPr>
          <w:p w:rsidR="00591037" w:rsidRPr="004F5457" w:rsidRDefault="00591037" w:rsidP="0026011C">
            <w:pPr>
              <w:overflowPunct/>
              <w:spacing w:before="120"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Güter mit Gefahrzettel 2.1 in Kapitel 3.2 Tabelle A Spalte</w:t>
            </w:r>
            <w:r w:rsidR="00625ACA">
              <w:rPr>
                <w:rFonts w:ascii="Times New Roman" w:eastAsiaTheme="minorHAnsi" w:hAnsi="Times New Roman"/>
                <w:lang w:val="de-DE" w:eastAsia="en-US"/>
              </w:rPr>
              <w:t> 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(5):</w:t>
            </w:r>
          </w:p>
          <w:p w:rsidR="00591037" w:rsidRPr="004F5457" w:rsidRDefault="00591037" w:rsidP="0026011C">
            <w:pPr>
              <w:ind w:left="0" w:firstLine="0"/>
              <w:jc w:val="left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insgesamt</w:t>
            </w:r>
          </w:p>
        </w:tc>
        <w:tc>
          <w:tcPr>
            <w:tcW w:w="3685" w:type="dxa"/>
            <w:tcBorders>
              <w:left w:val="nil"/>
            </w:tcBorders>
          </w:tcPr>
          <w:p w:rsidR="000D271C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0D271C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</w:t>
            </w:r>
            <w:r w:rsidR="00591037" w:rsidRPr="004F5457">
              <w:rPr>
                <w:lang w:val="de-DE"/>
              </w:rPr>
              <w:t>00 000 kg</w:t>
            </w:r>
          </w:p>
        </w:tc>
      </w:tr>
      <w:tr w:rsidR="00591037" w:rsidRPr="004F5457" w:rsidTr="0020260B">
        <w:trPr>
          <w:gridAfter w:val="1"/>
          <w:wAfter w:w="6" w:type="dxa"/>
          <w:trHeight w:val="567"/>
        </w:trPr>
        <w:tc>
          <w:tcPr>
            <w:tcW w:w="5420" w:type="dxa"/>
            <w:tcBorders>
              <w:bottom w:val="nil"/>
              <w:right w:val="nil"/>
            </w:tcBorders>
            <w:vAlign w:val="center"/>
          </w:tcPr>
          <w:p w:rsidR="00591037" w:rsidRPr="004F5457" w:rsidRDefault="00591037" w:rsidP="0026011C">
            <w:pPr>
              <w:overflowPunct/>
              <w:spacing w:before="120"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Güter mit Gefahrzettel 2.3 in Kapitel 3.2 Tabelle A Spalte</w:t>
            </w:r>
            <w:r w:rsidR="00625ACA">
              <w:rPr>
                <w:rFonts w:ascii="Times New Roman" w:eastAsiaTheme="minorHAnsi" w:hAnsi="Times New Roman"/>
                <w:lang w:val="de-DE" w:eastAsia="en-US"/>
              </w:rPr>
              <w:t> 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(5):</w:t>
            </w:r>
          </w:p>
          <w:p w:rsidR="00591037" w:rsidRPr="004F5457" w:rsidRDefault="00591037" w:rsidP="0026011C">
            <w:pPr>
              <w:tabs>
                <w:tab w:val="left" w:pos="6804"/>
                <w:tab w:val="left" w:pos="7088"/>
              </w:tabs>
              <w:ind w:left="0" w:firstLine="0"/>
              <w:jc w:val="left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insgesamt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0D271C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0D271C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120 000 kg</w:t>
            </w:r>
          </w:p>
        </w:tc>
      </w:tr>
      <w:tr w:rsidR="00591037" w:rsidRPr="004F5457" w:rsidTr="0020260B">
        <w:trPr>
          <w:gridAfter w:val="1"/>
          <w:wAfter w:w="6" w:type="dxa"/>
          <w:trHeight w:val="392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0D271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Güter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2936BC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</w:t>
            </w:r>
            <w:r w:rsidR="00591037" w:rsidRPr="004F5457">
              <w:rPr>
                <w:lang w:val="de-DE"/>
              </w:rPr>
              <w:t>nbeschränkt</w:t>
            </w:r>
          </w:p>
        </w:tc>
      </w:tr>
      <w:tr w:rsidR="00591037" w:rsidRPr="004F5457" w:rsidTr="0020260B">
        <w:trPr>
          <w:trHeight w:val="336"/>
        </w:trPr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11C" w:rsidRPr="004F5457" w:rsidRDefault="0026011C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</w:rPr>
            </w:pPr>
          </w:p>
          <w:p w:rsidR="0026011C" w:rsidRPr="004F5457" w:rsidRDefault="0026011C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u w:val="single"/>
              </w:rPr>
            </w:pPr>
            <w:r w:rsidRPr="004F5457">
              <w:rPr>
                <w:b/>
                <w:u w:val="single"/>
              </w:rPr>
              <w:t>Klasse 3</w:t>
            </w:r>
          </w:p>
        </w:tc>
      </w:tr>
      <w:tr w:rsidR="00591037" w:rsidRPr="004F5457" w:rsidTr="0020260B">
        <w:trPr>
          <w:gridAfter w:val="1"/>
          <w:wAfter w:w="6" w:type="dxa"/>
          <w:trHeight w:val="127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26011C">
            <w:pPr>
              <w:overflowPunct/>
              <w:spacing w:before="120"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Güter der Verpackungsgruppe I oder II,</w:t>
            </w:r>
          </w:p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für die </w:t>
            </w:r>
            <w:r w:rsidR="0026011C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dem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3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6.1 in Kapitel</w:t>
            </w:r>
            <w:r w:rsidR="00625ACA">
              <w:rPr>
                <w:rFonts w:ascii="Times New Roman" w:eastAsiaTheme="minorHAnsi" w:hAnsi="Times New Roman"/>
                <w:lang w:val="de-DE" w:eastAsia="en-US"/>
              </w:rPr>
              <w:t> 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3.2 Tabelle A Spalte (5) vorgeschrieben ist:</w:t>
            </w:r>
          </w:p>
          <w:p w:rsidR="00591037" w:rsidRPr="004F5457" w:rsidRDefault="00591037" w:rsidP="0026011C">
            <w:pPr>
              <w:tabs>
                <w:tab w:val="right" w:pos="8505"/>
              </w:tabs>
              <w:ind w:left="0" w:firstLine="0"/>
              <w:jc w:val="left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</w:p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</w:pPr>
            <w:r w:rsidRPr="004F5457">
              <w:t>120 000 kg</w:t>
            </w:r>
          </w:p>
        </w:tc>
      </w:tr>
      <w:tr w:rsidR="00591037" w:rsidRPr="004F5457" w:rsidTr="0020260B">
        <w:trPr>
          <w:gridAfter w:val="1"/>
          <w:wAfter w:w="6" w:type="dxa"/>
          <w:trHeight w:val="37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andere Güter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472" w:rsidRPr="00CF0472" w:rsidRDefault="00CF0472" w:rsidP="0068277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jc w:val="right"/>
              <w:rPr>
                <w:strike/>
                <w:lang w:val="de-DE"/>
              </w:rPr>
            </w:pPr>
            <w:r w:rsidRPr="00CF0472">
              <w:rPr>
                <w:strike/>
                <w:lang w:val="de-DE"/>
              </w:rPr>
              <w:t>300 000 kg</w:t>
            </w:r>
          </w:p>
          <w:p w:rsidR="00591037" w:rsidRPr="00CF0472" w:rsidRDefault="00033ECE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u w:val="single"/>
              </w:rPr>
            </w:pPr>
            <w:r w:rsidRPr="00CF0472">
              <w:rPr>
                <w:u w:val="single"/>
                <w:lang w:val="de-DE"/>
              </w:rPr>
              <w:t>unbeschränkt</w:t>
            </w:r>
          </w:p>
        </w:tc>
      </w:tr>
    </w:tbl>
    <w:p w:rsidR="0068277A" w:rsidRDefault="0068277A"/>
    <w:tbl>
      <w:tblPr>
        <w:tblW w:w="9111" w:type="dxa"/>
        <w:tblInd w:w="817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685"/>
        <w:gridCol w:w="6"/>
      </w:tblGrid>
      <w:tr w:rsidR="00591037" w:rsidRPr="004F5457" w:rsidTr="0020260B">
        <w:trPr>
          <w:trHeight w:val="361"/>
        </w:trPr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11C" w:rsidRPr="004F5457" w:rsidRDefault="0026011C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4.1</w:t>
            </w:r>
          </w:p>
        </w:tc>
      </w:tr>
      <w:tr w:rsidR="00591037" w:rsidRPr="004F5457" w:rsidTr="0020260B">
        <w:trPr>
          <w:gridAfter w:val="1"/>
          <w:wAfter w:w="6" w:type="dxa"/>
          <w:trHeight w:val="66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26011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UN-Nummern 3221, 3222, 3231 und 3232,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2936B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jc w:val="right"/>
            </w:pPr>
            <w:r w:rsidRPr="004F5457">
              <w:t>15 000 kg</w:t>
            </w:r>
          </w:p>
        </w:tc>
      </w:tr>
      <w:tr w:rsidR="00591037" w:rsidRPr="004F5457" w:rsidTr="0020260B">
        <w:trPr>
          <w:gridAfter w:val="1"/>
          <w:wAfter w:w="6" w:type="dxa"/>
          <w:trHeight w:val="225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26011C">
            <w:pPr>
              <w:overflowPunct/>
              <w:spacing w:before="120"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Güter der Verpackungsgruppe I; alle Güter der</w:t>
            </w:r>
          </w:p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Verpackungsgruppe II, für die </w:t>
            </w:r>
            <w:r w:rsidR="0026011C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dem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4.1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6.1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in Kapitel 3.2 Tabelle A Spalte (5) vorgeschrieben ist;</w:t>
            </w:r>
          </w:p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selbstzersetzliche Stoffe des Typs C, D, E, und F</w:t>
            </w:r>
          </w:p>
          <w:p w:rsidR="00591037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(UN-Nummern 3223 bis 3230 und 3233 bis 3240);</w:t>
            </w:r>
          </w:p>
          <w:p w:rsidR="00B20A2D" w:rsidRPr="004F5457" w:rsidRDefault="00591037" w:rsidP="0026011C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anderen Stoffe des Klassifizierungscodes SR1 oder SR2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(UN-Nummern 2956, 3241, 3242 und 3251); </w:t>
            </w:r>
          </w:p>
          <w:p w:rsidR="00591037" w:rsidRPr="004F5457" w:rsidRDefault="00591037" w:rsidP="00625ACA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die desensibilisierten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explosiven Stoffe der Verpackungsgruppe</w:t>
            </w:r>
            <w:r w:rsidR="00625ACA">
              <w:rPr>
                <w:rFonts w:ascii="Times New Roman" w:eastAsiaTheme="minorHAnsi" w:hAnsi="Times New Roman"/>
                <w:lang w:val="de-DE" w:eastAsia="en-US"/>
              </w:rPr>
              <w:t> 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II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(UN-Nummern 2907, 3319 und 3344):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91D05" w:rsidRPr="004F5457" w:rsidRDefault="00991D05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625ACA" w:rsidRDefault="00625ACA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</w:p>
          <w:p w:rsidR="00625ACA" w:rsidRDefault="00625ACA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</w:p>
          <w:p w:rsidR="00625ACA" w:rsidRDefault="00625ACA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</w:p>
          <w:p w:rsidR="00625ACA" w:rsidRDefault="00625ACA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</w:p>
          <w:p w:rsidR="00625ACA" w:rsidRDefault="00625ACA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</w:p>
          <w:p w:rsidR="00591037" w:rsidRPr="004F5457" w:rsidRDefault="00591037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</w:pPr>
            <w:r w:rsidRPr="004F5457">
              <w:t>120 000 kg</w:t>
            </w:r>
          </w:p>
        </w:tc>
      </w:tr>
      <w:tr w:rsidR="00591037" w:rsidRPr="004F5457" w:rsidTr="0020260B">
        <w:trPr>
          <w:gridAfter w:val="1"/>
          <w:wAfter w:w="6" w:type="dxa"/>
          <w:trHeight w:val="314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991D05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Güter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  <w:tr w:rsidR="00591037" w:rsidRPr="004F5457" w:rsidTr="0020260B">
        <w:trPr>
          <w:gridAfter w:val="1"/>
          <w:wAfter w:w="6" w:type="dxa"/>
          <w:trHeight w:val="41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1F0981" w:rsidRPr="004F5457" w:rsidRDefault="001F0981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1F0981" w:rsidRPr="004F5457" w:rsidRDefault="001F0981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4.2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</w:pPr>
          </w:p>
        </w:tc>
      </w:tr>
      <w:tr w:rsidR="00591037" w:rsidRPr="004F5457" w:rsidTr="0020260B">
        <w:trPr>
          <w:gridAfter w:val="1"/>
          <w:wAfter w:w="6" w:type="dxa"/>
          <w:trHeight w:val="12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1F0981">
            <w:pPr>
              <w:overflowPunct/>
              <w:spacing w:before="120"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alle Güter der Verpackungsgruppe I oder II, für die 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</w:t>
            </w:r>
            <w:r w:rsidR="001F0981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m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4.2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6.1 in Ka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>pitel 3.2 Tabelle A Spalte (5) v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orgeschrieben ist: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991D05" w:rsidRPr="004F5457" w:rsidRDefault="00991D05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20260B">
        <w:trPr>
          <w:gridAfter w:val="1"/>
          <w:wAfter w:w="6" w:type="dxa"/>
          <w:trHeight w:val="400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591037" w:rsidP="00991D05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</w:t>
            </w:r>
            <w:r w:rsidR="00991D05" w:rsidRPr="004F5457">
              <w:rPr>
                <w:lang w:val="de-DE"/>
              </w:rPr>
              <w:t>r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991D05" w:rsidP="001F0981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</w:t>
            </w:r>
            <w:r w:rsidR="00591037" w:rsidRPr="004F5457">
              <w:rPr>
                <w:lang w:val="de-DE"/>
              </w:rPr>
              <w:t>nbeschränkt</w:t>
            </w:r>
          </w:p>
        </w:tc>
      </w:tr>
    </w:tbl>
    <w:p w:rsidR="00C17E7E" w:rsidRDefault="00C17E7E">
      <w:r>
        <w:br w:type="page"/>
      </w:r>
    </w:p>
    <w:tbl>
      <w:tblPr>
        <w:tblW w:w="9105" w:type="dxa"/>
        <w:tblInd w:w="817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685"/>
      </w:tblGrid>
      <w:tr w:rsidR="00591037" w:rsidRPr="004F5457" w:rsidTr="00C17E7E">
        <w:trPr>
          <w:trHeight w:val="36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1F0981" w:rsidP="00C17E7E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lastRenderedPageBreak/>
              <w:br w:type="page"/>
            </w:r>
            <w:r w:rsidR="00591037" w:rsidRPr="004F5457">
              <w:rPr>
                <w:b/>
                <w:u w:val="single"/>
                <w:lang w:val="de-DE"/>
              </w:rPr>
              <w:t>Klasse 4.3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142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alle Güter der Verpackungsgruppe I oder II, für die </w:t>
            </w:r>
            <w:r w:rsidR="00B20A2D" w:rsidRPr="00CF0472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</w:t>
            </w:r>
            <w:r w:rsidR="006A6B1A" w:rsidRPr="00CF0472">
              <w:rPr>
                <w:rFonts w:ascii="Times New Roman" w:eastAsiaTheme="minorHAnsi" w:hAnsi="Times New Roman"/>
                <w:u w:val="single"/>
                <w:lang w:val="de-DE" w:eastAsia="en-US"/>
              </w:rPr>
              <w:t>m</w:t>
            </w:r>
            <w:r w:rsidR="00B20A2D" w:rsidRPr="00CF0472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4.3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3, 4.1 oder 6.1 in Kapitel 3.2 Tabelle A Spalte (5) vorgeschrieben ist:</w:t>
            </w: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F2563D" w:rsidRPr="004F5457" w:rsidRDefault="00F2563D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after="120"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C17E7E">
        <w:trPr>
          <w:trHeight w:val="298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 xml:space="preserve">andere Güter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  <w:tr w:rsidR="00591037" w:rsidRPr="004F5457" w:rsidTr="00C17E7E"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0260B" w:rsidRPr="004F5457" w:rsidRDefault="0020260B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</w:p>
          <w:p w:rsidR="0020260B" w:rsidRPr="004F5457" w:rsidRDefault="0020260B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5.1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1271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alle Güter der Verpackungsgruppe I oder II, für die 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</w:t>
            </w:r>
            <w:r w:rsidR="006A6B1A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m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5.1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6.1 in Kapitel 3.2 Tabelle A Spalte (5) vorgeschrieben ist: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F2563D" w:rsidRPr="004F5457" w:rsidRDefault="00F2563D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C17E7E">
        <w:trPr>
          <w:trHeight w:val="186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 xml:space="preserve">andere Güter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  <w:tr w:rsidR="00591037" w:rsidRPr="004F5457" w:rsidTr="00C17E7E">
        <w:trPr>
          <w:trHeight w:val="28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6A6B1A" w:rsidRPr="004F5457" w:rsidRDefault="006A6B1A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F2563D" w:rsidRPr="004F5457" w:rsidRDefault="00F2563D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6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UN-Nummern 3101, 3102, 3111 und 3112: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2936BC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15 000 kg</w:t>
            </w:r>
          </w:p>
        </w:tc>
      </w:tr>
      <w:tr w:rsidR="00591037" w:rsidRPr="004F5457" w:rsidTr="00C17E7E">
        <w:trPr>
          <w:trHeight w:val="33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120 000 kg</w:t>
            </w:r>
          </w:p>
        </w:tc>
      </w:tr>
      <w:tr w:rsidR="00591037" w:rsidRPr="004F5457" w:rsidTr="00C17E7E">
        <w:trPr>
          <w:trHeight w:val="25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6A6B1A" w:rsidRPr="004F5457" w:rsidRDefault="006A6B1A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F2563D" w:rsidRPr="004F5457" w:rsidRDefault="00F2563D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6.1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381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alle Güter der Verpackungsgruppe I: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120 000 kg</w:t>
            </w:r>
          </w:p>
        </w:tc>
      </w:tr>
      <w:tr w:rsidR="00591037" w:rsidRPr="004F5457" w:rsidTr="00C17E7E">
        <w:trPr>
          <w:trHeight w:val="38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alle Güter der Verpackungsgruppe II: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C17E7E">
        <w:trPr>
          <w:trHeight w:val="40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alle in loser Schüttung beförderte Güter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0 kg</w:t>
            </w:r>
          </w:p>
        </w:tc>
      </w:tr>
      <w:tr w:rsidR="00591037" w:rsidRPr="004F5457" w:rsidTr="00C17E7E">
        <w:trPr>
          <w:trHeight w:val="254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6A6B1A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Güter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  <w:tr w:rsidR="00591037" w:rsidRPr="004F5457" w:rsidTr="00C17E7E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6A6B1A" w:rsidRPr="004F5457" w:rsidRDefault="006A6B1A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F2563D" w:rsidRPr="004F5457" w:rsidRDefault="00F2563D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687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hAnsi="Times New Roman"/>
                <w:b/>
                <w:lang w:val="de-DE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UN-Nummern 2912, 2913, 2915, 2916, 2917, 2919, 2977, 2978 und 3321 bis 3333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0 kg</w:t>
            </w:r>
          </w:p>
        </w:tc>
      </w:tr>
      <w:tr w:rsidR="00591037" w:rsidRPr="004F5457" w:rsidTr="00C17E7E">
        <w:trPr>
          <w:trHeight w:val="306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 xml:space="preserve">andere Güter 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  <w:tr w:rsidR="00591037" w:rsidRPr="004F5457" w:rsidTr="00C17E7E">
        <w:trPr>
          <w:trHeight w:val="29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6A6B1A" w:rsidRPr="004F5457" w:rsidRDefault="006A6B1A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F2563D" w:rsidRPr="004F5457" w:rsidRDefault="00F2563D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t>Klasse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C17E7E">
        <w:trPr>
          <w:trHeight w:val="140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alle Güter der Verpackungsgruppe I;</w:t>
            </w:r>
          </w:p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 xml:space="preserve">alle Güter der Verpackungsgruppe II, für die </w:t>
            </w:r>
            <w:r w:rsidR="006A6B1A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>neben dem</w:t>
            </w:r>
            <w:r w:rsidR="00B20A2D" w:rsidRPr="0068277A">
              <w:rPr>
                <w:rFonts w:ascii="Times New Roman" w:eastAsiaTheme="minorHAnsi" w:hAnsi="Times New Roman"/>
                <w:u w:val="single"/>
                <w:lang w:val="de-DE" w:eastAsia="en-US"/>
              </w:rPr>
              <w:t xml:space="preserve"> Gefahrzettel 8</w:t>
            </w:r>
            <w:r w:rsidR="00B20A2D" w:rsidRPr="004F5457">
              <w:rPr>
                <w:rFonts w:ascii="Times New Roman" w:eastAsiaTheme="minorHAnsi" w:hAnsi="Times New Roman"/>
                <w:lang w:val="de-DE" w:eastAsia="en-US"/>
              </w:rPr>
              <w:t xml:space="preserve"> 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ein Gefahrzettel 3 oder 6.1 in Kapitel 3.2 Tabelle</w:t>
            </w:r>
            <w:r w:rsidR="00DA1D1D">
              <w:rPr>
                <w:rFonts w:ascii="Times New Roman" w:eastAsiaTheme="minorHAnsi" w:hAnsi="Times New Roman"/>
                <w:lang w:val="de-DE" w:eastAsia="en-US"/>
              </w:rPr>
              <w:t> </w:t>
            </w:r>
            <w:r w:rsidRPr="004F5457">
              <w:rPr>
                <w:rFonts w:ascii="Times New Roman" w:eastAsiaTheme="minorHAnsi" w:hAnsi="Times New Roman"/>
                <w:lang w:val="de-DE" w:eastAsia="en-US"/>
              </w:rPr>
              <w:t>A Spalte (5) vorgeschrieben ist:</w:t>
            </w: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before="120"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C17E7E">
        <w:trPr>
          <w:trHeight w:val="298"/>
        </w:trPr>
        <w:tc>
          <w:tcPr>
            <w:tcW w:w="5420" w:type="dxa"/>
            <w:tcBorders>
              <w:bottom w:val="nil"/>
              <w:right w:val="nil"/>
            </w:tcBorders>
            <w:vAlign w:val="bottom"/>
          </w:tcPr>
          <w:p w:rsidR="00591037" w:rsidRPr="004F5457" w:rsidRDefault="006A6B1A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>andere Güter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bottom"/>
          </w:tcPr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</w:tbl>
    <w:p w:rsidR="006A6B1A" w:rsidRPr="004F5457" w:rsidRDefault="006A6B1A" w:rsidP="00F2563D">
      <w:pPr>
        <w:ind w:left="0" w:firstLine="0"/>
        <w:rPr>
          <w:rFonts w:ascii="Times New Roman" w:hAnsi="Times New Roman"/>
        </w:rPr>
      </w:pPr>
    </w:p>
    <w:p w:rsidR="00C17E7E" w:rsidRDefault="00C17E7E">
      <w:r>
        <w:br w:type="page"/>
      </w:r>
    </w:p>
    <w:tbl>
      <w:tblPr>
        <w:tblW w:w="9105" w:type="dxa"/>
        <w:tblInd w:w="817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0"/>
        <w:gridCol w:w="3685"/>
      </w:tblGrid>
      <w:tr w:rsidR="00591037" w:rsidRPr="004F5457" w:rsidTr="00991D05">
        <w:trPr>
          <w:trHeight w:val="4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u w:val="single"/>
                <w:lang w:val="de-DE"/>
              </w:rPr>
            </w:pPr>
            <w:r w:rsidRPr="004F5457">
              <w:rPr>
                <w:b/>
                <w:u w:val="single"/>
                <w:lang w:val="de-DE"/>
              </w:rPr>
              <w:lastRenderedPageBreak/>
              <w:t>Klasse 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</w:p>
        </w:tc>
      </w:tr>
      <w:tr w:rsidR="00591037" w:rsidRPr="004F5457" w:rsidTr="00F2563D">
        <w:trPr>
          <w:trHeight w:val="418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alle Güter der Verpackungsgruppe II: insgesamt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F2563D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300 000 kg</w:t>
            </w:r>
          </w:p>
        </w:tc>
      </w:tr>
      <w:tr w:rsidR="00591037" w:rsidRPr="004F5457" w:rsidTr="00991D05">
        <w:trPr>
          <w:trHeight w:val="156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037" w:rsidRPr="004F5457" w:rsidRDefault="00591037" w:rsidP="006A6B1A">
            <w:pPr>
              <w:overflowPunct/>
              <w:ind w:left="0" w:firstLine="0"/>
              <w:jc w:val="left"/>
              <w:textAlignment w:val="auto"/>
              <w:rPr>
                <w:rFonts w:ascii="Times New Roman" w:eastAsiaTheme="minorHAnsi" w:hAnsi="Times New Roman"/>
                <w:lang w:val="de-DE" w:eastAsia="en-US"/>
              </w:rPr>
            </w:pPr>
            <w:r w:rsidRPr="004F5457">
              <w:rPr>
                <w:rFonts w:ascii="Times New Roman" w:eastAsiaTheme="minorHAnsi" w:hAnsi="Times New Roman"/>
                <w:lang w:val="de-DE" w:eastAsia="en-US"/>
              </w:rPr>
              <w:t>UN 3077, Güter, die in loser Schüttung befördert werden und als umweltgefährdende Stoffe (aquatische Umwelt), Kategorien Akute Giftigkeit 1 oder Chronische Giftigkeit 1, eingestuft</w:t>
            </w:r>
          </w:p>
          <w:p w:rsidR="00591037" w:rsidRPr="004F5457" w:rsidRDefault="00591037" w:rsidP="006A6B1A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b/>
                <w:lang w:val="de-DE"/>
              </w:rPr>
            </w:pPr>
            <w:r w:rsidRPr="004F5457">
              <w:rPr>
                <w:rFonts w:eastAsiaTheme="minorHAnsi"/>
                <w:lang w:val="de-DE" w:eastAsia="en-US"/>
              </w:rPr>
              <w:t>sind, in Übereinstimmung mit 2.4.3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</w:p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0 kg</w:t>
            </w:r>
          </w:p>
        </w:tc>
      </w:tr>
      <w:tr w:rsidR="00591037" w:rsidRPr="004F5457" w:rsidTr="00991D05">
        <w:tc>
          <w:tcPr>
            <w:tcW w:w="5420" w:type="dxa"/>
            <w:tcBorders>
              <w:bottom w:val="nil"/>
              <w:right w:val="nil"/>
            </w:tcBorders>
          </w:tcPr>
          <w:p w:rsidR="00591037" w:rsidRPr="004F5457" w:rsidRDefault="006A6B1A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rPr>
                <w:lang w:val="de-DE"/>
              </w:rPr>
            </w:pPr>
            <w:r w:rsidRPr="004F5457">
              <w:rPr>
                <w:lang w:val="de-DE"/>
              </w:rPr>
              <w:t xml:space="preserve">andere Güter 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591037" w:rsidRPr="004F5457" w:rsidRDefault="00591037" w:rsidP="00591037">
            <w:pPr>
              <w:pStyle w:val="Plattetekst21"/>
              <w:tabs>
                <w:tab w:val="clear" w:pos="-1698"/>
                <w:tab w:val="clear" w:pos="-847"/>
                <w:tab w:val="clear" w:pos="0"/>
                <w:tab w:val="clear" w:pos="284"/>
                <w:tab w:val="clear" w:pos="454"/>
                <w:tab w:val="clear" w:pos="680"/>
                <w:tab w:val="clear" w:pos="851"/>
                <w:tab w:val="clear" w:pos="1134"/>
                <w:tab w:val="clear" w:pos="1702"/>
                <w:tab w:val="clear" w:pos="2410"/>
                <w:tab w:val="clear" w:pos="2834"/>
                <w:tab w:val="clear" w:pos="3402"/>
                <w:tab w:val="clear" w:pos="3968"/>
                <w:tab w:val="clear" w:pos="5500"/>
                <w:tab w:val="clear" w:pos="6220"/>
                <w:tab w:val="clear" w:pos="6940"/>
                <w:tab w:val="clear" w:pos="7660"/>
                <w:tab w:val="clear" w:pos="8380"/>
                <w:tab w:val="clear" w:pos="9100"/>
                <w:tab w:val="clear" w:pos="9820"/>
              </w:tabs>
              <w:suppressAutoHyphens w:val="0"/>
              <w:spacing w:line="235" w:lineRule="exact"/>
              <w:ind w:left="0" w:firstLine="0"/>
              <w:jc w:val="right"/>
              <w:rPr>
                <w:lang w:val="de-DE"/>
              </w:rPr>
            </w:pPr>
            <w:r w:rsidRPr="004F5457">
              <w:rPr>
                <w:lang w:val="de-DE"/>
              </w:rPr>
              <w:t>unbeschränkt</w:t>
            </w:r>
          </w:p>
        </w:tc>
      </w:tr>
    </w:tbl>
    <w:p w:rsidR="00591037" w:rsidRPr="004F5457" w:rsidRDefault="00591037" w:rsidP="00591037">
      <w:pPr>
        <w:pStyle w:val="Plattetekst21"/>
        <w:tabs>
          <w:tab w:val="clear" w:pos="-1698"/>
          <w:tab w:val="clear" w:pos="-847"/>
          <w:tab w:val="clear" w:pos="0"/>
          <w:tab w:val="clear" w:pos="284"/>
          <w:tab w:val="clear" w:pos="454"/>
          <w:tab w:val="clear" w:pos="680"/>
          <w:tab w:val="clear" w:pos="851"/>
          <w:tab w:val="clear" w:pos="1134"/>
          <w:tab w:val="clear" w:pos="1702"/>
          <w:tab w:val="clear" w:pos="2410"/>
          <w:tab w:val="clear" w:pos="2834"/>
          <w:tab w:val="clear" w:pos="3402"/>
          <w:tab w:val="clear" w:pos="3968"/>
          <w:tab w:val="clear" w:pos="5500"/>
          <w:tab w:val="clear" w:pos="6220"/>
          <w:tab w:val="clear" w:pos="6940"/>
          <w:tab w:val="clear" w:pos="7660"/>
          <w:tab w:val="clear" w:pos="8380"/>
          <w:tab w:val="clear" w:pos="9100"/>
          <w:tab w:val="clear" w:pos="9820"/>
        </w:tabs>
        <w:suppressAutoHyphens w:val="0"/>
        <w:spacing w:line="235" w:lineRule="exact"/>
        <w:ind w:left="0" w:firstLine="0"/>
        <w:rPr>
          <w:lang w:val="de-DE"/>
        </w:rPr>
      </w:pPr>
    </w:p>
    <w:p w:rsidR="00591037" w:rsidRPr="004F5457" w:rsidRDefault="00591037" w:rsidP="00591037">
      <w:pPr>
        <w:tabs>
          <w:tab w:val="left" w:pos="7088"/>
          <w:tab w:val="right" w:pos="7371"/>
        </w:tabs>
        <w:ind w:left="0" w:firstLine="0"/>
        <w:rPr>
          <w:rFonts w:ascii="Times New Roman" w:hAnsi="Times New Roman"/>
          <w:lang w:val="de-DE"/>
        </w:rPr>
      </w:pPr>
    </w:p>
    <w:p w:rsidR="00F2563D" w:rsidRPr="004F5457" w:rsidRDefault="00F2563D" w:rsidP="00591037">
      <w:pPr>
        <w:overflowPunct/>
        <w:jc w:val="left"/>
        <w:textAlignment w:val="auto"/>
        <w:rPr>
          <w:rFonts w:ascii="Times New Roman" w:eastAsiaTheme="minorHAnsi" w:hAnsi="Times New Roman"/>
          <w:bCs/>
          <w:lang w:val="de-DE" w:eastAsia="en-US"/>
        </w:rPr>
      </w:pPr>
    </w:p>
    <w:p w:rsidR="00B20A2D" w:rsidRPr="0068277A" w:rsidRDefault="00591037" w:rsidP="00A22C2B">
      <w:pPr>
        <w:overflowPunct/>
        <w:textAlignment w:val="auto"/>
        <w:rPr>
          <w:rStyle w:val="hps"/>
          <w:rFonts w:ascii="Times New Roman" w:hAnsi="Times New Roman"/>
          <w:color w:val="222222"/>
          <w:u w:val="single"/>
          <w:lang w:val="de-DE"/>
        </w:rPr>
      </w:pPr>
      <w:r w:rsidRPr="004F5457">
        <w:rPr>
          <w:rFonts w:ascii="Times New Roman" w:eastAsiaTheme="minorHAnsi" w:hAnsi="Times New Roman"/>
          <w:bCs/>
          <w:lang w:val="de-DE" w:eastAsia="en-US"/>
        </w:rPr>
        <w:t>7.1.4.1.2</w:t>
      </w:r>
      <w:r w:rsidRPr="004F5457">
        <w:rPr>
          <w:rFonts w:ascii="Times New Roman" w:eastAsiaTheme="minorHAnsi" w:hAnsi="Times New Roman"/>
          <w:b/>
          <w:bCs/>
          <w:lang w:val="de-DE" w:eastAsia="en-US"/>
        </w:rPr>
        <w:t xml:space="preserve"> </w:t>
      </w:r>
      <w:r w:rsidRPr="004F5457">
        <w:rPr>
          <w:rFonts w:ascii="Times New Roman" w:eastAsiaTheme="minorHAnsi" w:hAnsi="Times New Roman"/>
          <w:b/>
          <w:bCs/>
          <w:lang w:val="de-DE" w:eastAsia="en-US"/>
        </w:rPr>
        <w:tab/>
      </w:r>
      <w:r w:rsidRPr="004F5457">
        <w:rPr>
          <w:rFonts w:ascii="Times New Roman" w:eastAsiaTheme="minorHAnsi" w:hAnsi="Times New Roman"/>
          <w:lang w:val="de-DE" w:eastAsia="en-US"/>
        </w:rPr>
        <w:t>Vorbehaltlich des Absatzes 7.1.4.1.3 sind auf einem Schiff oder bei Schubverbänden und gekuppelten Schiffen pro Einheit höchstens 1 100 000 kg gefährliche Güter zugelassen.</w:t>
      </w:r>
      <w:r w:rsidR="00B20A2D" w:rsidRPr="004F5457">
        <w:rPr>
          <w:rStyle w:val="berschrift1Zchn"/>
          <w:rFonts w:ascii="Times New Roman" w:hAnsi="Times New Roman"/>
          <w:color w:val="222222"/>
          <w:sz w:val="20"/>
          <w:szCs w:val="20"/>
        </w:rPr>
        <w:t xml:space="preserve"> 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Für</w:t>
      </w:r>
      <w:r w:rsidR="00B20A2D" w:rsidRPr="0068277A">
        <w:rPr>
          <w:rFonts w:ascii="Times New Roman" w:hAnsi="Times New Roman"/>
          <w:color w:val="222222"/>
          <w:u w:val="single"/>
          <w:lang w:val="de-DE"/>
        </w:rPr>
        <w:t xml:space="preserve"> die in 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7.1.4.1.1</w:t>
      </w:r>
      <w:r w:rsidR="00B20A2D" w:rsidRPr="0068277A">
        <w:rPr>
          <w:rFonts w:ascii="Times New Roman" w:hAnsi="Times New Roman"/>
          <w:color w:val="222222"/>
          <w:u w:val="single"/>
          <w:lang w:val="de-DE"/>
        </w:rPr>
        <w:t xml:space="preserve"> 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aufgenommenen andere</w:t>
      </w:r>
      <w:r w:rsidR="006A6B1A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n Güter, die in unbeschrä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nkte</w:t>
      </w:r>
      <w:r w:rsidR="006A6B1A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n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 xml:space="preserve"> Mengen befördert werden dürfen</w:t>
      </w:r>
      <w:r w:rsidR="006A6B1A" w:rsidRPr="0068277A">
        <w:rPr>
          <w:rStyle w:val="hps"/>
          <w:rFonts w:ascii="Times New Roman" w:hAnsi="Times New Roman"/>
          <w:color w:val="222222"/>
          <w:u w:val="single"/>
          <w:lang w:val="de-DE"/>
        </w:rPr>
        <w:t>,</w:t>
      </w:r>
      <w:r w:rsidR="00B20A2D" w:rsidRPr="0068277A">
        <w:rPr>
          <w:rStyle w:val="hps"/>
          <w:rFonts w:ascii="Times New Roman" w:hAnsi="Times New Roman"/>
          <w:color w:val="222222"/>
          <w:u w:val="single"/>
          <w:lang w:val="de-DE"/>
        </w:rPr>
        <w:t xml:space="preserve"> trifft diese Beschränkung nicht zu.</w:t>
      </w:r>
    </w:p>
    <w:p w:rsidR="00591037" w:rsidRPr="004F5457" w:rsidRDefault="00591037" w:rsidP="00A22C2B">
      <w:pPr>
        <w:overflowPunct/>
        <w:textAlignment w:val="auto"/>
        <w:rPr>
          <w:rFonts w:ascii="Times New Roman" w:eastAsiaTheme="minorHAnsi" w:hAnsi="Times New Roman"/>
          <w:lang w:val="de-DE" w:eastAsia="en-US"/>
        </w:rPr>
      </w:pPr>
    </w:p>
    <w:p w:rsidR="00D86321" w:rsidRPr="004F5457" w:rsidRDefault="00D86321" w:rsidP="00A22C2B">
      <w:pPr>
        <w:overflowPunct/>
        <w:textAlignment w:val="auto"/>
        <w:rPr>
          <w:rFonts w:ascii="Times New Roman" w:eastAsiaTheme="minorHAnsi" w:hAnsi="Times New Roman"/>
          <w:lang w:val="de-DE" w:eastAsia="en-US"/>
        </w:rPr>
      </w:pPr>
      <w:r w:rsidRPr="004F5457">
        <w:rPr>
          <w:rFonts w:ascii="Times New Roman" w:eastAsiaTheme="minorHAnsi" w:hAnsi="Times New Roman"/>
          <w:lang w:val="de-DE" w:eastAsia="en-US"/>
        </w:rPr>
        <w:t>Und unverändert (</w:t>
      </w:r>
      <w:r w:rsidR="00CE75B0" w:rsidRPr="004F5457">
        <w:rPr>
          <w:rFonts w:ascii="Times New Roman" w:eastAsiaTheme="minorHAnsi" w:hAnsi="Times New Roman"/>
          <w:lang w:val="de-DE" w:eastAsia="en-US"/>
        </w:rPr>
        <w:t xml:space="preserve">nur </w:t>
      </w:r>
      <w:r w:rsidRPr="004F5457">
        <w:rPr>
          <w:rFonts w:ascii="Times New Roman" w:eastAsiaTheme="minorHAnsi" w:hAnsi="Times New Roman"/>
          <w:lang w:val="de-DE" w:eastAsia="en-US"/>
        </w:rPr>
        <w:t>zum besseren Verständnis</w:t>
      </w:r>
      <w:r w:rsidR="00CE75B0" w:rsidRPr="004F5457">
        <w:rPr>
          <w:rFonts w:ascii="Times New Roman" w:eastAsiaTheme="minorHAnsi" w:hAnsi="Times New Roman"/>
          <w:lang w:val="de-DE" w:eastAsia="en-US"/>
        </w:rPr>
        <w:t xml:space="preserve"> der Gesamtsituation</w:t>
      </w:r>
      <w:r w:rsidRPr="004F5457">
        <w:rPr>
          <w:rFonts w:ascii="Times New Roman" w:eastAsiaTheme="minorHAnsi" w:hAnsi="Times New Roman"/>
          <w:lang w:val="de-DE" w:eastAsia="en-US"/>
        </w:rPr>
        <w:t>:)</w:t>
      </w:r>
    </w:p>
    <w:p w:rsidR="00D86321" w:rsidRPr="004F5457" w:rsidRDefault="00D86321" w:rsidP="00A22C2B">
      <w:pPr>
        <w:overflowPunct/>
        <w:textAlignment w:val="auto"/>
        <w:rPr>
          <w:rFonts w:ascii="Times New Roman" w:eastAsiaTheme="minorHAnsi" w:hAnsi="Times New Roman"/>
          <w:lang w:val="de-DE" w:eastAsia="en-US"/>
        </w:rPr>
      </w:pPr>
    </w:p>
    <w:p w:rsidR="006C2FE7" w:rsidRPr="004F5457" w:rsidRDefault="00591037" w:rsidP="00A22C2B">
      <w:pPr>
        <w:overflowPunct/>
        <w:textAlignment w:val="auto"/>
        <w:rPr>
          <w:rFonts w:ascii="Times New Roman" w:hAnsi="Times New Roman"/>
          <w:lang w:val="de-DE"/>
        </w:rPr>
      </w:pPr>
      <w:r w:rsidRPr="004F5457">
        <w:rPr>
          <w:rFonts w:ascii="Times New Roman" w:eastAsiaTheme="minorHAnsi" w:hAnsi="Times New Roman"/>
          <w:bCs/>
          <w:lang w:val="de-DE" w:eastAsia="en-US"/>
        </w:rPr>
        <w:t>7.1.4.1.3</w:t>
      </w:r>
      <w:r w:rsidRPr="004F5457">
        <w:rPr>
          <w:rFonts w:ascii="Times New Roman" w:eastAsiaTheme="minorHAnsi" w:hAnsi="Times New Roman"/>
          <w:b/>
          <w:bCs/>
          <w:lang w:val="de-DE" w:eastAsia="en-US"/>
        </w:rPr>
        <w:t xml:space="preserve"> </w:t>
      </w:r>
      <w:r w:rsidRPr="004F5457">
        <w:rPr>
          <w:rFonts w:ascii="Times New Roman" w:eastAsiaTheme="minorHAnsi" w:hAnsi="Times New Roman"/>
          <w:b/>
          <w:bCs/>
          <w:lang w:val="de-DE" w:eastAsia="en-US"/>
        </w:rPr>
        <w:tab/>
      </w:r>
      <w:r w:rsidRPr="004F5457">
        <w:rPr>
          <w:rFonts w:ascii="Times New Roman" w:eastAsiaTheme="minorHAnsi" w:hAnsi="Times New Roman"/>
          <w:lang w:val="de-DE" w:eastAsia="en-US"/>
        </w:rPr>
        <w:t>Die Begrenzung der beförderten Mengen von gefährlichen Gütern der Klassen 2, 3, 4.1, 4.2, 4.3, 5.1, 5.2, 6.1, 7, 8 und 9 nach den Absätzen 7.1.4.1.1 und 7.1.4.1.2, ausgenommen diejenigen mit Gefahrzettel 1 in Kapitel 3.2 Tabelle A Spalte (5), gilt nicht für Doppelhüllenschiffe, die den zusätzlichen Bauvorschriften in den Unterabschnitten 9.1.0.88 bis 9.1.0.95 oder 9.2.0.88 bis 9.2.0.95 entsprechen.</w:t>
      </w:r>
    </w:p>
    <w:p w:rsidR="00E47262" w:rsidRPr="004F5457" w:rsidRDefault="00E47262" w:rsidP="00A22C2B">
      <w:pPr>
        <w:pStyle w:val="N2"/>
        <w:tabs>
          <w:tab w:val="clear" w:pos="-340"/>
          <w:tab w:val="clear" w:pos="284"/>
          <w:tab w:val="clear" w:pos="454"/>
          <w:tab w:val="clear" w:pos="680"/>
          <w:tab w:val="left" w:pos="-142"/>
          <w:tab w:val="left" w:pos="1134"/>
        </w:tabs>
        <w:spacing w:line="240" w:lineRule="exact"/>
        <w:rPr>
          <w:rFonts w:ascii="Times New Roman" w:hAnsi="Times New Roman"/>
          <w:sz w:val="20"/>
          <w:lang w:val="de-DE"/>
        </w:rPr>
      </w:pPr>
    </w:p>
    <w:p w:rsidR="00D86321" w:rsidRPr="004F5457" w:rsidRDefault="004F5457" w:rsidP="00CE75B0">
      <w:pPr>
        <w:pStyle w:val="N2"/>
        <w:tabs>
          <w:tab w:val="clear" w:pos="-340"/>
          <w:tab w:val="clear" w:pos="284"/>
          <w:tab w:val="clear" w:pos="454"/>
          <w:tab w:val="clear" w:pos="680"/>
          <w:tab w:val="left" w:pos="-142"/>
          <w:tab w:val="left" w:pos="1134"/>
        </w:tabs>
        <w:spacing w:line="240" w:lineRule="exact"/>
        <w:jc w:val="center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***</w:t>
      </w:r>
    </w:p>
    <w:sectPr w:rsidR="00D86321" w:rsidRPr="004F5457" w:rsidSect="00462FE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21" w:rsidRDefault="00D86321" w:rsidP="00E47262">
      <w:r>
        <w:separator/>
      </w:r>
    </w:p>
  </w:endnote>
  <w:endnote w:type="continuationSeparator" w:id="0">
    <w:p w:rsidR="00D86321" w:rsidRDefault="00D86321" w:rsidP="00E4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E6" w:rsidRPr="0007085E" w:rsidRDefault="00462FE6" w:rsidP="00462FE6">
    <w:pPr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Times New Roman" w:hAnsi="Times New Roman"/>
        <w:sz w:val="24"/>
        <w:szCs w:val="24"/>
        <w:lang w:val="en-US" w:eastAsia="de-DE"/>
      </w:rPr>
    </w:pPr>
    <w:r>
      <w:rPr>
        <w:noProof/>
        <w:sz w:val="12"/>
        <w:szCs w:val="24"/>
        <w:lang w:val="en-US"/>
      </w:rPr>
      <w:t>mm</w:t>
    </w:r>
    <w:r w:rsidRPr="0007085E">
      <w:rPr>
        <w:noProof/>
        <w:sz w:val="12"/>
        <w:szCs w:val="24"/>
        <w:lang w:val="en-US"/>
      </w:rPr>
      <w:t>/adn_wp15_ac2_2016_</w:t>
    </w:r>
    <w:r>
      <w:rPr>
        <w:noProof/>
        <w:sz w:val="12"/>
        <w:szCs w:val="24"/>
        <w:lang w:val="en-US"/>
      </w:rPr>
      <w:t>39de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5E" w:rsidRPr="0007085E" w:rsidRDefault="00D34DAA" w:rsidP="0007085E">
    <w:pPr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Times New Roman" w:hAnsi="Times New Roman"/>
        <w:sz w:val="24"/>
        <w:szCs w:val="24"/>
        <w:lang w:val="en-US" w:eastAsia="de-DE"/>
      </w:rPr>
    </w:pPr>
    <w:r>
      <w:rPr>
        <w:noProof/>
        <w:sz w:val="12"/>
        <w:szCs w:val="24"/>
        <w:lang w:val="en-US"/>
      </w:rPr>
      <w:t>mm</w:t>
    </w:r>
    <w:r w:rsidR="0007085E" w:rsidRPr="0007085E">
      <w:rPr>
        <w:noProof/>
        <w:sz w:val="12"/>
        <w:szCs w:val="24"/>
        <w:lang w:val="en-US"/>
      </w:rPr>
      <w:t>/adn_wp15_ac2_2016_</w:t>
    </w:r>
    <w:r w:rsidR="00462FE6">
      <w:rPr>
        <w:noProof/>
        <w:sz w:val="12"/>
        <w:szCs w:val="24"/>
        <w:lang w:val="en-US"/>
      </w:rPr>
      <w:t>39</w:t>
    </w:r>
    <w:r>
      <w:rPr>
        <w:noProof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21" w:rsidRDefault="00D86321" w:rsidP="00E47262">
      <w:r>
        <w:separator/>
      </w:r>
    </w:p>
  </w:footnote>
  <w:footnote w:type="continuationSeparator" w:id="0">
    <w:p w:rsidR="00D86321" w:rsidRDefault="00D86321" w:rsidP="00E47262">
      <w:r>
        <w:continuationSeparator/>
      </w:r>
    </w:p>
  </w:footnote>
  <w:footnote w:id="1">
    <w:p w:rsidR="00E146F6" w:rsidRPr="006F296A" w:rsidRDefault="00E146F6" w:rsidP="00C17E7E">
      <w:pPr>
        <w:pStyle w:val="FootnoteText"/>
        <w:tabs>
          <w:tab w:val="left" w:pos="284"/>
        </w:tabs>
        <w:ind w:left="284" w:right="0" w:hanging="284"/>
        <w:jc w:val="both"/>
        <w:rPr>
          <w:szCs w:val="24"/>
          <w:lang w:val="de-DE"/>
        </w:rPr>
      </w:pPr>
      <w:r w:rsidRPr="00B25753">
        <w:rPr>
          <w:rStyle w:val="FootnoteReference"/>
        </w:rPr>
        <w:footnoteRef/>
      </w:r>
      <w:r w:rsidRPr="006F296A">
        <w:rPr>
          <w:szCs w:val="24"/>
          <w:lang w:val="de-DE"/>
        </w:rPr>
        <w:tab/>
      </w:r>
      <w:r w:rsidRPr="006F296A">
        <w:rPr>
          <w:noProof/>
          <w:sz w:val="16"/>
          <w:szCs w:val="24"/>
          <w:lang w:val="de-DE"/>
        </w:rPr>
        <w:t>Von der UN-ECE in Englisch, Französisch und Russisch unter dem Aktenzeichen ECE/TRANS/WP.15/AC.2/201</w:t>
      </w:r>
      <w:r>
        <w:rPr>
          <w:noProof/>
          <w:sz w:val="16"/>
          <w:szCs w:val="24"/>
          <w:lang w:val="de-DE"/>
        </w:rPr>
        <w:t>6</w:t>
      </w:r>
      <w:r w:rsidRPr="006F296A">
        <w:rPr>
          <w:noProof/>
          <w:sz w:val="16"/>
          <w:szCs w:val="24"/>
          <w:lang w:val="de-DE"/>
        </w:rPr>
        <w:t>/</w:t>
      </w:r>
      <w:r w:rsidR="00462FE6">
        <w:rPr>
          <w:noProof/>
          <w:sz w:val="16"/>
          <w:szCs w:val="24"/>
          <w:lang w:val="de-DE"/>
        </w:rPr>
        <w:t>39</w:t>
      </w:r>
      <w:r w:rsidRPr="006F296A">
        <w:rPr>
          <w:noProof/>
          <w:sz w:val="16"/>
          <w:szCs w:val="24"/>
          <w:lang w:val="de-DE"/>
        </w:rPr>
        <w:t xml:space="preserve"> verteilt.</w:t>
      </w:r>
    </w:p>
  </w:footnote>
  <w:footnote w:id="2">
    <w:p w:rsidR="00E15648" w:rsidRPr="00447333" w:rsidRDefault="00E15648" w:rsidP="00C17E7E">
      <w:pPr>
        <w:pStyle w:val="FootnoteText"/>
        <w:tabs>
          <w:tab w:val="left" w:pos="284"/>
        </w:tabs>
        <w:ind w:left="284" w:right="0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E6" w:rsidRPr="00A22C2B" w:rsidRDefault="00462FE6" w:rsidP="00462FE6"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left"/>
      <w:textAlignment w:val="auto"/>
      <w:rPr>
        <w:rFonts w:cs="Arial"/>
        <w:sz w:val="16"/>
        <w:szCs w:val="16"/>
        <w:lang w:val="en-US" w:eastAsia="en-US"/>
      </w:rPr>
    </w:pPr>
    <w:r w:rsidRPr="00A22C2B">
      <w:rPr>
        <w:rFonts w:cs="Arial"/>
        <w:sz w:val="16"/>
        <w:szCs w:val="16"/>
        <w:lang w:val="en-US" w:eastAsia="en-US"/>
      </w:rPr>
      <w:t>CCNR-ZKR/ADN/WP.15/AC.2/2016/</w:t>
    </w:r>
    <w:r>
      <w:rPr>
        <w:rFonts w:cs="Arial"/>
        <w:sz w:val="16"/>
        <w:szCs w:val="16"/>
        <w:lang w:val="en-US" w:eastAsia="en-US"/>
      </w:rPr>
      <w:t>39</w:t>
    </w:r>
  </w:p>
  <w:p w:rsidR="00462FE6" w:rsidRDefault="00462FE6" w:rsidP="00462FE6">
    <w:pPr>
      <w:pStyle w:val="Header"/>
      <w:jc w:val="left"/>
    </w:pPr>
    <w:r w:rsidRPr="00A22C2B">
      <w:rPr>
        <w:rFonts w:cs="Arial"/>
        <w:sz w:val="16"/>
        <w:szCs w:val="16"/>
        <w:lang w:val="en-GB" w:eastAsia="en-US"/>
      </w:rPr>
      <w:t xml:space="preserve">Seite </w:t>
    </w:r>
    <w:r w:rsidRPr="00A22C2B">
      <w:rPr>
        <w:rFonts w:cs="Arial"/>
        <w:sz w:val="16"/>
        <w:szCs w:val="16"/>
        <w:lang w:val="en-GB" w:eastAsia="en-US"/>
      </w:rPr>
      <w:fldChar w:fldCharType="begin"/>
    </w:r>
    <w:r w:rsidRPr="00A22C2B">
      <w:rPr>
        <w:rFonts w:cs="Arial"/>
        <w:sz w:val="16"/>
        <w:szCs w:val="16"/>
        <w:lang w:val="en-GB" w:eastAsia="en-US"/>
      </w:rPr>
      <w:instrText xml:space="preserve"> PAGE  \* MERGEFORMAT </w:instrText>
    </w:r>
    <w:r w:rsidRPr="00A22C2B">
      <w:rPr>
        <w:rFonts w:cs="Arial"/>
        <w:sz w:val="16"/>
        <w:szCs w:val="16"/>
        <w:lang w:val="en-GB" w:eastAsia="en-US"/>
      </w:rPr>
      <w:fldChar w:fldCharType="separate"/>
    </w:r>
    <w:r w:rsidR="00124DAB">
      <w:rPr>
        <w:rFonts w:cs="Arial"/>
        <w:noProof/>
        <w:sz w:val="16"/>
        <w:szCs w:val="16"/>
        <w:lang w:val="en-GB" w:eastAsia="en-US"/>
      </w:rPr>
      <w:t>2</w:t>
    </w:r>
    <w:r w:rsidRPr="00A22C2B">
      <w:rPr>
        <w:rFonts w:cs="Arial"/>
        <w:sz w:val="16"/>
        <w:szCs w:val="16"/>
        <w:lang w:val="en-GB" w:eastAsia="en-US"/>
      </w:rPr>
      <w:fldChar w:fldCharType="end"/>
    </w:r>
  </w:p>
  <w:p w:rsidR="00D34DAA" w:rsidRDefault="00D34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2B" w:rsidRPr="00A22C2B" w:rsidRDefault="00A22C2B" w:rsidP="00A22C2B">
    <w:pPr>
      <w:tabs>
        <w:tab w:val="center" w:pos="4320"/>
        <w:tab w:val="right" w:pos="8640"/>
      </w:tabs>
      <w:overflowPunct/>
      <w:autoSpaceDE/>
      <w:autoSpaceDN/>
      <w:adjustRightInd/>
      <w:ind w:left="0" w:firstLine="0"/>
      <w:jc w:val="right"/>
      <w:textAlignment w:val="auto"/>
      <w:rPr>
        <w:rFonts w:cs="Arial"/>
        <w:sz w:val="16"/>
        <w:szCs w:val="16"/>
        <w:lang w:val="en-US" w:eastAsia="en-US"/>
      </w:rPr>
    </w:pPr>
    <w:r w:rsidRPr="00A22C2B">
      <w:rPr>
        <w:rFonts w:cs="Arial"/>
        <w:sz w:val="16"/>
        <w:szCs w:val="16"/>
        <w:lang w:val="en-US" w:eastAsia="en-US"/>
      </w:rPr>
      <w:t>CCNR-ZKR/ADN/WP.15/AC.2/2016/</w:t>
    </w:r>
    <w:r w:rsidR="00462FE6">
      <w:rPr>
        <w:rFonts w:cs="Arial"/>
        <w:sz w:val="16"/>
        <w:szCs w:val="16"/>
        <w:lang w:val="en-US" w:eastAsia="en-US"/>
      </w:rPr>
      <w:t>39</w:t>
    </w:r>
  </w:p>
  <w:p w:rsidR="00A22C2B" w:rsidRDefault="00A22C2B" w:rsidP="00A22C2B">
    <w:pPr>
      <w:pStyle w:val="Header"/>
      <w:jc w:val="right"/>
    </w:pPr>
    <w:r w:rsidRPr="00A22C2B">
      <w:rPr>
        <w:rFonts w:cs="Arial"/>
        <w:sz w:val="16"/>
        <w:szCs w:val="16"/>
        <w:lang w:val="en-GB" w:eastAsia="en-US"/>
      </w:rPr>
      <w:t xml:space="preserve">Seite </w:t>
    </w:r>
    <w:r w:rsidRPr="00A22C2B">
      <w:rPr>
        <w:rFonts w:cs="Arial"/>
        <w:sz w:val="16"/>
        <w:szCs w:val="16"/>
        <w:lang w:val="en-GB" w:eastAsia="en-US"/>
      </w:rPr>
      <w:fldChar w:fldCharType="begin"/>
    </w:r>
    <w:r w:rsidRPr="00A22C2B">
      <w:rPr>
        <w:rFonts w:cs="Arial"/>
        <w:sz w:val="16"/>
        <w:szCs w:val="16"/>
        <w:lang w:val="en-GB" w:eastAsia="en-US"/>
      </w:rPr>
      <w:instrText xml:space="preserve"> PAGE  \* MERGEFORMAT </w:instrText>
    </w:r>
    <w:r w:rsidRPr="00A22C2B">
      <w:rPr>
        <w:rFonts w:cs="Arial"/>
        <w:sz w:val="16"/>
        <w:szCs w:val="16"/>
        <w:lang w:val="en-GB" w:eastAsia="en-US"/>
      </w:rPr>
      <w:fldChar w:fldCharType="separate"/>
    </w:r>
    <w:r w:rsidR="00124DAB">
      <w:rPr>
        <w:rFonts w:cs="Arial"/>
        <w:noProof/>
        <w:sz w:val="16"/>
        <w:szCs w:val="16"/>
        <w:lang w:val="en-GB" w:eastAsia="en-US"/>
      </w:rPr>
      <w:t>5</w:t>
    </w:r>
    <w:r w:rsidRPr="00A22C2B">
      <w:rPr>
        <w:rFonts w:cs="Arial"/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60"/>
    <w:multiLevelType w:val="multilevel"/>
    <w:tmpl w:val="4B08E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F4593"/>
    <w:multiLevelType w:val="multilevel"/>
    <w:tmpl w:val="986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8C14BB"/>
    <w:multiLevelType w:val="multilevel"/>
    <w:tmpl w:val="FD6C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3" w15:restartNumberingAfterBreak="0">
    <w:nsid w:val="1E1A7C5E"/>
    <w:multiLevelType w:val="multilevel"/>
    <w:tmpl w:val="E6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9D6DC2"/>
    <w:multiLevelType w:val="multilevel"/>
    <w:tmpl w:val="F50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20FF1404"/>
    <w:multiLevelType w:val="multilevel"/>
    <w:tmpl w:val="FD0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E7748A"/>
    <w:multiLevelType w:val="hybridMultilevel"/>
    <w:tmpl w:val="85D26DA4"/>
    <w:lvl w:ilvl="0" w:tplc="1D909278">
      <w:start w:val="1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61F3A5C"/>
    <w:multiLevelType w:val="multilevel"/>
    <w:tmpl w:val="255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2C3066B3"/>
    <w:multiLevelType w:val="multilevel"/>
    <w:tmpl w:val="60D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33795DBE"/>
    <w:multiLevelType w:val="multilevel"/>
    <w:tmpl w:val="0C6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450F1AAB"/>
    <w:multiLevelType w:val="hybridMultilevel"/>
    <w:tmpl w:val="05142EDC"/>
    <w:lvl w:ilvl="0" w:tplc="F44EDC46">
      <w:start w:val="1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D3B04B2"/>
    <w:multiLevelType w:val="multilevel"/>
    <w:tmpl w:val="9042C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394FEE"/>
    <w:multiLevelType w:val="multilevel"/>
    <w:tmpl w:val="42D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50C31EE5"/>
    <w:multiLevelType w:val="hybridMultilevel"/>
    <w:tmpl w:val="8B48C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0640"/>
    <w:multiLevelType w:val="multilevel"/>
    <w:tmpl w:val="0E5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7C504DF9"/>
    <w:multiLevelType w:val="multilevel"/>
    <w:tmpl w:val="3A3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4C"/>
    <w:rsid w:val="0000300E"/>
    <w:rsid w:val="00023B2E"/>
    <w:rsid w:val="0003342C"/>
    <w:rsid w:val="00033ECE"/>
    <w:rsid w:val="00036973"/>
    <w:rsid w:val="0007085E"/>
    <w:rsid w:val="00072D45"/>
    <w:rsid w:val="000B253B"/>
    <w:rsid w:val="000D271C"/>
    <w:rsid w:val="00120FB6"/>
    <w:rsid w:val="00124DAB"/>
    <w:rsid w:val="00132DA9"/>
    <w:rsid w:val="00143137"/>
    <w:rsid w:val="00162406"/>
    <w:rsid w:val="00176D41"/>
    <w:rsid w:val="001815A8"/>
    <w:rsid w:val="00182D25"/>
    <w:rsid w:val="001963A5"/>
    <w:rsid w:val="00196B38"/>
    <w:rsid w:val="001E2617"/>
    <w:rsid w:val="001F0981"/>
    <w:rsid w:val="001F2ACB"/>
    <w:rsid w:val="001F7436"/>
    <w:rsid w:val="0020260B"/>
    <w:rsid w:val="00211392"/>
    <w:rsid w:val="002121FD"/>
    <w:rsid w:val="002122EE"/>
    <w:rsid w:val="0022117D"/>
    <w:rsid w:val="00230009"/>
    <w:rsid w:val="0023604E"/>
    <w:rsid w:val="00257B44"/>
    <w:rsid w:val="0026011C"/>
    <w:rsid w:val="00267CC6"/>
    <w:rsid w:val="00283325"/>
    <w:rsid w:val="002936BC"/>
    <w:rsid w:val="002A3A8A"/>
    <w:rsid w:val="002A450E"/>
    <w:rsid w:val="002A484C"/>
    <w:rsid w:val="002A4DCD"/>
    <w:rsid w:val="002B183B"/>
    <w:rsid w:val="002B352B"/>
    <w:rsid w:val="00316795"/>
    <w:rsid w:val="00337C9B"/>
    <w:rsid w:val="0035279E"/>
    <w:rsid w:val="003535CA"/>
    <w:rsid w:val="003538B3"/>
    <w:rsid w:val="00354CF5"/>
    <w:rsid w:val="00367B68"/>
    <w:rsid w:val="00397D9B"/>
    <w:rsid w:val="003B71BC"/>
    <w:rsid w:val="003D3ECA"/>
    <w:rsid w:val="003F23D8"/>
    <w:rsid w:val="00402874"/>
    <w:rsid w:val="00437FF6"/>
    <w:rsid w:val="00443EB9"/>
    <w:rsid w:val="00457C58"/>
    <w:rsid w:val="00462FE6"/>
    <w:rsid w:val="0048557B"/>
    <w:rsid w:val="0049244C"/>
    <w:rsid w:val="004B00C8"/>
    <w:rsid w:val="004C297F"/>
    <w:rsid w:val="004D2B2E"/>
    <w:rsid w:val="004D3AF1"/>
    <w:rsid w:val="004F5457"/>
    <w:rsid w:val="005074E7"/>
    <w:rsid w:val="00521F82"/>
    <w:rsid w:val="00555193"/>
    <w:rsid w:val="0057322C"/>
    <w:rsid w:val="00591037"/>
    <w:rsid w:val="005A030C"/>
    <w:rsid w:val="005A792B"/>
    <w:rsid w:val="005C301F"/>
    <w:rsid w:val="005C3E03"/>
    <w:rsid w:val="005C75E0"/>
    <w:rsid w:val="005D57D2"/>
    <w:rsid w:val="005E71CF"/>
    <w:rsid w:val="005F5F48"/>
    <w:rsid w:val="00621B92"/>
    <w:rsid w:val="00625ACA"/>
    <w:rsid w:val="0062759A"/>
    <w:rsid w:val="00632F62"/>
    <w:rsid w:val="006531A5"/>
    <w:rsid w:val="00656D2C"/>
    <w:rsid w:val="0068277A"/>
    <w:rsid w:val="006A1210"/>
    <w:rsid w:val="006A6B1A"/>
    <w:rsid w:val="006C2FE7"/>
    <w:rsid w:val="006E207F"/>
    <w:rsid w:val="006E5976"/>
    <w:rsid w:val="00733A4B"/>
    <w:rsid w:val="00740BD3"/>
    <w:rsid w:val="007533C4"/>
    <w:rsid w:val="00763F94"/>
    <w:rsid w:val="0076632C"/>
    <w:rsid w:val="00766827"/>
    <w:rsid w:val="00783173"/>
    <w:rsid w:val="0079658E"/>
    <w:rsid w:val="007A42CB"/>
    <w:rsid w:val="007A7794"/>
    <w:rsid w:val="007C4DD4"/>
    <w:rsid w:val="007E4EA0"/>
    <w:rsid w:val="007E4EFF"/>
    <w:rsid w:val="007F1A42"/>
    <w:rsid w:val="007F5943"/>
    <w:rsid w:val="007F76F7"/>
    <w:rsid w:val="00801C86"/>
    <w:rsid w:val="00820853"/>
    <w:rsid w:val="00855E7E"/>
    <w:rsid w:val="00872F6A"/>
    <w:rsid w:val="008A055D"/>
    <w:rsid w:val="008F18B2"/>
    <w:rsid w:val="009169A3"/>
    <w:rsid w:val="00945A6A"/>
    <w:rsid w:val="00974DF4"/>
    <w:rsid w:val="0097501E"/>
    <w:rsid w:val="00990BB4"/>
    <w:rsid w:val="00991D05"/>
    <w:rsid w:val="009B0778"/>
    <w:rsid w:val="009C146C"/>
    <w:rsid w:val="009C1F5E"/>
    <w:rsid w:val="009D214B"/>
    <w:rsid w:val="009E40FB"/>
    <w:rsid w:val="00A22C2B"/>
    <w:rsid w:val="00A4788D"/>
    <w:rsid w:val="00A60019"/>
    <w:rsid w:val="00A76365"/>
    <w:rsid w:val="00A9655F"/>
    <w:rsid w:val="00AB0AD9"/>
    <w:rsid w:val="00AC1E91"/>
    <w:rsid w:val="00AE369A"/>
    <w:rsid w:val="00B20A2D"/>
    <w:rsid w:val="00B2350D"/>
    <w:rsid w:val="00B2593A"/>
    <w:rsid w:val="00B400D0"/>
    <w:rsid w:val="00B81C1D"/>
    <w:rsid w:val="00B90D72"/>
    <w:rsid w:val="00BC0806"/>
    <w:rsid w:val="00BC778A"/>
    <w:rsid w:val="00BD2018"/>
    <w:rsid w:val="00BD5C77"/>
    <w:rsid w:val="00BE7C19"/>
    <w:rsid w:val="00BF1640"/>
    <w:rsid w:val="00C0740F"/>
    <w:rsid w:val="00C1059A"/>
    <w:rsid w:val="00C17E7E"/>
    <w:rsid w:val="00C3650E"/>
    <w:rsid w:val="00C536B8"/>
    <w:rsid w:val="00C56833"/>
    <w:rsid w:val="00C61AB0"/>
    <w:rsid w:val="00C70ABE"/>
    <w:rsid w:val="00C767A0"/>
    <w:rsid w:val="00C816B7"/>
    <w:rsid w:val="00C93D31"/>
    <w:rsid w:val="00CA7E69"/>
    <w:rsid w:val="00CB6391"/>
    <w:rsid w:val="00CB7518"/>
    <w:rsid w:val="00CB793B"/>
    <w:rsid w:val="00CD25EB"/>
    <w:rsid w:val="00CE75B0"/>
    <w:rsid w:val="00CF0472"/>
    <w:rsid w:val="00D076BA"/>
    <w:rsid w:val="00D143B6"/>
    <w:rsid w:val="00D14C3F"/>
    <w:rsid w:val="00D3496E"/>
    <w:rsid w:val="00D34DAA"/>
    <w:rsid w:val="00D36712"/>
    <w:rsid w:val="00D43944"/>
    <w:rsid w:val="00D86321"/>
    <w:rsid w:val="00DA1D1D"/>
    <w:rsid w:val="00DA5992"/>
    <w:rsid w:val="00DD42DA"/>
    <w:rsid w:val="00E05C32"/>
    <w:rsid w:val="00E146F6"/>
    <w:rsid w:val="00E15648"/>
    <w:rsid w:val="00E2123B"/>
    <w:rsid w:val="00E24094"/>
    <w:rsid w:val="00E34ED1"/>
    <w:rsid w:val="00E373B3"/>
    <w:rsid w:val="00E435D1"/>
    <w:rsid w:val="00E47262"/>
    <w:rsid w:val="00E76AB0"/>
    <w:rsid w:val="00E8616D"/>
    <w:rsid w:val="00EB2EA8"/>
    <w:rsid w:val="00EB736F"/>
    <w:rsid w:val="00ED03F2"/>
    <w:rsid w:val="00EF26FC"/>
    <w:rsid w:val="00EF5F95"/>
    <w:rsid w:val="00EF6D82"/>
    <w:rsid w:val="00F2563D"/>
    <w:rsid w:val="00F32D1F"/>
    <w:rsid w:val="00F66D72"/>
    <w:rsid w:val="00F7064F"/>
    <w:rsid w:val="00F914D7"/>
    <w:rsid w:val="00F947A8"/>
    <w:rsid w:val="00FA1D57"/>
    <w:rsid w:val="00FA640F"/>
    <w:rsid w:val="00FB0C81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65C9D20-9631-44CB-9192-F09E75D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4C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ascii="Arial" w:eastAsia="Times New Roman" w:hAnsi="Arial" w:cs="Times New Roman"/>
      <w:sz w:val="20"/>
      <w:szCs w:val="20"/>
      <w:lang w:val="nl" w:eastAsia="fr-FR"/>
    </w:rPr>
  </w:style>
  <w:style w:type="paragraph" w:styleId="Heading1">
    <w:name w:val="heading 1"/>
    <w:basedOn w:val="Normal"/>
    <w:next w:val="Normal"/>
    <w:link w:val="berschrift1Zchn"/>
    <w:qFormat/>
    <w:rsid w:val="00766827"/>
    <w:pPr>
      <w:keepNext/>
      <w:overflowPunct/>
      <w:autoSpaceDE/>
      <w:autoSpaceDN/>
      <w:adjustRightInd/>
      <w:ind w:left="546" w:hanging="546"/>
      <w:jc w:val="center"/>
      <w:textAlignment w:val="auto"/>
      <w:outlineLvl w:val="0"/>
    </w:pPr>
    <w:rPr>
      <w:b/>
      <w:bCs/>
      <w:snapToGrid w:val="0"/>
      <w:sz w:val="28"/>
      <w:szCs w:val="24"/>
      <w:lang w:val="de-DE"/>
    </w:rPr>
  </w:style>
  <w:style w:type="paragraph" w:styleId="Heading2">
    <w:name w:val="heading 2"/>
    <w:basedOn w:val="Normal"/>
    <w:link w:val="berschrift2Zchn"/>
    <w:uiPriority w:val="9"/>
    <w:qFormat/>
    <w:rsid w:val="00766827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  <w:lang w:val="de-D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rsid w:val="00766827"/>
    <w:rPr>
      <w:rFonts w:ascii="Arial" w:eastAsia="Times New Roman" w:hAnsi="Arial" w:cs="Times New Roman"/>
      <w:b/>
      <w:bCs/>
      <w:snapToGrid w:val="0"/>
      <w:sz w:val="28"/>
      <w:szCs w:val="24"/>
      <w:lang w:val="de-DE" w:eastAsia="fr-FR"/>
    </w:rPr>
  </w:style>
  <w:style w:type="character" w:customStyle="1" w:styleId="berschrift2Zchn">
    <w:name w:val="Überschrift 2 Zchn"/>
    <w:basedOn w:val="DefaultParagraphFont"/>
    <w:link w:val="Heading2"/>
    <w:uiPriority w:val="9"/>
    <w:rsid w:val="00766827"/>
    <w:rPr>
      <w:rFonts w:ascii="Times New Roman" w:eastAsia="Times New Roman" w:hAnsi="Times New Roman" w:cs="Times New Roman"/>
      <w:b/>
      <w:bCs/>
      <w:sz w:val="36"/>
      <w:szCs w:val="36"/>
      <w:lang w:val="de-DE" w:eastAsia="nl-NL"/>
    </w:rPr>
  </w:style>
  <w:style w:type="paragraph" w:styleId="NoSpacing">
    <w:name w:val="No Spacing"/>
    <w:uiPriority w:val="1"/>
    <w:qFormat/>
    <w:rsid w:val="0049244C"/>
    <w:pPr>
      <w:spacing w:after="0" w:line="240" w:lineRule="auto"/>
    </w:pPr>
    <w:rPr>
      <w:lang w:val="de-DE"/>
    </w:rPr>
  </w:style>
  <w:style w:type="paragraph" w:customStyle="1" w:styleId="N2">
    <w:name w:val="N2"/>
    <w:basedOn w:val="Normal"/>
    <w:rsid w:val="0049244C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</w:pPr>
    <w:rPr>
      <w:sz w:val="22"/>
      <w:lang w:val="nl-NL"/>
    </w:rPr>
  </w:style>
  <w:style w:type="paragraph" w:customStyle="1" w:styleId="N5">
    <w:name w:val="N5"/>
    <w:basedOn w:val="Normal"/>
    <w:link w:val="N5Car"/>
    <w:rsid w:val="0049244C"/>
    <w:pPr>
      <w:widowControl w:val="0"/>
      <w:ind w:left="1418" w:hanging="284"/>
    </w:pPr>
    <w:rPr>
      <w:lang w:val="nl-NL"/>
    </w:rPr>
  </w:style>
  <w:style w:type="character" w:customStyle="1" w:styleId="N5Car">
    <w:name w:val="N5 Car"/>
    <w:basedOn w:val="DefaultParagraphFont"/>
    <w:link w:val="N5"/>
    <w:rsid w:val="0049244C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10">
    <w:name w:val="N10"/>
    <w:basedOn w:val="Normal"/>
    <w:rsid w:val="0049244C"/>
    <w:pPr>
      <w:widowControl w:val="0"/>
      <w:ind w:left="1702" w:hanging="284"/>
    </w:pPr>
    <w:rPr>
      <w:lang w:val="nl-NL"/>
    </w:rPr>
  </w:style>
  <w:style w:type="paragraph" w:styleId="Header">
    <w:name w:val="header"/>
    <w:basedOn w:val="Normal"/>
    <w:link w:val="KopfzeileZchn"/>
    <w:uiPriority w:val="99"/>
    <w:unhideWhenUsed/>
    <w:rsid w:val="00E47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E47262"/>
    <w:rPr>
      <w:rFonts w:ascii="Arial" w:eastAsia="Times New Roman" w:hAnsi="Arial" w:cs="Times New Roman"/>
      <w:sz w:val="20"/>
      <w:szCs w:val="20"/>
      <w:lang w:val="nl" w:eastAsia="fr-FR"/>
    </w:rPr>
  </w:style>
  <w:style w:type="paragraph" w:styleId="Footer">
    <w:name w:val="footer"/>
    <w:basedOn w:val="Normal"/>
    <w:link w:val="FuzeileZchn"/>
    <w:uiPriority w:val="99"/>
    <w:unhideWhenUsed/>
    <w:rsid w:val="00E47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E47262"/>
    <w:rPr>
      <w:rFonts w:ascii="Arial" w:eastAsia="Times New Roman" w:hAnsi="Arial" w:cs="Times New Roman"/>
      <w:sz w:val="20"/>
      <w:szCs w:val="20"/>
      <w:lang w:val="nl" w:eastAsia="fr-FR"/>
    </w:rPr>
  </w:style>
  <w:style w:type="paragraph" w:customStyle="1" w:styleId="HChG">
    <w:name w:val="_ H _Ch_G"/>
    <w:basedOn w:val="Normal"/>
    <w:next w:val="Normal"/>
    <w:rsid w:val="007C4DD4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right="1134"/>
      <w:jc w:val="left"/>
      <w:textAlignment w:val="auto"/>
    </w:pPr>
    <w:rPr>
      <w:rFonts w:ascii="Times New Roman" w:hAnsi="Times New Roman"/>
      <w:b/>
      <w:sz w:val="28"/>
      <w:lang w:val="fr-CH" w:eastAsia="en-US"/>
    </w:rPr>
  </w:style>
  <w:style w:type="paragraph" w:styleId="ListParagraph">
    <w:name w:val="List Paragraph"/>
    <w:basedOn w:val="Normal"/>
    <w:uiPriority w:val="34"/>
    <w:qFormat/>
    <w:rsid w:val="00023B2E"/>
    <w:pPr>
      <w:ind w:left="720"/>
      <w:contextualSpacing/>
    </w:pPr>
  </w:style>
  <w:style w:type="paragraph" w:customStyle="1" w:styleId="Plattetekst21">
    <w:name w:val="Platte tekst 21"/>
    <w:basedOn w:val="Normal"/>
    <w:rsid w:val="001F7436"/>
    <w:pPr>
      <w:tabs>
        <w:tab w:val="left" w:pos="-1698"/>
        <w:tab w:val="left" w:pos="-847"/>
        <w:tab w:val="left" w:pos="-340"/>
        <w:tab w:val="left" w:pos="0"/>
        <w:tab w:val="left" w:pos="284"/>
        <w:tab w:val="left" w:pos="454"/>
        <w:tab w:val="left" w:pos="680"/>
        <w:tab w:val="left" w:pos="851"/>
        <w:tab w:val="left" w:pos="1134"/>
        <w:tab w:val="left" w:pos="1418"/>
        <w:tab w:val="left" w:pos="1702"/>
        <w:tab w:val="left" w:pos="2410"/>
        <w:tab w:val="left" w:pos="2834"/>
        <w:tab w:val="left" w:pos="3402"/>
        <w:tab w:val="left" w:pos="3968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</w:tabs>
      <w:suppressAutoHyphens/>
      <w:spacing w:line="226" w:lineRule="auto"/>
      <w:jc w:val="left"/>
    </w:pPr>
    <w:rPr>
      <w:rFonts w:ascii="Times New Roman" w:hAnsi="Times New Roman"/>
      <w:lang w:val="nl-NL"/>
    </w:rPr>
  </w:style>
  <w:style w:type="paragraph" w:customStyle="1" w:styleId="Plattetekstinspringen21">
    <w:name w:val="Platte tekst inspringen 21"/>
    <w:basedOn w:val="Normal"/>
    <w:rsid w:val="001F7436"/>
    <w:pPr>
      <w:tabs>
        <w:tab w:val="left" w:pos="-1698"/>
        <w:tab w:val="left" w:pos="-847"/>
        <w:tab w:val="left" w:pos="-340"/>
        <w:tab w:val="left" w:pos="0"/>
        <w:tab w:val="left" w:pos="1134"/>
        <w:tab w:val="left" w:pos="1418"/>
        <w:tab w:val="left" w:pos="1702"/>
        <w:tab w:val="left" w:pos="2410"/>
        <w:tab w:val="left" w:pos="2834"/>
        <w:tab w:val="left" w:pos="3402"/>
        <w:tab w:val="left" w:pos="3968"/>
        <w:tab w:val="left" w:pos="5500"/>
        <w:tab w:val="left" w:pos="6220"/>
        <w:tab w:val="left" w:pos="6940"/>
        <w:tab w:val="left" w:pos="7660"/>
        <w:tab w:val="left" w:pos="8380"/>
        <w:tab w:val="left" w:pos="9100"/>
        <w:tab w:val="left" w:pos="9820"/>
      </w:tabs>
      <w:suppressAutoHyphens/>
      <w:spacing w:line="226" w:lineRule="auto"/>
      <w:ind w:left="1418" w:hanging="1418"/>
      <w:jc w:val="left"/>
    </w:pPr>
    <w:rPr>
      <w:rFonts w:ascii="Times New Roman" w:hAnsi="Times New Roman"/>
      <w:lang w:val="nl-NL"/>
    </w:rPr>
  </w:style>
  <w:style w:type="table" w:styleId="TableGrid">
    <w:name w:val="Table Grid"/>
    <w:basedOn w:val="TableNormal"/>
    <w:uiPriority w:val="59"/>
    <w:rsid w:val="0055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Footnote Reference/"/>
    <w:rsid w:val="00CB751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unotentextZchn"/>
    <w:rsid w:val="00CB7518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rFonts w:ascii="Times New Roman" w:hAnsi="Times New Roman"/>
      <w:snapToGrid w:val="0"/>
      <w:sz w:val="18"/>
      <w:lang w:val="en-GB"/>
    </w:rPr>
  </w:style>
  <w:style w:type="character" w:customStyle="1" w:styleId="FunotentextZchn">
    <w:name w:val="Fußnotentext Zchn"/>
    <w:aliases w:val="5_G Zchn"/>
    <w:basedOn w:val="DefaultParagraphFont"/>
    <w:link w:val="FootnoteText"/>
    <w:rsid w:val="00CB7518"/>
    <w:rPr>
      <w:rFonts w:ascii="Times New Roman" w:eastAsia="Times New Roman" w:hAnsi="Times New Roman" w:cs="Times New Roman"/>
      <w:snapToGrid w:val="0"/>
      <w:sz w:val="18"/>
      <w:szCs w:val="20"/>
      <w:lang w:val="en-GB" w:eastAsia="fr-FR"/>
    </w:rPr>
  </w:style>
  <w:style w:type="character" w:customStyle="1" w:styleId="hps">
    <w:name w:val="hps"/>
    <w:basedOn w:val="DefaultParagraphFont"/>
    <w:rsid w:val="005A792B"/>
  </w:style>
  <w:style w:type="character" w:customStyle="1" w:styleId="SprechblasentextZchn">
    <w:name w:val="Sprechblasentext Zchn"/>
    <w:basedOn w:val="DefaultParagraphFont"/>
    <w:link w:val="BalloonText"/>
    <w:semiHidden/>
    <w:rsid w:val="00766827"/>
    <w:rPr>
      <w:rFonts w:ascii="Times New Roman" w:eastAsia="Times New Roman" w:hAnsi="Times New Roman" w:cs="Times New Roman"/>
      <w:snapToGrid w:val="0"/>
      <w:sz w:val="16"/>
      <w:szCs w:val="16"/>
      <w:lang w:val="de-DE" w:eastAsia="fr-FR"/>
    </w:rPr>
  </w:style>
  <w:style w:type="paragraph" w:styleId="BalloonText">
    <w:name w:val="Balloon Text"/>
    <w:basedOn w:val="Normal"/>
    <w:link w:val="SprechblasentextZchn"/>
    <w:semiHidden/>
    <w:rsid w:val="00766827"/>
    <w:pPr>
      <w:overflowPunct/>
      <w:autoSpaceDE/>
      <w:autoSpaceDN/>
      <w:adjustRightInd/>
      <w:ind w:left="0" w:firstLine="0"/>
      <w:jc w:val="left"/>
      <w:textAlignment w:val="auto"/>
    </w:pPr>
    <w:rPr>
      <w:rFonts w:ascii="Times New Roman" w:hAnsi="Times New Roman"/>
      <w:snapToGrid w:val="0"/>
      <w:sz w:val="16"/>
      <w:szCs w:val="16"/>
      <w:lang w:val="de-DE"/>
    </w:rPr>
  </w:style>
  <w:style w:type="character" w:customStyle="1" w:styleId="CarCar3">
    <w:name w:val="Car Car3"/>
    <w:locked/>
    <w:rsid w:val="00766827"/>
    <w:rPr>
      <w:rFonts w:ascii="Arial" w:hAnsi="Arial"/>
      <w:sz w:val="22"/>
    </w:rPr>
  </w:style>
  <w:style w:type="character" w:customStyle="1" w:styleId="CarCar2">
    <w:name w:val="Car Car2"/>
    <w:locked/>
    <w:rsid w:val="00766827"/>
    <w:rPr>
      <w:rFonts w:ascii="Arial" w:hAnsi="Arial"/>
      <w:sz w:val="22"/>
    </w:rPr>
  </w:style>
  <w:style w:type="character" w:customStyle="1" w:styleId="CarCar4">
    <w:name w:val="Car Car4"/>
    <w:locked/>
    <w:rsid w:val="00766827"/>
    <w:rPr>
      <w:rFonts w:ascii="Arial" w:eastAsia="Times New Roman" w:hAnsi="Arial"/>
      <w:b/>
      <w:sz w:val="24"/>
    </w:rPr>
  </w:style>
  <w:style w:type="paragraph" w:styleId="BodyTextIndent">
    <w:name w:val="Body Text Indent"/>
    <w:basedOn w:val="Normal"/>
    <w:link w:val="Textkrper-ZeileneinzugZchn"/>
    <w:rsid w:val="00766827"/>
    <w:pPr>
      <w:overflowPunct/>
      <w:autoSpaceDE/>
      <w:autoSpaceDN/>
      <w:adjustRightInd/>
      <w:ind w:left="546" w:hanging="546"/>
      <w:textAlignment w:val="auto"/>
    </w:pPr>
    <w:rPr>
      <w:b/>
      <w:bCs/>
      <w:snapToGrid w:val="0"/>
      <w:sz w:val="28"/>
      <w:szCs w:val="24"/>
      <w:lang w:val="de-DE"/>
    </w:rPr>
  </w:style>
  <w:style w:type="character" w:customStyle="1" w:styleId="Textkrper-ZeileneinzugZchn">
    <w:name w:val="Textkörper-Zeileneinzug Zchn"/>
    <w:basedOn w:val="DefaultParagraphFont"/>
    <w:link w:val="BodyTextIndent"/>
    <w:rsid w:val="00766827"/>
    <w:rPr>
      <w:rFonts w:ascii="Arial" w:eastAsia="Times New Roman" w:hAnsi="Arial" w:cs="Times New Roman"/>
      <w:b/>
      <w:bCs/>
      <w:snapToGrid w:val="0"/>
      <w:sz w:val="28"/>
      <w:szCs w:val="24"/>
      <w:lang w:val="de-DE" w:eastAsia="fr-FR"/>
    </w:rPr>
  </w:style>
  <w:style w:type="character" w:customStyle="1" w:styleId="CarCar">
    <w:name w:val="Car Car"/>
    <w:locked/>
    <w:rsid w:val="00766827"/>
    <w:rPr>
      <w:rFonts w:ascii="Arial" w:eastAsia="Times New Roman" w:hAnsi="Arial"/>
      <w:b/>
      <w:sz w:val="24"/>
    </w:rPr>
  </w:style>
  <w:style w:type="character" w:customStyle="1" w:styleId="tw4winMark">
    <w:name w:val="tw4winMark"/>
    <w:rsid w:val="0076682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6682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66827"/>
    <w:rPr>
      <w:color w:val="0000FF"/>
    </w:rPr>
  </w:style>
  <w:style w:type="character" w:customStyle="1" w:styleId="tw4winPopup">
    <w:name w:val="tw4winPopup"/>
    <w:rsid w:val="0076682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6682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6682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66827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66827"/>
    <w:rPr>
      <w:rFonts w:ascii="Courier New" w:hAnsi="Courier New"/>
      <w:noProof/>
      <w:color w:val="800000"/>
    </w:rPr>
  </w:style>
  <w:style w:type="paragraph" w:customStyle="1" w:styleId="SingleTxtG">
    <w:name w:val="_ Single Txt_G"/>
    <w:basedOn w:val="Normal"/>
    <w:link w:val="SingleTxtGChar"/>
    <w:rsid w:val="00766827"/>
    <w:pPr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rFonts w:ascii="Times New Roman" w:hAnsi="Times New Roman"/>
      <w:lang w:val="en-GB" w:eastAsia="en-US"/>
    </w:rPr>
  </w:style>
  <w:style w:type="character" w:customStyle="1" w:styleId="SingleTxtGChar">
    <w:name w:val="_ Single Txt_G Char"/>
    <w:link w:val="SingleTxtG"/>
    <w:rsid w:val="007668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krper212">
    <w:name w:val="Textkörper 212"/>
    <w:basedOn w:val="Normal"/>
    <w:rsid w:val="00766827"/>
    <w:pPr>
      <w:widowControl w:val="0"/>
      <w:spacing w:line="220" w:lineRule="exact"/>
      <w:ind w:left="1701" w:hanging="566"/>
    </w:pPr>
    <w:rPr>
      <w:lang w:val="de-DE" w:eastAsia="nl-NL"/>
    </w:rPr>
  </w:style>
  <w:style w:type="paragraph" w:customStyle="1" w:styleId="Plattetekstinspringen31">
    <w:name w:val="Platte tekst inspringen 31"/>
    <w:basedOn w:val="Normal"/>
    <w:rsid w:val="00766827"/>
    <w:pPr>
      <w:tabs>
        <w:tab w:val="left" w:pos="-340"/>
        <w:tab w:val="left" w:pos="1134"/>
        <w:tab w:val="left" w:pos="1985"/>
        <w:tab w:val="left" w:pos="6521"/>
      </w:tabs>
      <w:spacing w:line="235" w:lineRule="exact"/>
      <w:ind w:left="1985" w:hanging="2552"/>
      <w:jc w:val="left"/>
    </w:pPr>
    <w:rPr>
      <w:rFonts w:ascii="Times New Roman" w:hAnsi="Times New Roman"/>
      <w:lang w:val="de-DE"/>
    </w:rPr>
  </w:style>
  <w:style w:type="character" w:customStyle="1" w:styleId="apple-style-span">
    <w:name w:val="apple-style-span"/>
    <w:basedOn w:val="DefaultParagraphFont"/>
    <w:rsid w:val="00766827"/>
  </w:style>
  <w:style w:type="character" w:customStyle="1" w:styleId="apple-converted-space">
    <w:name w:val="apple-converted-space"/>
    <w:basedOn w:val="DefaultParagraphFont"/>
    <w:rsid w:val="00766827"/>
  </w:style>
  <w:style w:type="paragraph" w:customStyle="1" w:styleId="N5ter">
    <w:name w:val="N5ter"/>
    <w:basedOn w:val="N5"/>
    <w:rsid w:val="00766827"/>
    <w:pPr>
      <w:widowControl/>
      <w:tabs>
        <w:tab w:val="left" w:pos="1985"/>
      </w:tabs>
      <w:spacing w:line="235" w:lineRule="exact"/>
      <w:ind w:left="1701" w:hanging="567"/>
    </w:pPr>
    <w:rPr>
      <w:rFonts w:ascii="Times New Roman" w:hAnsi="Times New Roman"/>
      <w:lang w:val="de-DE"/>
    </w:rPr>
  </w:style>
  <w:style w:type="paragraph" w:styleId="NormalWeb">
    <w:name w:val="Normal (Web)"/>
    <w:basedOn w:val="Normal"/>
    <w:uiPriority w:val="99"/>
    <w:unhideWhenUsed/>
    <w:rsid w:val="00766827"/>
    <w:pPr>
      <w:overflowPunct/>
      <w:autoSpaceDE/>
      <w:autoSpaceDN/>
      <w:adjustRightInd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/>
      <w:sz w:val="24"/>
      <w:szCs w:val="24"/>
      <w:lang w:val="de-DE" w:eastAsia="nl-NL"/>
    </w:rPr>
  </w:style>
  <w:style w:type="character" w:styleId="PageNumber">
    <w:name w:val="page number"/>
    <w:basedOn w:val="DefaultParagraphFont"/>
    <w:rsid w:val="00A2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27B6-B39D-4A9A-8A97-E0ACD909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den Braven</dc:creator>
  <cp:lastModifiedBy>02</cp:lastModifiedBy>
  <cp:revision>2</cp:revision>
  <cp:lastPrinted>2016-06-10T07:06:00Z</cp:lastPrinted>
  <dcterms:created xsi:type="dcterms:W3CDTF">2016-06-10T09:02:00Z</dcterms:created>
  <dcterms:modified xsi:type="dcterms:W3CDTF">2016-06-10T09:02:00Z</dcterms:modified>
</cp:coreProperties>
</file>