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60B64" w:rsidP="00360B64">
            <w:pPr>
              <w:suppressAutoHyphens w:val="0"/>
              <w:spacing w:after="20"/>
              <w:jc w:val="right"/>
            </w:pPr>
            <w:r w:rsidRPr="00360B64">
              <w:rPr>
                <w:sz w:val="40"/>
              </w:rPr>
              <w:t>ECE</w:t>
            </w:r>
            <w:r>
              <w:t>/TRANS/WP.15/AC.2/2016/41</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60B64" w:rsidP="00360B64">
            <w:pPr>
              <w:suppressAutoHyphens w:val="0"/>
              <w:spacing w:before="240" w:line="240" w:lineRule="exact"/>
            </w:pPr>
            <w:r>
              <w:t>Distr.: General</w:t>
            </w:r>
          </w:p>
          <w:p w:rsidR="00360B64" w:rsidRDefault="00360B64" w:rsidP="00360B64">
            <w:pPr>
              <w:suppressAutoHyphens w:val="0"/>
            </w:pPr>
            <w:r>
              <w:t>8 June 2016</w:t>
            </w:r>
          </w:p>
          <w:p w:rsidR="00360B64" w:rsidRDefault="00360B64" w:rsidP="00360B64">
            <w:pPr>
              <w:suppressAutoHyphens w:val="0"/>
            </w:pPr>
            <w:r>
              <w:t>English</w:t>
            </w:r>
          </w:p>
          <w:p w:rsidR="00360B64" w:rsidRDefault="00360B64" w:rsidP="00360B64">
            <w:pPr>
              <w:suppressAutoHyphens w:val="0"/>
            </w:pPr>
            <w:r>
              <w:t>Original: French</w:t>
            </w:r>
          </w:p>
        </w:tc>
      </w:tr>
    </w:tbl>
    <w:p w:rsidR="00360B64" w:rsidRDefault="00360B64">
      <w:pPr>
        <w:spacing w:before="120"/>
        <w:rPr>
          <w:b/>
          <w:sz w:val="28"/>
          <w:szCs w:val="28"/>
        </w:rPr>
      </w:pPr>
      <w:r>
        <w:rPr>
          <w:b/>
          <w:sz w:val="28"/>
          <w:szCs w:val="28"/>
        </w:rPr>
        <w:t>Economic Commission for Europe</w:t>
      </w:r>
    </w:p>
    <w:p w:rsidR="00360B64" w:rsidRDefault="00360B64">
      <w:pPr>
        <w:spacing w:before="120"/>
        <w:rPr>
          <w:sz w:val="28"/>
          <w:szCs w:val="28"/>
        </w:rPr>
      </w:pPr>
      <w:r>
        <w:rPr>
          <w:sz w:val="28"/>
          <w:szCs w:val="28"/>
        </w:rPr>
        <w:t>Inland Transport Committee</w:t>
      </w:r>
    </w:p>
    <w:p w:rsidR="00360B64" w:rsidRDefault="00360B64">
      <w:pPr>
        <w:spacing w:before="120"/>
        <w:rPr>
          <w:b/>
          <w:sz w:val="24"/>
          <w:szCs w:val="24"/>
        </w:rPr>
      </w:pPr>
      <w:r>
        <w:rPr>
          <w:b/>
          <w:sz w:val="24"/>
          <w:szCs w:val="24"/>
        </w:rPr>
        <w:t>Working Party on the Transport of Dangerous Goods</w:t>
      </w:r>
    </w:p>
    <w:p w:rsidR="001976F6" w:rsidRPr="0082228F" w:rsidRDefault="001976F6" w:rsidP="0082228F">
      <w:pPr>
        <w:spacing w:before="120"/>
        <w:rPr>
          <w:b/>
          <w:bCs/>
        </w:rPr>
      </w:pPr>
      <w:r w:rsidRPr="0082228F">
        <w:rPr>
          <w:b/>
          <w:bCs/>
        </w:rPr>
        <w:t>Joint Meeting of Experts on the Regulations annexed to the</w:t>
      </w:r>
      <w:r w:rsidRPr="0082228F">
        <w:rPr>
          <w:b/>
          <w:bCs/>
        </w:rPr>
        <w:br/>
        <w:t>European Agreement concerning the International Carriage</w:t>
      </w:r>
      <w:r w:rsidRPr="0082228F">
        <w:rPr>
          <w:b/>
          <w:bCs/>
        </w:rPr>
        <w:br/>
        <w:t>of Dangerous Goods by Inland Waterways (ADN)</w:t>
      </w:r>
      <w:r w:rsidRPr="0082228F">
        <w:rPr>
          <w:b/>
          <w:bCs/>
        </w:rPr>
        <w:br/>
        <w:t>(ADN Safety Committee)</w:t>
      </w:r>
    </w:p>
    <w:p w:rsidR="001976F6" w:rsidRPr="00876DE8" w:rsidRDefault="0082228F" w:rsidP="00876DE8">
      <w:pPr>
        <w:spacing w:before="120"/>
        <w:rPr>
          <w:b/>
          <w:bCs/>
        </w:rPr>
      </w:pPr>
      <w:r w:rsidRPr="00876DE8">
        <w:rPr>
          <w:b/>
          <w:bCs/>
        </w:rPr>
        <w:t>Twenty-ninth session</w:t>
      </w:r>
    </w:p>
    <w:p w:rsidR="001976F6" w:rsidRPr="001976F6" w:rsidRDefault="001976F6" w:rsidP="001976F6">
      <w:r w:rsidRPr="001976F6">
        <w:t>Geneva, 22-25 August 2016</w:t>
      </w:r>
    </w:p>
    <w:p w:rsidR="001976F6" w:rsidRPr="001976F6" w:rsidRDefault="001976F6" w:rsidP="001976F6">
      <w:r w:rsidRPr="001976F6">
        <w:t>Item 4 (b) of the provisional agenda</w:t>
      </w:r>
    </w:p>
    <w:p w:rsidR="001976F6" w:rsidRPr="00876DE8" w:rsidRDefault="001976F6" w:rsidP="001976F6">
      <w:pPr>
        <w:rPr>
          <w:b/>
          <w:bCs/>
        </w:rPr>
      </w:pPr>
      <w:r w:rsidRPr="00876DE8">
        <w:rPr>
          <w:b/>
          <w:bCs/>
        </w:rPr>
        <w:t>Proposals for amendments to the Regulations annexed to ADN:</w:t>
      </w:r>
    </w:p>
    <w:p w:rsidR="001976F6" w:rsidRPr="00876DE8" w:rsidRDefault="001976F6" w:rsidP="001976F6">
      <w:pPr>
        <w:rPr>
          <w:b/>
          <w:bCs/>
        </w:rPr>
      </w:pPr>
      <w:r w:rsidRPr="00876DE8">
        <w:rPr>
          <w:b/>
          <w:bCs/>
        </w:rPr>
        <w:t>Other proposals</w:t>
      </w:r>
    </w:p>
    <w:p w:rsidR="001976F6" w:rsidRPr="001976F6" w:rsidRDefault="00876DE8" w:rsidP="00876DE8">
      <w:pPr>
        <w:pStyle w:val="HChG"/>
      </w:pPr>
      <w:r>
        <w:tab/>
      </w:r>
      <w:r>
        <w:tab/>
      </w:r>
      <w:r w:rsidR="001976F6" w:rsidRPr="001976F6">
        <w:t>Materials of construction</w:t>
      </w:r>
    </w:p>
    <w:p w:rsidR="001976F6" w:rsidRPr="001976F6" w:rsidRDefault="00876DE8" w:rsidP="00876DE8">
      <w:pPr>
        <w:pStyle w:val="H1G"/>
      </w:pPr>
      <w:r>
        <w:tab/>
      </w:r>
      <w:r>
        <w:tab/>
      </w:r>
      <w:r w:rsidR="001976F6" w:rsidRPr="001976F6">
        <w:t>Transmitted jointly by the European Barge Union (EBU), the European River Sea Transport Union (ERSTU) and the European Skippers Organization (ESO)</w:t>
      </w:r>
      <w:r w:rsidR="001976F6" w:rsidRPr="00996694">
        <w:rPr>
          <w:b w:val="0"/>
          <w:bCs/>
          <w:sz w:val="18"/>
          <w:szCs w:val="18"/>
          <w:vertAlign w:val="superscript"/>
        </w:rPr>
        <w:footnoteReference w:id="1"/>
      </w:r>
      <w:r w:rsidR="001976F6" w:rsidRPr="00996694">
        <w:rPr>
          <w:b w:val="0"/>
          <w:bCs/>
          <w:sz w:val="18"/>
          <w:szCs w:val="18"/>
          <w:vertAlign w:val="superscript"/>
        </w:rPr>
        <w:t xml:space="preserve">, </w:t>
      </w:r>
      <w:r w:rsidR="001976F6" w:rsidRPr="00996694">
        <w:rPr>
          <w:b w:val="0"/>
          <w:bCs/>
          <w:sz w:val="18"/>
          <w:szCs w:val="18"/>
          <w:vertAlign w:val="superscript"/>
        </w:rPr>
        <w:footnoteReference w:id="2"/>
      </w:r>
    </w:p>
    <w:p w:rsidR="001976F6" w:rsidRPr="001976F6" w:rsidRDefault="00876DE8" w:rsidP="00876DE8">
      <w:pPr>
        <w:pStyle w:val="HChG"/>
      </w:pPr>
      <w:r>
        <w:tab/>
      </w:r>
      <w:r>
        <w:tab/>
      </w:r>
      <w:r w:rsidR="001976F6" w:rsidRPr="001976F6">
        <w:t>Introduction</w:t>
      </w:r>
    </w:p>
    <w:p w:rsidR="001976F6" w:rsidRPr="001976F6" w:rsidRDefault="001976F6" w:rsidP="0082228F">
      <w:pPr>
        <w:pStyle w:val="SingleTxtG"/>
      </w:pPr>
      <w:r w:rsidRPr="001976F6">
        <w:t>1.</w:t>
      </w:r>
      <w:r w:rsidRPr="001976F6">
        <w:tab/>
        <w:t>At its twenty-eighth session, the ADN Safety Committee agreed in principle to present the content of 9.3.1.0.1 as a table. The model for such a table presented by the navigation industry at the twenty-eighth session included movable items of equipment. However, requirements relating to movable items of equipment must appear in Part 7 of the Regulations.</w:t>
      </w:r>
    </w:p>
    <w:p w:rsidR="001976F6" w:rsidRPr="001976F6" w:rsidRDefault="00235BB4" w:rsidP="0082228F">
      <w:pPr>
        <w:pStyle w:val="SingleTxtG"/>
      </w:pPr>
      <w:r>
        <w:tab/>
      </w:r>
      <w:r w:rsidR="001976F6" w:rsidRPr="001976F6">
        <w:t>The inland navigation industry was thus invited to submit a new proposal taking this into consideration.</w:t>
      </w:r>
    </w:p>
    <w:p w:rsidR="001976F6" w:rsidRPr="001976F6" w:rsidRDefault="00876DE8" w:rsidP="00876DE8">
      <w:pPr>
        <w:pStyle w:val="HChG"/>
      </w:pPr>
      <w:r>
        <w:lastRenderedPageBreak/>
        <w:tab/>
      </w:r>
      <w:r>
        <w:tab/>
      </w:r>
      <w:r w:rsidR="001976F6" w:rsidRPr="001976F6">
        <w:t>Proposal 1</w:t>
      </w:r>
    </w:p>
    <w:p w:rsidR="001976F6" w:rsidRPr="001976F6" w:rsidRDefault="001976F6" w:rsidP="0082228F">
      <w:pPr>
        <w:pStyle w:val="SingleTxtG"/>
      </w:pPr>
      <w:r w:rsidRPr="001976F6">
        <w:t>2.</w:t>
      </w:r>
      <w:r w:rsidRPr="001976F6">
        <w:tab/>
        <w:t xml:space="preserve">The inland navigation associations maintain their proposal to present the current content of 9.3.x.0.3 (a) to (c) as a table. A proposal to that effect is attached to this document. </w:t>
      </w:r>
      <w:r w:rsidRPr="00570D7D">
        <w:rPr>
          <w:b/>
          <w:bCs/>
        </w:rPr>
        <w:t>Movable items of equipment are no longer included in the table.</w:t>
      </w:r>
      <w:r w:rsidRPr="001976F6">
        <w:t xml:space="preserve"> Subparagraph (d) of 9.3.x.0.3 remains unchanged.</w:t>
      </w:r>
    </w:p>
    <w:p w:rsidR="001976F6" w:rsidRPr="001976F6" w:rsidRDefault="00876DE8" w:rsidP="00876DE8">
      <w:pPr>
        <w:pStyle w:val="HChG"/>
      </w:pPr>
      <w:r>
        <w:tab/>
      </w:r>
      <w:r>
        <w:tab/>
      </w:r>
      <w:r w:rsidR="001976F6" w:rsidRPr="001976F6">
        <w:t>Proposal 2</w:t>
      </w:r>
    </w:p>
    <w:p w:rsidR="001976F6" w:rsidRPr="001976F6" w:rsidRDefault="001976F6" w:rsidP="0082228F">
      <w:pPr>
        <w:pStyle w:val="SingleTxtG"/>
      </w:pPr>
      <w:r w:rsidRPr="001976F6">
        <w:t>3.</w:t>
      </w:r>
      <w:r w:rsidRPr="001976F6">
        <w:tab/>
        <w:t>The inland navigation associations propose inserting the following subsection at the appropriate place in Part 7 of the Regulations:</w:t>
      </w:r>
    </w:p>
    <w:p w:rsidR="001976F6" w:rsidRPr="001976F6" w:rsidRDefault="00996694" w:rsidP="00B707CB">
      <w:pPr>
        <w:pStyle w:val="SingleTxtG"/>
        <w:ind w:left="1701"/>
      </w:pPr>
      <w:r>
        <w:t>“</w:t>
      </w:r>
      <w:r w:rsidR="001976F6" w:rsidRPr="001976F6">
        <w:t>In the cargo area, movable items of equipment may be used only if produced with materials which can neither be dangerously affected by the cargo nor cause decomposition of the cargo or react with it so as to form harmful or hazardous products. Rubber mats shall be permitted only if produced with non-conducting material.</w:t>
      </w:r>
      <w:r>
        <w:t>”</w:t>
      </w:r>
    </w:p>
    <w:p w:rsidR="001976F6" w:rsidRPr="001976F6" w:rsidRDefault="00235BB4" w:rsidP="0082228F">
      <w:pPr>
        <w:pStyle w:val="SingleTxtG"/>
      </w:pPr>
      <w:r>
        <w:tab/>
      </w:r>
      <w:r w:rsidR="001976F6" w:rsidRPr="001976F6">
        <w:t>Comment: Wording based on 9.3.1.0.1.</w:t>
      </w:r>
    </w:p>
    <w:p w:rsidR="001976F6" w:rsidRPr="001976F6" w:rsidRDefault="00876DE8" w:rsidP="00876DE8">
      <w:pPr>
        <w:pStyle w:val="HChG"/>
      </w:pPr>
      <w:r>
        <w:tab/>
      </w:r>
      <w:r>
        <w:tab/>
      </w:r>
      <w:r w:rsidR="001976F6" w:rsidRPr="001976F6">
        <w:t>Proposal 3</w:t>
      </w:r>
    </w:p>
    <w:p w:rsidR="001976F6" w:rsidRPr="001976F6" w:rsidRDefault="001976F6" w:rsidP="0082228F">
      <w:pPr>
        <w:pStyle w:val="SingleTxtG"/>
      </w:pPr>
      <w:r w:rsidRPr="001976F6">
        <w:t>4.</w:t>
      </w:r>
      <w:r w:rsidRPr="001976F6">
        <w:tab/>
        <w:t>9.3.x.0.5 reads as follows:</w:t>
      </w:r>
    </w:p>
    <w:p w:rsidR="001976F6" w:rsidRPr="001976F6" w:rsidRDefault="00996694" w:rsidP="00B707CB">
      <w:pPr>
        <w:pStyle w:val="SingleTxtG"/>
        <w:ind w:left="1701"/>
      </w:pPr>
      <w:r>
        <w:t>“</w:t>
      </w:r>
      <w:r w:rsidR="001976F6" w:rsidRPr="001976F6">
        <w:t>The use of plastic material for vessel</w:t>
      </w:r>
      <w:r>
        <w:t>’</w:t>
      </w:r>
      <w:r w:rsidR="001976F6" w:rsidRPr="001976F6">
        <w:t>s boats is permitted only if the material does not readily ignite.</w:t>
      </w:r>
      <w:r>
        <w:t>”</w:t>
      </w:r>
    </w:p>
    <w:p w:rsidR="001976F6" w:rsidRPr="001976F6" w:rsidRDefault="00B707CB" w:rsidP="0082228F">
      <w:pPr>
        <w:pStyle w:val="SingleTxtG"/>
      </w:pPr>
      <w:r>
        <w:tab/>
      </w:r>
      <w:r w:rsidR="001976F6" w:rsidRPr="001976F6">
        <w:t>9.3.x.0.5 is to be amended as follows:</w:t>
      </w:r>
    </w:p>
    <w:p w:rsidR="001976F6" w:rsidRPr="001976F6" w:rsidRDefault="00996694" w:rsidP="00B707CB">
      <w:pPr>
        <w:pStyle w:val="SingleTxtG"/>
        <w:ind w:left="1701"/>
      </w:pPr>
      <w:r>
        <w:t>“</w:t>
      </w:r>
      <w:r w:rsidR="001976F6" w:rsidRPr="001976F6">
        <w:t>The use of plastic material for vessel</w:t>
      </w:r>
      <w:r>
        <w:t>’</w:t>
      </w:r>
      <w:r w:rsidR="001976F6" w:rsidRPr="001976F6">
        <w:t>s boats in the cargo area is permitted only if the material does not readily ignite.</w:t>
      </w:r>
    </w:p>
    <w:p w:rsidR="001976F6" w:rsidRPr="001976F6" w:rsidRDefault="001976F6" w:rsidP="00B707CB">
      <w:pPr>
        <w:pStyle w:val="SingleTxtG"/>
        <w:ind w:left="1701"/>
      </w:pPr>
      <w:r w:rsidRPr="001976F6">
        <w:t>The use of aluminium alloys or of plastic material for passageways (gangways) in the cargo area is permitted only if the material is not readily flammable and electrically conductive.</w:t>
      </w:r>
      <w:r w:rsidR="00996694">
        <w:t>”</w:t>
      </w:r>
    </w:p>
    <w:p w:rsidR="001976F6" w:rsidRPr="001976F6" w:rsidRDefault="00B707CB" w:rsidP="00B707CB">
      <w:pPr>
        <w:pStyle w:val="HChG"/>
      </w:pPr>
      <w:r>
        <w:tab/>
      </w:r>
      <w:r>
        <w:tab/>
      </w:r>
      <w:r w:rsidR="001976F6" w:rsidRPr="001976F6">
        <w:t>Justification</w:t>
      </w:r>
    </w:p>
    <w:p w:rsidR="001976F6" w:rsidRPr="001976F6" w:rsidRDefault="001976F6" w:rsidP="0082228F">
      <w:pPr>
        <w:pStyle w:val="SingleTxtG"/>
      </w:pPr>
      <w:r w:rsidRPr="001976F6">
        <w:t>5.</w:t>
      </w:r>
      <w:r w:rsidRPr="001976F6">
        <w:tab/>
        <w:t>The Safety Committee has already approved the presentation of the contents of subsection 9.3.1.0.3 in a table. The elimination of movable items of equipment satisfies the request of the Safety Committee. In light of the large number of movable items of equipment that is possible, the wording of the requirement in Part 7 should be general in nature.</w:t>
      </w:r>
    </w:p>
    <w:p w:rsidR="0094551C" w:rsidRDefault="0002789B" w:rsidP="0094551C">
      <w:pPr>
        <w:pStyle w:val="SingleTxtG"/>
      </w:pPr>
      <w:r>
        <w:tab/>
      </w:r>
      <w:r w:rsidR="001976F6" w:rsidRPr="001976F6">
        <w:t>The aim of the proposal is merely to improve understanding and to provide clarification.</w:t>
      </w:r>
    </w:p>
    <w:p w:rsidR="00700C3F" w:rsidRDefault="00700C3F" w:rsidP="0094551C">
      <w:pPr>
        <w:pStyle w:val="SingleTxtG"/>
        <w:sectPr w:rsidR="00700C3F" w:rsidSect="00AD019F">
          <w:headerReference w:type="even"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docGrid w:linePitch="272"/>
        </w:sectPr>
      </w:pPr>
    </w:p>
    <w:p w:rsidR="00700C3F" w:rsidRPr="00FF76FB" w:rsidRDefault="00700C3F" w:rsidP="001D588F">
      <w:pPr>
        <w:pStyle w:val="HChG"/>
        <w:tabs>
          <w:tab w:val="clear" w:pos="851"/>
        </w:tabs>
        <w:ind w:left="284" w:firstLine="0"/>
      </w:pPr>
      <w:r w:rsidRPr="00FF76FB">
        <w:lastRenderedPageBreak/>
        <w:t xml:space="preserve">Proposal 1 </w:t>
      </w:r>
      <w:r>
        <w:t>—</w:t>
      </w:r>
      <w:r w:rsidRPr="00FF76FB">
        <w:t xml:space="preserve"> 9.3.x.0.3 (request of EBU/ERSTU/ESO)</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30"/>
        <w:gridCol w:w="992"/>
        <w:gridCol w:w="1572"/>
        <w:gridCol w:w="1547"/>
        <w:gridCol w:w="1018"/>
      </w:tblGrid>
      <w:tr w:rsidR="00700C3F" w:rsidRPr="00AD019F" w:rsidTr="001230AA">
        <w:trPr>
          <w:trHeight w:val="227"/>
          <w:tblHeader/>
        </w:trPr>
        <w:tc>
          <w:tcPr>
            <w:tcW w:w="7230" w:type="dxa"/>
            <w:tcBorders>
              <w:top w:val="single" w:sz="4" w:space="0" w:color="auto"/>
              <w:bottom w:val="single" w:sz="12" w:space="0" w:color="auto"/>
            </w:tcBorders>
            <w:shd w:val="clear" w:color="auto" w:fill="auto"/>
            <w:noWrap/>
            <w:vAlign w:val="bottom"/>
            <w:hideMark/>
          </w:tcPr>
          <w:p w:rsidR="00700C3F" w:rsidRPr="00AD019F" w:rsidRDefault="00700C3F" w:rsidP="00AD019F">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noWrap/>
            <w:vAlign w:val="bottom"/>
            <w:hideMark/>
          </w:tcPr>
          <w:p w:rsidR="00700C3F" w:rsidRPr="00AD019F" w:rsidRDefault="00700C3F" w:rsidP="00AD019F">
            <w:pPr>
              <w:suppressAutoHyphens w:val="0"/>
              <w:spacing w:before="80" w:after="80" w:line="200" w:lineRule="exact"/>
              <w:ind w:right="113"/>
              <w:jc w:val="right"/>
              <w:rPr>
                <w:i/>
                <w:sz w:val="16"/>
              </w:rPr>
            </w:pPr>
            <w:r w:rsidRPr="00AD019F">
              <w:rPr>
                <w:i/>
                <w:sz w:val="16"/>
              </w:rPr>
              <w:t>Wood</w:t>
            </w:r>
          </w:p>
        </w:tc>
        <w:tc>
          <w:tcPr>
            <w:tcW w:w="1572" w:type="dxa"/>
            <w:tcBorders>
              <w:top w:val="single" w:sz="4" w:space="0" w:color="auto"/>
              <w:bottom w:val="single" w:sz="12" w:space="0" w:color="auto"/>
            </w:tcBorders>
            <w:shd w:val="clear" w:color="auto" w:fill="auto"/>
            <w:noWrap/>
            <w:vAlign w:val="bottom"/>
            <w:hideMark/>
          </w:tcPr>
          <w:p w:rsidR="00700C3F" w:rsidRPr="00AD019F" w:rsidRDefault="00700C3F" w:rsidP="00AD019F">
            <w:pPr>
              <w:suppressAutoHyphens w:val="0"/>
              <w:spacing w:before="80" w:after="80" w:line="200" w:lineRule="exact"/>
              <w:ind w:right="113"/>
              <w:jc w:val="right"/>
              <w:rPr>
                <w:i/>
                <w:sz w:val="16"/>
              </w:rPr>
            </w:pPr>
            <w:r w:rsidRPr="00AD019F">
              <w:rPr>
                <w:i/>
                <w:sz w:val="16"/>
              </w:rPr>
              <w:t>Aluminium alloys</w:t>
            </w:r>
          </w:p>
        </w:tc>
        <w:tc>
          <w:tcPr>
            <w:tcW w:w="1547" w:type="dxa"/>
            <w:tcBorders>
              <w:top w:val="single" w:sz="4" w:space="0" w:color="auto"/>
              <w:bottom w:val="single" w:sz="12" w:space="0" w:color="auto"/>
            </w:tcBorders>
            <w:shd w:val="clear" w:color="auto" w:fill="auto"/>
            <w:noWrap/>
            <w:vAlign w:val="bottom"/>
            <w:hideMark/>
          </w:tcPr>
          <w:p w:rsidR="00700C3F" w:rsidRPr="00AD019F" w:rsidRDefault="00700C3F" w:rsidP="00AD019F">
            <w:pPr>
              <w:suppressAutoHyphens w:val="0"/>
              <w:spacing w:before="80" w:after="80" w:line="200" w:lineRule="exact"/>
              <w:ind w:right="113"/>
              <w:jc w:val="right"/>
              <w:rPr>
                <w:i/>
                <w:sz w:val="16"/>
              </w:rPr>
            </w:pPr>
            <w:r w:rsidRPr="00AD019F">
              <w:rPr>
                <w:i/>
                <w:sz w:val="16"/>
              </w:rPr>
              <w:t>Plastic materials</w:t>
            </w:r>
          </w:p>
        </w:tc>
        <w:tc>
          <w:tcPr>
            <w:tcW w:w="1018" w:type="dxa"/>
            <w:tcBorders>
              <w:top w:val="single" w:sz="4" w:space="0" w:color="auto"/>
              <w:bottom w:val="single" w:sz="12" w:space="0" w:color="auto"/>
            </w:tcBorders>
            <w:shd w:val="clear" w:color="auto" w:fill="auto"/>
            <w:noWrap/>
            <w:vAlign w:val="bottom"/>
            <w:hideMark/>
          </w:tcPr>
          <w:p w:rsidR="00700C3F" w:rsidRPr="00AD019F" w:rsidRDefault="00700C3F" w:rsidP="00AD019F">
            <w:pPr>
              <w:suppressAutoHyphens w:val="0"/>
              <w:spacing w:before="80" w:after="80" w:line="200" w:lineRule="exact"/>
              <w:ind w:right="113"/>
              <w:jc w:val="right"/>
              <w:rPr>
                <w:i/>
                <w:sz w:val="16"/>
              </w:rPr>
            </w:pPr>
            <w:r w:rsidRPr="00AD019F">
              <w:rPr>
                <w:i/>
                <w:sz w:val="16"/>
              </w:rPr>
              <w:t>Rubber</w:t>
            </w:r>
          </w:p>
        </w:tc>
      </w:tr>
      <w:tr w:rsidR="00AD019F" w:rsidRPr="00AD019F" w:rsidTr="001230AA">
        <w:trPr>
          <w:trHeight w:val="227"/>
        </w:trPr>
        <w:tc>
          <w:tcPr>
            <w:tcW w:w="7230" w:type="dxa"/>
            <w:tcBorders>
              <w:top w:val="single" w:sz="12" w:space="0" w:color="auto"/>
            </w:tcBorders>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 xml:space="preserve">Gangways </w:t>
            </w:r>
          </w:p>
        </w:tc>
        <w:tc>
          <w:tcPr>
            <w:tcW w:w="992" w:type="dxa"/>
            <w:tcBorders>
              <w:top w:val="single" w:sz="12" w:space="0" w:color="auto"/>
            </w:tcBorders>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72" w:type="dxa"/>
            <w:tcBorders>
              <w:top w:val="single" w:sz="12" w:space="0" w:color="auto"/>
            </w:tcBorders>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tcBorders>
              <w:top w:val="single" w:sz="12" w:space="0" w:color="auto"/>
            </w:tcBorders>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tcBorders>
              <w:top w:val="single" w:sz="12" w:space="0" w:color="auto"/>
            </w:tcBorders>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External ladders and passageways (gangways)</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Chocking of cargo tanks which are independent of the vessel’s hull and chocking of installations and equipment</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 xml:space="preserve">Masts, flagpoles and similar round timber </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Engine parts</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Protective casing of motors and pumps</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Parts of the electrical installation, including insulation, gaskets, etc.</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 xml:space="preserve">Parts of the loading and unloading equipment, including gaskets, etc. </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Boxes, lockers or containers located on deck for the storage of movable items of equipment</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Supports and stops of any kind</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 xml:space="preserve">Ventilators, including hose assemblies for ventilation </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Parts of the water spray and shower system and of the eye and face bath installation</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r w:rsidR="00AD019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Insulation of cargo tanks, piping for loading and unloading and venting and heating piping</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r>
      <w:tr w:rsidR="00700C3F" w:rsidRPr="00AD019F" w:rsidTr="001230AA">
        <w:trPr>
          <w:trHeight w:val="227"/>
        </w:trPr>
        <w:tc>
          <w:tcPr>
            <w:tcW w:w="7230" w:type="dxa"/>
            <w:shd w:val="clear" w:color="auto" w:fill="auto"/>
            <w:hideMark/>
          </w:tcPr>
          <w:p w:rsidR="00700C3F" w:rsidRPr="00AD019F" w:rsidRDefault="00700C3F" w:rsidP="00AD019F">
            <w:pPr>
              <w:suppressAutoHyphens w:val="0"/>
              <w:spacing w:before="40" w:after="40" w:line="220" w:lineRule="exact"/>
              <w:ind w:right="113"/>
              <w:rPr>
                <w:sz w:val="18"/>
              </w:rPr>
            </w:pPr>
            <w:r w:rsidRPr="00AD019F">
              <w:rPr>
                <w:sz w:val="18"/>
              </w:rPr>
              <w:t>Coating of cargo tanks and of pipes for loading and unloading</w:t>
            </w:r>
          </w:p>
        </w:tc>
        <w:tc>
          <w:tcPr>
            <w:tcW w:w="99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c>
          <w:tcPr>
            <w:tcW w:w="1572"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547"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r w:rsidRPr="00AD019F">
              <w:rPr>
                <w:sz w:val="18"/>
              </w:rPr>
              <w:t>X</w:t>
            </w:r>
          </w:p>
        </w:tc>
        <w:tc>
          <w:tcPr>
            <w:tcW w:w="1018" w:type="dxa"/>
            <w:shd w:val="clear" w:color="auto" w:fill="auto"/>
            <w:noWrap/>
            <w:vAlign w:val="bottom"/>
            <w:hideMark/>
          </w:tcPr>
          <w:p w:rsidR="00700C3F" w:rsidRPr="00AD019F" w:rsidRDefault="00700C3F" w:rsidP="00AD019F">
            <w:pPr>
              <w:suppressAutoHyphens w:val="0"/>
              <w:spacing w:before="40" w:after="40" w:line="220" w:lineRule="exact"/>
              <w:ind w:right="113"/>
              <w:jc w:val="right"/>
              <w:rPr>
                <w:sz w:val="18"/>
              </w:rPr>
            </w:pPr>
          </w:p>
        </w:tc>
      </w:tr>
    </w:tbl>
    <w:p w:rsidR="00700C3F" w:rsidRPr="00FF76FB" w:rsidRDefault="00700C3F" w:rsidP="00700C3F">
      <w:pPr>
        <w:pStyle w:val="SingleTxtG"/>
        <w:spacing w:before="240"/>
      </w:pPr>
      <w:r>
        <w:tab/>
      </w:r>
      <w:r w:rsidRPr="00FF76FB">
        <w:t>Aluminium gauging rods are permitted provided that they are fitted with brass feet or protected in another way to avoid sparking.</w:t>
      </w:r>
    </w:p>
    <w:p w:rsidR="00700C3F" w:rsidRPr="00106A43" w:rsidRDefault="00700C3F" w:rsidP="00700C3F">
      <w:pPr>
        <w:spacing w:before="240"/>
        <w:jc w:val="center"/>
        <w:rPr>
          <w:u w:val="single"/>
        </w:rPr>
      </w:pPr>
      <w:r>
        <w:rPr>
          <w:u w:val="single"/>
        </w:rPr>
        <w:tab/>
      </w:r>
      <w:r>
        <w:rPr>
          <w:u w:val="single"/>
        </w:rPr>
        <w:tab/>
      </w:r>
      <w:r>
        <w:rPr>
          <w:u w:val="single"/>
        </w:rPr>
        <w:tab/>
      </w:r>
    </w:p>
    <w:p w:rsidR="00235BB4" w:rsidRDefault="00235BB4" w:rsidP="0094551C">
      <w:pPr>
        <w:pStyle w:val="SingleTxtG"/>
      </w:pPr>
    </w:p>
    <w:sectPr w:rsidR="00235BB4" w:rsidSect="00DF0F63">
      <w:headerReference w:type="even" r:id="rId14"/>
      <w:headerReference w:type="default" r:id="rId15"/>
      <w:footerReference w:type="even" r:id="rId16"/>
      <w:footerReference w:type="default" r:id="rId17"/>
      <w:footerReference w:type="first" r:id="rId18"/>
      <w:endnotePr>
        <w:numFmt w:val="decimal"/>
      </w:endnotePr>
      <w:type w:val="oddPage"/>
      <w:pgSz w:w="16840" w:h="11907" w:orient="landscape" w:code="9"/>
      <w:pgMar w:top="1134" w:right="1701" w:bottom="1134" w:left="226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09" w:rsidRPr="00FB1744" w:rsidRDefault="008B7209" w:rsidP="00FB1744">
      <w:pPr>
        <w:pStyle w:val="Footer"/>
      </w:pPr>
    </w:p>
  </w:endnote>
  <w:endnote w:type="continuationSeparator" w:id="0">
    <w:p w:rsidR="008B7209" w:rsidRPr="00FB1744" w:rsidRDefault="008B720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64" w:rsidRPr="00360B64" w:rsidRDefault="00360B64" w:rsidP="00360B64">
    <w:pPr>
      <w:pStyle w:val="Footer"/>
      <w:tabs>
        <w:tab w:val="right" w:pos="9598"/>
      </w:tabs>
    </w:pPr>
    <w:r w:rsidRPr="00360B64">
      <w:rPr>
        <w:b/>
        <w:sz w:val="18"/>
      </w:rPr>
      <w:fldChar w:fldCharType="begin"/>
    </w:r>
    <w:r w:rsidRPr="00360B64">
      <w:rPr>
        <w:b/>
        <w:sz w:val="18"/>
      </w:rPr>
      <w:instrText xml:space="preserve"> PAGE  \* MERGEFORMAT </w:instrText>
    </w:r>
    <w:r w:rsidRPr="00360B64">
      <w:rPr>
        <w:b/>
        <w:sz w:val="18"/>
      </w:rPr>
      <w:fldChar w:fldCharType="separate"/>
    </w:r>
    <w:r w:rsidR="004F2CFE">
      <w:rPr>
        <w:b/>
        <w:noProof/>
        <w:sz w:val="18"/>
      </w:rPr>
      <w:t>2</w:t>
    </w:r>
    <w:r w:rsidRPr="00360B64">
      <w:rPr>
        <w:b/>
        <w:sz w:val="18"/>
      </w:rPr>
      <w:fldChar w:fldCharType="end"/>
    </w:r>
    <w:r>
      <w:rPr>
        <w:sz w:val="18"/>
      </w:rPr>
      <w:tab/>
    </w:r>
    <w:r>
      <w:t>GE.16-09291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63" w:rsidRDefault="00DF0F63" w:rsidP="00DF0F63">
    <w:r>
      <w:t>GE.16-09291 (E)    240616    240616</w:t>
    </w:r>
  </w:p>
  <w:p w:rsidR="00360B64" w:rsidRPr="00DF0F63" w:rsidRDefault="001230AA" w:rsidP="00DF0F63">
    <w:pPr>
      <w:spacing w:line="240" w:lineRule="auto"/>
      <w:rPr>
        <w:rFonts w:ascii="C39T30Lfz" w:hAnsi="C39T30Lfz"/>
        <w:sz w:val="56"/>
      </w:rPr>
    </w:pPr>
    <w:r w:rsidRPr="00DA43F5">
      <w:rPr>
        <w:rFonts w:ascii="C39T30Lfz" w:hAnsi="C39T30Lfz"/>
        <w:noProof/>
        <w:sz w:val="56"/>
        <w:u w:val="single"/>
        <w:lang w:val="en-US"/>
      </w:rPr>
      <w:drawing>
        <wp:anchor distT="0" distB="0" distL="114300" distR="114300" simplePos="0" relativeHeight="251666432" behindDoc="0" locked="0" layoutInCell="1" allowOverlap="1" wp14:anchorId="6C3DC70B" wp14:editId="1909EB95">
          <wp:simplePos x="0" y="0"/>
          <wp:positionH relativeFrom="margin">
            <wp:posOffset>4226560</wp:posOffset>
          </wp:positionH>
          <wp:positionV relativeFrom="margin">
            <wp:posOffset>8268970</wp:posOffset>
          </wp:positionV>
          <wp:extent cx="974725" cy="26733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sz w:val="56"/>
      </w:rPr>
      <w:t></w:t>
    </w:r>
    <w:r w:rsidR="00DF0F63">
      <w:rPr>
        <w:rFonts w:ascii="C39T30Lfz" w:hAnsi="C39T30Lfz"/>
        <w:noProof/>
        <w:sz w:val="56"/>
        <w:lang w:val="en-US"/>
      </w:rPr>
      <w:drawing>
        <wp:anchor distT="0" distB="0" distL="114300" distR="114300" simplePos="0" relativeHeight="251664384" behindDoc="0" locked="0" layoutInCell="1" allowOverlap="1" wp14:anchorId="04762489" wp14:editId="43645A8F">
          <wp:simplePos x="0" y="0"/>
          <wp:positionH relativeFrom="margin">
            <wp:posOffset>5489575</wp:posOffset>
          </wp:positionH>
          <wp:positionV relativeFrom="margin">
            <wp:posOffset>8027670</wp:posOffset>
          </wp:positionV>
          <wp:extent cx="638175" cy="638175"/>
          <wp:effectExtent l="0" t="0" r="9525" b="9525"/>
          <wp:wrapNone/>
          <wp:docPr id="10" name="Picture 1" descr="http://undocs.org/m2/QRCode.ashx?DS=ECE/TRANS/WP.15/AC.2/2016/4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6B" w:rsidRDefault="003F696B" w:rsidP="003F696B">
    <w:pPr>
      <w:pStyle w:val="Header"/>
    </w:pPr>
    <w:r w:rsidRPr="00360B64">
      <w:t>ECE/TRANS/WP.15/AC.2/2016/41</w:t>
    </w:r>
  </w:p>
  <w:p w:rsidR="003F696B" w:rsidRDefault="003F696B" w:rsidP="003F696B">
    <w:pPr>
      <w:pStyle w:val="Header"/>
    </w:pPr>
  </w:p>
  <w:p w:rsidR="009156EC" w:rsidRDefault="009156EC"/>
  <w:p w:rsidR="006623D5" w:rsidRDefault="00717266" w:rsidP="00AB3C7E">
    <w:r>
      <w:rPr>
        <w:noProof/>
        <w:lang w:val="en-US"/>
      </w:rPr>
      <w:drawing>
        <wp:anchor distT="0" distB="0" distL="114300" distR="114300" simplePos="0" relativeHeight="251659264" behindDoc="0" locked="1" layoutInCell="1" allowOverlap="1" wp14:anchorId="56F667C6" wp14:editId="45F809A5">
          <wp:simplePos x="0" y="0"/>
          <wp:positionH relativeFrom="margin">
            <wp:posOffset>4319905</wp:posOffset>
          </wp:positionH>
          <wp:positionV relativeFrom="margin">
            <wp:posOffset>8279765</wp:posOffset>
          </wp:positionV>
          <wp:extent cx="933450" cy="228600"/>
          <wp:effectExtent l="0" t="0" r="0" b="0"/>
          <wp:wrapSquare wrapText="bothSides"/>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B64" w:rsidRDefault="00360B64" w:rsidP="00360B64">
    <w:r>
      <w:t>GE.16-09291</w:t>
    </w:r>
    <w:r w:rsidR="00996694">
      <w:t xml:space="preserve"> </w:t>
    </w:r>
    <w:r>
      <w:t>(E)</w:t>
    </w:r>
    <w:r w:rsidR="00570D7D">
      <w:t xml:space="preserve">    240616    240616</w:t>
    </w:r>
  </w:p>
  <w:p w:rsidR="00360B64" w:rsidRPr="00360B64" w:rsidRDefault="00360B64" w:rsidP="00360B6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796DC4D" wp14:editId="518E5C40">
          <wp:simplePos x="0" y="0"/>
          <wp:positionH relativeFrom="margin">
            <wp:posOffset>5489575</wp:posOffset>
          </wp:positionH>
          <wp:positionV relativeFrom="margin">
            <wp:posOffset>8027670</wp:posOffset>
          </wp:positionV>
          <wp:extent cx="638175" cy="638175"/>
          <wp:effectExtent l="0" t="0" r="9525" b="9525"/>
          <wp:wrapNone/>
          <wp:docPr id="5" name="Picture 1" descr="http://undocs.org/m2/QRCode.ashx?DS=ECE/TRANS/WP.15/AC.2/2016/4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64" w:rsidRPr="00360B64" w:rsidRDefault="00360B64" w:rsidP="00360B64">
    <w:pPr>
      <w:pStyle w:val="Footer"/>
      <w:tabs>
        <w:tab w:val="right" w:pos="9598"/>
      </w:tabs>
    </w:pPr>
    <w:r w:rsidRPr="00360B64">
      <w:rPr>
        <w:b/>
        <w:sz w:val="18"/>
      </w:rPr>
      <w:fldChar w:fldCharType="begin"/>
    </w:r>
    <w:r w:rsidRPr="00360B64">
      <w:rPr>
        <w:b/>
        <w:sz w:val="18"/>
      </w:rPr>
      <w:instrText xml:space="preserve"> PAGE  \* MERGEFORMAT </w:instrText>
    </w:r>
    <w:r w:rsidRPr="00360B64">
      <w:rPr>
        <w:b/>
        <w:sz w:val="18"/>
      </w:rPr>
      <w:fldChar w:fldCharType="separate"/>
    </w:r>
    <w:r w:rsidR="00AD019F">
      <w:rPr>
        <w:b/>
        <w:noProof/>
        <w:sz w:val="18"/>
      </w:rPr>
      <w:t>4</w:t>
    </w:r>
    <w:r w:rsidRPr="00360B64">
      <w:rPr>
        <w:b/>
        <w:sz w:val="18"/>
      </w:rPr>
      <w:fldChar w:fldCharType="end"/>
    </w:r>
    <w:r>
      <w:rPr>
        <w:sz w:val="18"/>
      </w:rPr>
      <w:tab/>
    </w:r>
    <w:r>
      <w:t>GE.16-09291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64" w:rsidRPr="00360B64" w:rsidRDefault="00360B64" w:rsidP="001D588F">
    <w:pPr>
      <w:pStyle w:val="Footer"/>
      <w:tabs>
        <w:tab w:val="right" w:pos="12871"/>
      </w:tabs>
      <w:rPr>
        <w:b/>
        <w:sz w:val="18"/>
      </w:rPr>
    </w:pPr>
    <w:r>
      <w:t>GE.16-09291</w:t>
    </w:r>
    <w:r>
      <w:tab/>
    </w:r>
    <w:r w:rsidRPr="00360B64">
      <w:rPr>
        <w:b/>
        <w:sz w:val="18"/>
      </w:rPr>
      <w:fldChar w:fldCharType="begin"/>
    </w:r>
    <w:r w:rsidRPr="00360B64">
      <w:rPr>
        <w:b/>
        <w:sz w:val="18"/>
      </w:rPr>
      <w:instrText xml:space="preserve"> PAGE  \* MERGEFORMAT </w:instrText>
    </w:r>
    <w:r w:rsidRPr="00360B64">
      <w:rPr>
        <w:b/>
        <w:sz w:val="18"/>
      </w:rPr>
      <w:fldChar w:fldCharType="separate"/>
    </w:r>
    <w:r w:rsidR="004F2CFE">
      <w:rPr>
        <w:b/>
        <w:noProof/>
        <w:sz w:val="18"/>
      </w:rPr>
      <w:t>3</w:t>
    </w:r>
    <w:r w:rsidRPr="00360B64">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62336" behindDoc="0" locked="1" layoutInCell="1" allowOverlap="1" wp14:anchorId="1DFDFC24" wp14:editId="33BEAB73">
          <wp:simplePos x="0" y="0"/>
          <wp:positionH relativeFrom="margin">
            <wp:posOffset>4319905</wp:posOffset>
          </wp:positionH>
          <wp:positionV relativeFrom="margin">
            <wp:posOffset>8279765</wp:posOffset>
          </wp:positionV>
          <wp:extent cx="933450" cy="228600"/>
          <wp:effectExtent l="0" t="0" r="0" b="0"/>
          <wp:wrapSquare wrapText="bothSides"/>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09" w:rsidRPr="00FB1744" w:rsidRDefault="008B7209" w:rsidP="00FB1744">
      <w:pPr>
        <w:tabs>
          <w:tab w:val="right" w:pos="2155"/>
        </w:tabs>
        <w:spacing w:after="80" w:line="240" w:lineRule="auto"/>
        <w:ind w:left="680"/>
      </w:pPr>
      <w:r>
        <w:rPr>
          <w:u w:val="single"/>
        </w:rPr>
        <w:tab/>
      </w:r>
    </w:p>
  </w:footnote>
  <w:footnote w:type="continuationSeparator" w:id="0">
    <w:p w:rsidR="008B7209" w:rsidRPr="00FB1744" w:rsidRDefault="008B7209" w:rsidP="00FB1744">
      <w:pPr>
        <w:tabs>
          <w:tab w:val="right" w:pos="2155"/>
        </w:tabs>
        <w:spacing w:after="80" w:line="240" w:lineRule="auto"/>
        <w:ind w:left="680"/>
      </w:pPr>
      <w:r>
        <w:rPr>
          <w:u w:val="single"/>
        </w:rPr>
        <w:tab/>
      </w:r>
    </w:p>
  </w:footnote>
  <w:footnote w:id="1">
    <w:p w:rsidR="001976F6" w:rsidRPr="00797D75" w:rsidRDefault="001976F6" w:rsidP="001976F6">
      <w:pPr>
        <w:pStyle w:val="FootnoteText"/>
      </w:pPr>
      <w:r>
        <w:rPr>
          <w:szCs w:val="24"/>
        </w:rPr>
        <w:tab/>
      </w:r>
      <w:r>
        <w:rPr>
          <w:rStyle w:val="FootnoteReference"/>
          <w:szCs w:val="24"/>
        </w:rPr>
        <w:footnoteRef/>
      </w:r>
      <w:r w:rsidRPr="00797D75">
        <w:rPr>
          <w:szCs w:val="24"/>
        </w:rPr>
        <w:tab/>
      </w:r>
      <w:r w:rsidRPr="00797D75">
        <w:t xml:space="preserve">Distributed in German by the Central Commission for the Navigation of the Rhine under the symbol </w:t>
      </w:r>
      <w:r>
        <w:t>CCNR-ZKR/ADN/WP.15/AC.2/2016/41</w:t>
      </w:r>
      <w:r w:rsidR="00B707CB">
        <w:t>.</w:t>
      </w:r>
    </w:p>
  </w:footnote>
  <w:footnote w:id="2">
    <w:p w:rsidR="001976F6" w:rsidRDefault="001976F6" w:rsidP="001976F6">
      <w:pPr>
        <w:pStyle w:val="FootnoteText"/>
        <w:widowControl w:val="0"/>
        <w:tabs>
          <w:tab w:val="clear" w:pos="1021"/>
          <w:tab w:val="right" w:pos="1020"/>
        </w:tabs>
      </w:pPr>
      <w:r w:rsidRPr="00797D75">
        <w:tab/>
      </w:r>
      <w:r>
        <w:rPr>
          <w:rStyle w:val="FootnoteReference"/>
        </w:rPr>
        <w:footnoteRef/>
      </w:r>
      <w:r>
        <w:tab/>
      </w:r>
      <w:r w:rsidRPr="00797D75">
        <w:t xml:space="preserve">In accordance with the draft programme of work of the Inland Transport Committee for 2016-2017 </w:t>
      </w:r>
      <w:r w:rsidRPr="00B16468">
        <w:t>(</w:t>
      </w:r>
      <w:hyperlink r:id="rId1" w:tgtFrame="_blank" w:history="1">
        <w:r w:rsidRPr="00B16468">
          <w:rPr>
            <w:color w:val="0000FF"/>
          </w:rPr>
          <w:t>ECE/TRANS/2016/28/Add.1</w:t>
        </w:r>
      </w:hyperlink>
      <w:r w:rsidRPr="00797D75">
        <w:t xml:space="preserve"> (9.3)).</w:t>
      </w:r>
    </w:p>
    <w:p w:rsidR="00DF0F63" w:rsidRPr="00797D75" w:rsidRDefault="00DF0F63" w:rsidP="001976F6">
      <w:pPr>
        <w:pStyle w:val="FootnoteText"/>
        <w:widowControl w:val="0"/>
        <w:tabs>
          <w:tab w:val="clear" w:pos="1021"/>
          <w:tab w:val="right" w:pos="102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64" w:rsidRPr="00360B64" w:rsidRDefault="00360B64" w:rsidP="00360B64">
    <w:pPr>
      <w:pStyle w:val="Header"/>
    </w:pPr>
    <w:r w:rsidRPr="00360B64">
      <w:t>ECE/TRANS/WP.15/AC.2/2016/41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6B" w:rsidRDefault="00DF0F63" w:rsidP="00DF0F63">
    <w:pPr>
      <w:pStyle w:val="Header"/>
      <w:jc w:val="right"/>
    </w:pPr>
    <w:r w:rsidRPr="00360B64">
      <w:t>ECE/TRANS/WP.15/AC.2/2016/41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64" w:rsidRPr="00360B64" w:rsidRDefault="00360B64" w:rsidP="00360B64">
    <w:pPr>
      <w:pStyle w:val="Header"/>
    </w:pPr>
    <w:r w:rsidRPr="00360B64">
      <w:t>ECE/TRANS/WP.15/AC.2/2016/41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64" w:rsidRPr="00360B64" w:rsidRDefault="00360B64" w:rsidP="00360B64">
    <w:pPr>
      <w:pStyle w:val="Header"/>
      <w:jc w:val="right"/>
    </w:pPr>
    <w:r w:rsidRPr="00360B64">
      <w:t>ECE/TRANS/WP.15/AC.2/2016/41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09"/>
    <w:rsid w:val="0002789B"/>
    <w:rsid w:val="000334B9"/>
    <w:rsid w:val="00046E92"/>
    <w:rsid w:val="0007339E"/>
    <w:rsid w:val="001170DC"/>
    <w:rsid w:val="001230AA"/>
    <w:rsid w:val="001976F6"/>
    <w:rsid w:val="001D588F"/>
    <w:rsid w:val="00235BB4"/>
    <w:rsid w:val="00247E2C"/>
    <w:rsid w:val="002D6C53"/>
    <w:rsid w:val="002F5595"/>
    <w:rsid w:val="00334F6A"/>
    <w:rsid w:val="00342AC8"/>
    <w:rsid w:val="00360B64"/>
    <w:rsid w:val="003B4550"/>
    <w:rsid w:val="003F696B"/>
    <w:rsid w:val="00461253"/>
    <w:rsid w:val="004F2CFE"/>
    <w:rsid w:val="005042C2"/>
    <w:rsid w:val="0056599A"/>
    <w:rsid w:val="00570D7D"/>
    <w:rsid w:val="00597B8E"/>
    <w:rsid w:val="00671529"/>
    <w:rsid w:val="006B0D45"/>
    <w:rsid w:val="00700C3F"/>
    <w:rsid w:val="00717266"/>
    <w:rsid w:val="007268F9"/>
    <w:rsid w:val="0078136D"/>
    <w:rsid w:val="007C52B0"/>
    <w:rsid w:val="0082228F"/>
    <w:rsid w:val="00876CA0"/>
    <w:rsid w:val="00876DE8"/>
    <w:rsid w:val="008B7209"/>
    <w:rsid w:val="009156EC"/>
    <w:rsid w:val="0091722B"/>
    <w:rsid w:val="009411B4"/>
    <w:rsid w:val="0094551C"/>
    <w:rsid w:val="00996694"/>
    <w:rsid w:val="009D0139"/>
    <w:rsid w:val="009F5CDC"/>
    <w:rsid w:val="00A775CF"/>
    <w:rsid w:val="00AB3C7E"/>
    <w:rsid w:val="00AD019F"/>
    <w:rsid w:val="00B06045"/>
    <w:rsid w:val="00B16468"/>
    <w:rsid w:val="00B707CB"/>
    <w:rsid w:val="00C35A27"/>
    <w:rsid w:val="00D75C07"/>
    <w:rsid w:val="00DF0F63"/>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548A69-F33F-4131-A294-9230C289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ECE/TRANS/2016/28/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17FE-4F69-4D12-8B5A-4A149EF4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1609291</vt:lpstr>
    </vt:vector>
  </TitlesOfParts>
  <Company>DCM</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1609291</dc:title>
  <dc:subject>ECE/TRANS/WP.15/AC.2/2016/41</dc:subject>
  <dc:creator>MORRIS</dc:creator>
  <cp:keywords/>
  <dc:description/>
  <cp:lastModifiedBy>OICA</cp:lastModifiedBy>
  <cp:revision>2</cp:revision>
  <cp:lastPrinted>2016-06-24T16:38:00Z</cp:lastPrinted>
  <dcterms:created xsi:type="dcterms:W3CDTF">2016-06-27T15:28:00Z</dcterms:created>
  <dcterms:modified xsi:type="dcterms:W3CDTF">2016-06-27T15:28:00Z</dcterms:modified>
</cp:coreProperties>
</file>