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64" w:rsidRPr="00065C2E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de-DE" w:eastAsia="de-DE"/>
        </w:rPr>
      </w:pPr>
      <w:bookmarkStart w:id="0" w:name="_GoBack"/>
      <w:bookmarkEnd w:id="0"/>
      <w:r w:rsidRPr="00065C2E">
        <w:rPr>
          <w:rFonts w:ascii="Arial" w:hAnsi="Arial"/>
          <w:noProof/>
          <w:snapToGrid/>
          <w:lang w:val="en-US" w:eastAsia="en-US"/>
        </w:rPr>
        <w:drawing>
          <wp:anchor distT="0" distB="0" distL="114300" distR="114300" simplePos="0" relativeHeight="251659776" behindDoc="0" locked="0" layoutInCell="1" allowOverlap="1" wp14:anchorId="2FD26ABB" wp14:editId="3655561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C2E">
        <w:rPr>
          <w:rFonts w:ascii="Arial" w:eastAsia="Arial" w:hAnsi="Arial" w:cs="Arial"/>
          <w:bCs/>
          <w:snapToGrid/>
          <w:szCs w:val="24"/>
          <w:lang w:val="de-DE" w:eastAsia="de-DE"/>
        </w:rPr>
        <w:t>CCNR-ZKR/ADN/WP.15/AC.2/5</w:t>
      </w:r>
      <w:r w:rsidR="001E6A38">
        <w:rPr>
          <w:rFonts w:ascii="Arial" w:eastAsia="Arial" w:hAnsi="Arial" w:cs="Arial"/>
          <w:bCs/>
          <w:snapToGrid/>
          <w:szCs w:val="24"/>
          <w:lang w:val="de-DE" w:eastAsia="de-DE"/>
        </w:rPr>
        <w:t>9</w:t>
      </w:r>
    </w:p>
    <w:p w:rsidR="006D3464" w:rsidRPr="00065C2E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065C2E">
        <w:rPr>
          <w:rFonts w:ascii="Arial" w:hAnsi="Arial"/>
          <w:lang w:val="en-US" w:bidi="fr-FR"/>
        </w:rPr>
        <w:t>CCNR-ZKR/ADN/WP.15/AC.2/5</w:t>
      </w:r>
      <w:r w:rsidR="001E6A38">
        <w:rPr>
          <w:rFonts w:ascii="Arial" w:hAnsi="Arial"/>
          <w:lang w:val="en-US" w:bidi="fr-FR"/>
        </w:rPr>
        <w:t>9</w:t>
      </w:r>
      <w:r w:rsidRPr="00065C2E">
        <w:rPr>
          <w:rFonts w:ascii="Arial" w:hAnsi="Arial"/>
          <w:lang w:val="en-US" w:bidi="fr-FR"/>
        </w:rPr>
        <w:t xml:space="preserve"> Add.1</w:t>
      </w:r>
    </w:p>
    <w:p w:rsidR="006D3464" w:rsidRPr="00065C2E" w:rsidRDefault="006D3464" w:rsidP="006D346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065C2E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6D3464" w:rsidRPr="00065C2E" w:rsidRDefault="00AB0007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065C2E">
        <w:rPr>
          <w:rFonts w:ascii="Arial" w:eastAsia="Arial" w:hAnsi="Arial" w:cs="Arial"/>
          <w:snapToGrid/>
          <w:szCs w:val="24"/>
          <w:lang w:val="de-DE" w:eastAsia="de-DE"/>
        </w:rPr>
        <w:t>1</w:t>
      </w:r>
      <w:r w:rsidR="001E6A38">
        <w:rPr>
          <w:rFonts w:ascii="Arial" w:eastAsia="Arial" w:hAnsi="Arial" w:cs="Arial"/>
          <w:snapToGrid/>
          <w:szCs w:val="24"/>
          <w:lang w:val="de-DE" w:eastAsia="de-DE"/>
        </w:rPr>
        <w:t>3</w:t>
      </w:r>
      <w:r w:rsidRPr="00065C2E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1E6A38">
        <w:rPr>
          <w:rFonts w:ascii="Arial" w:eastAsia="Arial" w:hAnsi="Arial" w:cs="Arial"/>
          <w:snapToGrid/>
          <w:szCs w:val="24"/>
          <w:lang w:val="de-DE" w:eastAsia="de-DE"/>
        </w:rPr>
        <w:t>June 2016</w:t>
      </w:r>
    </w:p>
    <w:p w:rsidR="006D3464" w:rsidRPr="00065C2E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065C2E">
        <w:rPr>
          <w:rFonts w:ascii="Arial" w:eastAsia="Arial" w:hAnsi="Arial" w:cs="Arial"/>
          <w:snapToGrid/>
          <w:sz w:val="16"/>
          <w:szCs w:val="24"/>
          <w:lang w:val="de-DE" w:eastAsia="de-DE"/>
        </w:rPr>
        <w:t>Or.  ENGLISCH</w:t>
      </w:r>
    </w:p>
    <w:p w:rsidR="006D3464" w:rsidRPr="00065C2E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6D3464" w:rsidRPr="00065C2E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6D3464" w:rsidRPr="00065C2E" w:rsidRDefault="006D3464" w:rsidP="006D346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6D3464" w:rsidRPr="00065C2E" w:rsidRDefault="006D3464" w:rsidP="006D346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BEIGEFÜGTE VERORDNUNG (ADN)</w:t>
      </w:r>
    </w:p>
    <w:p w:rsidR="006D3464" w:rsidRPr="00065C2E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6D3464" w:rsidRPr="00065C2E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(2</w:t>
      </w:r>
      <w:r w:rsidR="001E6A38">
        <w:rPr>
          <w:rFonts w:ascii="Arial" w:hAnsi="Arial" w:cs="Arial"/>
          <w:sz w:val="16"/>
          <w:szCs w:val="16"/>
          <w:lang w:val="de-DE"/>
        </w:rPr>
        <w:t>9</w:t>
      </w:r>
      <w:r w:rsidRPr="00065C2E">
        <w:rPr>
          <w:rFonts w:ascii="Arial" w:hAnsi="Arial" w:cs="Arial"/>
          <w:sz w:val="16"/>
          <w:szCs w:val="16"/>
          <w:lang w:val="de-DE"/>
        </w:rPr>
        <w:t>. Tagung, Genf, 2</w:t>
      </w:r>
      <w:r w:rsidR="001E6A38">
        <w:rPr>
          <w:rFonts w:ascii="Arial" w:hAnsi="Arial" w:cs="Arial"/>
          <w:sz w:val="16"/>
          <w:szCs w:val="16"/>
          <w:lang w:val="de-DE"/>
        </w:rPr>
        <w:t>2</w:t>
      </w:r>
      <w:r w:rsidRPr="00065C2E">
        <w:rPr>
          <w:rFonts w:ascii="Arial" w:hAnsi="Arial" w:cs="Arial"/>
          <w:sz w:val="16"/>
          <w:szCs w:val="16"/>
          <w:lang w:val="de-DE"/>
        </w:rPr>
        <w:t>. bis 2</w:t>
      </w:r>
      <w:r w:rsidR="001E6A38">
        <w:rPr>
          <w:rFonts w:ascii="Arial" w:hAnsi="Arial" w:cs="Arial"/>
          <w:sz w:val="16"/>
          <w:szCs w:val="16"/>
          <w:lang w:val="de-DE"/>
        </w:rPr>
        <w:t>6</w:t>
      </w:r>
      <w:r w:rsidRPr="00065C2E">
        <w:rPr>
          <w:rFonts w:ascii="Arial" w:hAnsi="Arial" w:cs="Arial"/>
          <w:sz w:val="16"/>
          <w:szCs w:val="16"/>
          <w:lang w:val="de-DE"/>
        </w:rPr>
        <w:t xml:space="preserve">. </w:t>
      </w:r>
      <w:r w:rsidR="001E6A38">
        <w:rPr>
          <w:rFonts w:ascii="Arial" w:hAnsi="Arial" w:cs="Arial"/>
          <w:sz w:val="16"/>
          <w:szCs w:val="16"/>
          <w:lang w:val="de-DE"/>
        </w:rPr>
        <w:t>August</w:t>
      </w:r>
      <w:r w:rsidRPr="00065C2E">
        <w:rPr>
          <w:rFonts w:ascii="Arial" w:hAnsi="Arial" w:cs="Arial"/>
          <w:sz w:val="16"/>
          <w:szCs w:val="16"/>
          <w:lang w:val="de-DE"/>
        </w:rPr>
        <w:t xml:space="preserve"> 201</w:t>
      </w:r>
      <w:r w:rsidR="00736231" w:rsidRPr="00065C2E">
        <w:rPr>
          <w:rFonts w:ascii="Arial" w:hAnsi="Arial" w:cs="Arial"/>
          <w:sz w:val="16"/>
          <w:szCs w:val="16"/>
          <w:lang w:val="de-DE"/>
        </w:rPr>
        <w:t>6</w:t>
      </w:r>
      <w:r w:rsidRPr="00065C2E">
        <w:rPr>
          <w:rFonts w:ascii="Arial" w:hAnsi="Arial" w:cs="Arial"/>
          <w:sz w:val="16"/>
          <w:szCs w:val="16"/>
          <w:lang w:val="de-DE"/>
        </w:rPr>
        <w:t>)</w:t>
      </w:r>
    </w:p>
    <w:p w:rsidR="00D25F52" w:rsidRPr="00065C2E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065C2E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D25F52" w:rsidRPr="00065C2E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065C2E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D25F52" w:rsidRPr="00065C2E" w:rsidRDefault="00D25F52">
      <w:pPr>
        <w:rPr>
          <w:rFonts w:ascii="SimSun" w:eastAsia="SimSun"/>
          <w:szCs w:val="24"/>
          <w:lang w:val="de-DE"/>
        </w:rPr>
      </w:pPr>
    </w:p>
    <w:p w:rsidR="00D25F52" w:rsidRPr="00065C2E" w:rsidRDefault="00D25F52">
      <w:pPr>
        <w:rPr>
          <w:rFonts w:ascii="SimSun" w:eastAsia="SimSun"/>
          <w:szCs w:val="24"/>
          <w:lang w:val="de-DE"/>
        </w:rPr>
      </w:pPr>
    </w:p>
    <w:p w:rsidR="00D25F52" w:rsidRPr="00065C2E" w:rsidRDefault="00D25F52">
      <w:pPr>
        <w:rPr>
          <w:rFonts w:ascii="SimSun" w:eastAsia="SimSun"/>
          <w:szCs w:val="24"/>
          <w:lang w:val="de-DE"/>
        </w:rPr>
      </w:pPr>
    </w:p>
    <w:p w:rsidR="00D25F52" w:rsidRPr="00065C2E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065C2E">
        <w:rPr>
          <w:noProof/>
          <w:sz w:val="26"/>
          <w:szCs w:val="26"/>
          <w:lang w:val="de-DE"/>
        </w:rPr>
        <w:t xml:space="preserve">VORLÄUFIGE TAGESORDNUNG DER </w:t>
      </w:r>
      <w:r w:rsidR="001E6A38">
        <w:rPr>
          <w:noProof/>
          <w:sz w:val="26"/>
          <w:szCs w:val="26"/>
          <w:lang w:val="de-DE"/>
        </w:rPr>
        <w:t>NEUN</w:t>
      </w:r>
      <w:r w:rsidR="006D3464" w:rsidRPr="00065C2E">
        <w:rPr>
          <w:noProof/>
          <w:sz w:val="26"/>
          <w:szCs w:val="26"/>
          <w:lang w:val="de-DE"/>
        </w:rPr>
        <w:t>UNDZWANZIGSTEN SITZUNG</w:t>
      </w:r>
      <w:r w:rsidRPr="00065C2E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D25F52" w:rsidRPr="00065C2E" w:rsidRDefault="00D25F52">
      <w:pPr>
        <w:jc w:val="center"/>
        <w:rPr>
          <w:sz w:val="24"/>
          <w:szCs w:val="24"/>
          <w:lang w:val="de-DE"/>
        </w:rPr>
      </w:pPr>
      <w:r w:rsidRPr="00065C2E">
        <w:rPr>
          <w:noProof/>
          <w:sz w:val="24"/>
          <w:szCs w:val="24"/>
          <w:lang w:val="de-DE"/>
        </w:rPr>
        <w:t>die in Genf, Palais des Nations,</w:t>
      </w:r>
    </w:p>
    <w:p w:rsidR="00D25F52" w:rsidRPr="00065C2E" w:rsidRDefault="00D25F52">
      <w:pPr>
        <w:jc w:val="center"/>
        <w:rPr>
          <w:noProof/>
          <w:sz w:val="24"/>
          <w:szCs w:val="24"/>
          <w:lang w:val="de-DE"/>
        </w:rPr>
      </w:pPr>
      <w:r w:rsidRPr="00065C2E">
        <w:rPr>
          <w:noProof/>
          <w:sz w:val="24"/>
          <w:szCs w:val="24"/>
          <w:lang w:val="de-DE"/>
        </w:rPr>
        <w:t>von Montag, 2</w:t>
      </w:r>
      <w:r w:rsidR="001E6A38">
        <w:rPr>
          <w:noProof/>
          <w:sz w:val="24"/>
          <w:szCs w:val="24"/>
          <w:lang w:val="de-DE"/>
        </w:rPr>
        <w:t>2</w:t>
      </w:r>
      <w:r w:rsidRPr="00065C2E">
        <w:rPr>
          <w:noProof/>
          <w:sz w:val="24"/>
          <w:szCs w:val="24"/>
          <w:lang w:val="de-DE"/>
        </w:rPr>
        <w:t xml:space="preserve">. </w:t>
      </w:r>
      <w:r w:rsidR="001E6A38">
        <w:rPr>
          <w:noProof/>
          <w:sz w:val="24"/>
          <w:szCs w:val="24"/>
          <w:lang w:val="de-DE"/>
        </w:rPr>
        <w:t>August</w:t>
      </w:r>
      <w:r w:rsidRPr="00065C2E">
        <w:rPr>
          <w:noProof/>
          <w:sz w:val="24"/>
          <w:szCs w:val="24"/>
          <w:lang w:val="de-DE"/>
        </w:rPr>
        <w:t xml:space="preserve"> 201</w:t>
      </w:r>
      <w:r w:rsidR="00736231" w:rsidRPr="00065C2E">
        <w:rPr>
          <w:noProof/>
          <w:sz w:val="24"/>
          <w:szCs w:val="24"/>
          <w:lang w:val="de-DE"/>
        </w:rPr>
        <w:t>6</w:t>
      </w:r>
      <w:r w:rsidRPr="00065C2E">
        <w:rPr>
          <w:noProof/>
          <w:sz w:val="24"/>
          <w:szCs w:val="24"/>
          <w:lang w:val="de-DE"/>
        </w:rPr>
        <w:t>, 10.00 Uhr, bis Freitag, 2</w:t>
      </w:r>
      <w:r w:rsidR="001E6A38">
        <w:rPr>
          <w:noProof/>
          <w:sz w:val="24"/>
          <w:szCs w:val="24"/>
          <w:lang w:val="de-DE"/>
        </w:rPr>
        <w:t>6</w:t>
      </w:r>
      <w:r w:rsidRPr="00065C2E">
        <w:rPr>
          <w:noProof/>
          <w:sz w:val="24"/>
          <w:szCs w:val="24"/>
          <w:lang w:val="de-DE"/>
        </w:rPr>
        <w:t xml:space="preserve">. </w:t>
      </w:r>
      <w:r w:rsidR="001E6A38">
        <w:rPr>
          <w:noProof/>
          <w:sz w:val="24"/>
          <w:szCs w:val="24"/>
          <w:lang w:val="de-DE"/>
        </w:rPr>
        <w:t>August</w:t>
      </w:r>
      <w:r w:rsidRPr="00065C2E">
        <w:rPr>
          <w:noProof/>
          <w:sz w:val="24"/>
          <w:szCs w:val="24"/>
          <w:lang w:val="de-DE"/>
        </w:rPr>
        <w:t xml:space="preserve"> 201</w:t>
      </w:r>
      <w:r w:rsidR="00736231" w:rsidRPr="00065C2E">
        <w:rPr>
          <w:noProof/>
          <w:sz w:val="24"/>
          <w:szCs w:val="24"/>
          <w:lang w:val="de-DE"/>
        </w:rPr>
        <w:t>6</w:t>
      </w:r>
      <w:r w:rsidRPr="00065C2E">
        <w:rPr>
          <w:noProof/>
          <w:sz w:val="24"/>
          <w:szCs w:val="24"/>
          <w:lang w:val="de-DE"/>
        </w:rPr>
        <w:t>, 12.00 Uhr, stattfindet.</w:t>
      </w:r>
    </w:p>
    <w:p w:rsidR="006D3464" w:rsidRPr="00065C2E" w:rsidRDefault="006D3464" w:rsidP="006D3464">
      <w:pPr>
        <w:spacing w:after="120"/>
        <w:ind w:left="1134" w:right="1134"/>
        <w:jc w:val="both"/>
        <w:rPr>
          <w:snapToGrid/>
          <w:lang w:val="de-DE" w:eastAsia="en-US"/>
        </w:rPr>
      </w:pPr>
    </w:p>
    <w:p w:rsidR="00D25F52" w:rsidRPr="00065C2E" w:rsidRDefault="00D25F52">
      <w:pPr>
        <w:pStyle w:val="H1G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szCs w:val="24"/>
          <w:lang w:val="de-DE"/>
        </w:rPr>
        <w:tab/>
      </w:r>
      <w:r w:rsidRPr="00065C2E">
        <w:rPr>
          <w:noProof/>
          <w:szCs w:val="24"/>
          <w:lang w:val="de-DE"/>
        </w:rPr>
        <w:t>Addendum</w:t>
      </w:r>
    </w:p>
    <w:p w:rsidR="00D25F52" w:rsidRPr="00065C2E" w:rsidRDefault="00D25F52">
      <w:pPr>
        <w:pStyle w:val="H1G"/>
        <w:spacing w:line="280" w:lineRule="exact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szCs w:val="24"/>
          <w:lang w:val="de-DE"/>
        </w:rPr>
        <w:tab/>
        <w:t>Liste der Unterlagen gemäß Tagesordnungspunkten und Anmerkungen</w:t>
      </w:r>
    </w:p>
    <w:p w:rsidR="00D25F52" w:rsidRPr="00065C2E" w:rsidRDefault="00D25F52" w:rsidP="00AB0007">
      <w:pPr>
        <w:pStyle w:val="H23G"/>
        <w:numPr>
          <w:ilvl w:val="0"/>
          <w:numId w:val="34"/>
        </w:numPr>
        <w:rPr>
          <w:szCs w:val="24"/>
          <w:lang w:val="de-DE"/>
        </w:rPr>
      </w:pPr>
      <w:r w:rsidRPr="00065C2E">
        <w:rPr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B0007" w:rsidRPr="00065C2E" w:rsidTr="003C569F">
        <w:tc>
          <w:tcPr>
            <w:tcW w:w="4676" w:type="dxa"/>
            <w:shd w:val="clear" w:color="auto" w:fill="auto"/>
          </w:tcPr>
          <w:p w:rsidR="00AB0007" w:rsidRPr="00065C2E" w:rsidRDefault="00AB0007" w:rsidP="001E6A38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065C2E">
              <w:rPr>
                <w:lang w:val="en-US"/>
              </w:rPr>
              <w:t>ECE/TRANS/WP.15/AC.2/5</w:t>
            </w:r>
            <w:r w:rsidR="001E6A38">
              <w:rPr>
                <w:lang w:val="en-US"/>
              </w:rPr>
              <w:t>9</w:t>
            </w:r>
            <w:r w:rsidRPr="00065C2E">
              <w:rPr>
                <w:lang w:val="en-US"/>
              </w:rPr>
              <w:t xml:space="preserve"> (Sekretariat)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065C2E">
              <w:rPr>
                <w:lang w:val="de-DE"/>
              </w:rPr>
              <w:t>Vorläufige Tagesordnung</w:t>
            </w:r>
          </w:p>
        </w:tc>
      </w:tr>
      <w:tr w:rsidR="00AB0007" w:rsidRPr="00D80419" w:rsidTr="003C569F">
        <w:tc>
          <w:tcPr>
            <w:tcW w:w="4676" w:type="dxa"/>
            <w:shd w:val="clear" w:color="auto" w:fill="auto"/>
          </w:tcPr>
          <w:p w:rsidR="00AB0007" w:rsidRPr="00065C2E" w:rsidRDefault="00AB0007" w:rsidP="001E6A38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065C2E">
              <w:rPr>
                <w:lang w:val="en-US"/>
              </w:rPr>
              <w:t>ECE/TRANS/WP.15/AC.2/5</w:t>
            </w:r>
            <w:r w:rsidR="001E6A38">
              <w:rPr>
                <w:lang w:val="en-US"/>
              </w:rPr>
              <w:t>9</w:t>
            </w:r>
            <w:r w:rsidRPr="00065C2E">
              <w:rPr>
                <w:lang w:val="en-US"/>
              </w:rPr>
              <w:t>/Add.1 (Sekretariat)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65C2E">
              <w:rPr>
                <w:lang w:val="de-DE"/>
              </w:rPr>
              <w:t>Liste der Unterlagen gemäß Tagesordnungs</w:t>
            </w:r>
            <w:r w:rsidR="006D0A0B" w:rsidRPr="00065C2E">
              <w:rPr>
                <w:lang w:val="de-DE"/>
              </w:rPr>
              <w:softHyphen/>
            </w:r>
            <w:r w:rsidRPr="00065C2E">
              <w:rPr>
                <w:lang w:val="de-DE"/>
              </w:rPr>
              <w:t>punkten und Anmerkungen</w:t>
            </w:r>
          </w:p>
        </w:tc>
      </w:tr>
      <w:tr w:rsidR="00AB0007" w:rsidRPr="00065C2E" w:rsidTr="003C569F">
        <w:tc>
          <w:tcPr>
            <w:tcW w:w="4676" w:type="dxa"/>
            <w:shd w:val="clear" w:color="auto" w:fill="auto"/>
          </w:tcPr>
          <w:p w:rsidR="00AB0007" w:rsidRPr="00065C2E" w:rsidRDefault="00AB0007" w:rsidP="003C569F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65C2E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B0007" w:rsidRPr="00065C2E" w:rsidTr="003C569F">
        <w:tc>
          <w:tcPr>
            <w:tcW w:w="4676" w:type="dxa"/>
            <w:shd w:val="clear" w:color="auto" w:fill="auto"/>
          </w:tcPr>
          <w:p w:rsidR="00AB0007" w:rsidRPr="00065C2E" w:rsidRDefault="00AB0007" w:rsidP="007B0CA1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065C2E">
              <w:rPr>
                <w:lang w:val="de-DE"/>
              </w:rPr>
              <w:t>ECE/TRANS/243, Teil. I und II</w:t>
            </w:r>
            <w:r w:rsidR="00736231" w:rsidRPr="00065C2E">
              <w:rPr>
                <w:lang w:val="de-DE"/>
              </w:rPr>
              <w:t xml:space="preserve"> und Corr.</w:t>
            </w:r>
            <w:r w:rsidR="007B0CA1" w:rsidRPr="00065C2E">
              <w:rPr>
                <w:lang w:val="de-DE"/>
              </w:rPr>
              <w:t> </w:t>
            </w:r>
            <w:r w:rsidR="00736231" w:rsidRPr="00065C2E">
              <w:rPr>
                <w:lang w:val="de-DE"/>
              </w:rPr>
              <w:t>1-3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6D0A0B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065C2E">
              <w:rPr>
                <w:lang w:val="de-DE"/>
              </w:rPr>
              <w:t>ADN 2015</w:t>
            </w:r>
            <w:r w:rsidR="00736231" w:rsidRPr="00065C2E">
              <w:rPr>
                <w:lang w:val="de-DE"/>
              </w:rPr>
              <w:t xml:space="preserve"> (konsolidierter </w:t>
            </w:r>
            <w:r w:rsidR="006D0A0B" w:rsidRPr="00065C2E">
              <w:rPr>
                <w:lang w:val="de-DE"/>
              </w:rPr>
              <w:t>T</w:t>
            </w:r>
            <w:r w:rsidR="00736231" w:rsidRPr="00065C2E">
              <w:rPr>
                <w:lang w:val="de-DE"/>
              </w:rPr>
              <w:t>ext)</w:t>
            </w:r>
          </w:p>
        </w:tc>
      </w:tr>
      <w:tr w:rsidR="00AB0007" w:rsidRPr="00D80419" w:rsidTr="003C569F">
        <w:tc>
          <w:tcPr>
            <w:tcW w:w="4676" w:type="dxa"/>
            <w:shd w:val="clear" w:color="auto" w:fill="auto"/>
          </w:tcPr>
          <w:p w:rsidR="00AB0007" w:rsidRPr="00065C2E" w:rsidRDefault="00AB0007" w:rsidP="001E6A38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65C2E">
              <w:rPr>
                <w:lang w:val="de-DE"/>
              </w:rPr>
              <w:t>ECE/TRANS/WP.15/AC.2/5</w:t>
            </w:r>
            <w:r w:rsidR="001E6A38">
              <w:rPr>
                <w:lang w:val="de-DE"/>
              </w:rPr>
              <w:t>8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1E6A3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65C2E">
              <w:rPr>
                <w:lang w:val="de-DE"/>
              </w:rPr>
              <w:t xml:space="preserve">Protokoll über die </w:t>
            </w:r>
            <w:r w:rsidR="001E6A38">
              <w:rPr>
                <w:lang w:val="de-DE"/>
              </w:rPr>
              <w:t>acht</w:t>
            </w:r>
            <w:r w:rsidRPr="00065C2E">
              <w:rPr>
                <w:lang w:val="de-DE"/>
              </w:rPr>
              <w:t>undzwanzigste Sitzung des ADN-Sicherheitsausschusses</w:t>
            </w:r>
          </w:p>
        </w:tc>
      </w:tr>
    </w:tbl>
    <w:p w:rsidR="00473CCF" w:rsidRDefault="00736231" w:rsidP="00CA31F7">
      <w:pPr>
        <w:pStyle w:val="H23G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</w:p>
    <w:p w:rsidR="00473CCF" w:rsidRDefault="00473CCF">
      <w:pPr>
        <w:suppressAutoHyphens w:val="0"/>
        <w:spacing w:line="240" w:lineRule="auto"/>
        <w:rPr>
          <w:b/>
          <w:snapToGrid/>
          <w:lang w:val="de-DE" w:eastAsia="en-US"/>
        </w:rPr>
      </w:pPr>
      <w:r>
        <w:rPr>
          <w:snapToGrid/>
          <w:lang w:val="de-DE" w:eastAsia="en-US"/>
        </w:rPr>
        <w:br w:type="page"/>
      </w:r>
    </w:p>
    <w:p w:rsidR="00CA31F7" w:rsidRPr="00065C2E" w:rsidRDefault="00473CCF" w:rsidP="00473CCF">
      <w:pPr>
        <w:pStyle w:val="H23G"/>
        <w:spacing w:line="240" w:lineRule="auto"/>
        <w:rPr>
          <w:snapToGrid/>
          <w:lang w:val="de-DE" w:eastAsia="en-US"/>
        </w:rPr>
      </w:pPr>
      <w:r>
        <w:rPr>
          <w:snapToGrid/>
          <w:lang w:val="de-DE" w:eastAsia="en-US"/>
        </w:rPr>
        <w:lastRenderedPageBreak/>
        <w:tab/>
      </w:r>
      <w:r w:rsidR="001E6A38">
        <w:rPr>
          <w:snapToGrid/>
          <w:lang w:val="de-DE" w:eastAsia="en-US"/>
        </w:rPr>
        <w:t>2</w:t>
      </w:r>
      <w:r w:rsidR="00736231" w:rsidRPr="00065C2E">
        <w:rPr>
          <w:snapToGrid/>
          <w:lang w:val="de-DE" w:eastAsia="en-US"/>
        </w:rPr>
        <w:t>.</w:t>
      </w:r>
      <w:r w:rsidR="00736231" w:rsidRPr="00065C2E">
        <w:rPr>
          <w:snapToGrid/>
          <w:lang w:val="de-DE" w:eastAsia="en-US"/>
        </w:rPr>
        <w:tab/>
      </w:r>
      <w:r w:rsidR="00CA31F7" w:rsidRPr="00065C2E">
        <w:rPr>
          <w:snapToGrid/>
          <w:lang w:val="de-DE" w:eastAsia="en-US"/>
        </w:rPr>
        <w:t>Fragen im Zusammenhang mit den Arbeiten der Organe der Vereinten Nationen oder anderer Organisationen</w:t>
      </w:r>
    </w:p>
    <w:p w:rsidR="00CA31F7" w:rsidRPr="00065C2E" w:rsidRDefault="00CA31F7" w:rsidP="00473CCF">
      <w:pPr>
        <w:spacing w:after="120" w:line="240" w:lineRule="auto"/>
        <w:ind w:left="1134" w:right="1134" w:firstLine="558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:rsidR="00736231" w:rsidRPr="00065C2E" w:rsidRDefault="00A40468" w:rsidP="00473CCF">
      <w:pPr>
        <w:spacing w:after="120" w:line="240" w:lineRule="auto"/>
        <w:ind w:left="1134" w:right="1134" w:firstLine="558"/>
        <w:jc w:val="both"/>
        <w:rPr>
          <w:snapToGrid/>
          <w:lang w:val="de-DE" w:eastAsia="en-US"/>
        </w:rPr>
      </w:pPr>
      <w:r w:rsidRPr="00065C2E">
        <w:rPr>
          <w:snapToGrid/>
          <w:w w:val="103"/>
          <w:lang w:val="de-DE" w:eastAsia="en-US"/>
        </w:rPr>
        <w:t>Der Sicherheitsausschuss wird über die v</w:t>
      </w:r>
      <w:r w:rsidR="00512C4D" w:rsidRPr="00065C2E">
        <w:rPr>
          <w:snapToGrid/>
          <w:w w:val="103"/>
          <w:lang w:val="de-DE" w:eastAsia="en-US"/>
        </w:rPr>
        <w:t>om Sekretariat der UN-ECE durchge</w:t>
      </w:r>
      <w:r w:rsidRPr="00065C2E">
        <w:rPr>
          <w:snapToGrid/>
          <w:w w:val="103"/>
          <w:lang w:val="de-DE" w:eastAsia="en-US"/>
        </w:rPr>
        <w:t>führ</w:t>
      </w:r>
      <w:r w:rsidR="00512C4D" w:rsidRPr="00065C2E">
        <w:rPr>
          <w:snapToGrid/>
          <w:w w:val="103"/>
          <w:lang w:val="de-DE" w:eastAsia="en-US"/>
        </w:rPr>
        <w:t>t</w:t>
      </w:r>
      <w:r w:rsidRPr="00065C2E">
        <w:rPr>
          <w:snapToGrid/>
          <w:w w:val="103"/>
          <w:lang w:val="de-DE" w:eastAsia="en-US"/>
        </w:rPr>
        <w:t>e Bewertung der globalen und regionalen Auswirkungen der UN-ECE-</w:t>
      </w:r>
      <w:r w:rsidR="00512C4D" w:rsidRPr="00065C2E">
        <w:rPr>
          <w:snapToGrid/>
          <w:w w:val="103"/>
          <w:lang w:val="de-DE" w:eastAsia="en-US"/>
        </w:rPr>
        <w:t>Regelungen</w:t>
      </w:r>
      <w:r w:rsidRPr="00065C2E">
        <w:rPr>
          <w:snapToGrid/>
          <w:w w:val="103"/>
          <w:lang w:val="de-DE" w:eastAsia="en-US"/>
        </w:rPr>
        <w:t xml:space="preserve"> und </w:t>
      </w:r>
      <w:r w:rsidR="00512C4D" w:rsidRPr="00065C2E">
        <w:rPr>
          <w:snapToGrid/>
          <w:w w:val="103"/>
          <w:lang w:val="de-DE" w:eastAsia="en-US"/>
        </w:rPr>
        <w:t xml:space="preserve">der </w:t>
      </w:r>
      <w:r w:rsidRPr="00065C2E">
        <w:rPr>
          <w:snapToGrid/>
          <w:w w:val="103"/>
          <w:lang w:val="de-DE" w:eastAsia="en-US"/>
        </w:rPr>
        <w:t xml:space="preserve">UN-Empfehlungen </w:t>
      </w:r>
      <w:r w:rsidR="00512C4D" w:rsidRPr="00065C2E">
        <w:rPr>
          <w:snapToGrid/>
          <w:w w:val="103"/>
          <w:lang w:val="de-DE" w:eastAsia="en-US"/>
        </w:rPr>
        <w:t>für</w:t>
      </w:r>
      <w:r w:rsidRPr="00065C2E">
        <w:rPr>
          <w:snapToGrid/>
          <w:w w:val="103"/>
          <w:lang w:val="de-DE" w:eastAsia="en-US"/>
        </w:rPr>
        <w:t xml:space="preserve"> die Beförderung </w:t>
      </w:r>
      <w:r w:rsidR="00512C4D" w:rsidRPr="00065C2E">
        <w:rPr>
          <w:snapToGrid/>
          <w:w w:val="103"/>
          <w:lang w:val="de-DE" w:eastAsia="en-US"/>
        </w:rPr>
        <w:t>gefährlicher Güter informiert werden.</w:t>
      </w:r>
    </w:p>
    <w:p w:rsidR="00CA31F7" w:rsidRPr="00065C2E" w:rsidRDefault="00736231" w:rsidP="00B90F8E">
      <w:pPr>
        <w:pStyle w:val="H23G"/>
        <w:spacing w:line="240" w:lineRule="auto"/>
        <w:jc w:val="both"/>
        <w:rPr>
          <w:szCs w:val="24"/>
          <w:lang w:val="de-DE"/>
        </w:rPr>
      </w:pPr>
      <w:r w:rsidRPr="00065C2E">
        <w:rPr>
          <w:snapToGrid/>
          <w:lang w:val="de-DE" w:eastAsia="en-US"/>
        </w:rPr>
        <w:tab/>
      </w:r>
      <w:r w:rsidR="00810F3E">
        <w:rPr>
          <w:snapToGrid/>
          <w:lang w:val="de-DE" w:eastAsia="en-US"/>
        </w:rPr>
        <w:t>3</w:t>
      </w:r>
      <w:r w:rsidRPr="00065C2E">
        <w:rPr>
          <w:snapToGrid/>
          <w:lang w:val="de-DE" w:eastAsia="en-US"/>
        </w:rPr>
        <w:t>.</w:t>
      </w:r>
      <w:r w:rsidRPr="00065C2E">
        <w:rPr>
          <w:snapToGrid/>
          <w:lang w:val="de-DE" w:eastAsia="en-US"/>
        </w:rPr>
        <w:tab/>
      </w:r>
      <w:r w:rsidR="00CA31F7" w:rsidRPr="00065C2E">
        <w:rPr>
          <w:szCs w:val="24"/>
          <w:lang w:val="de-DE"/>
        </w:rPr>
        <w:t>Durchführung des Europäischen Übereinkommens über die internationale Beförderung von gefährlichen Gütern auf Binnenwasserstraßen (ADN)</w:t>
      </w:r>
      <w:r w:rsidR="00810F3E">
        <w:rPr>
          <w:szCs w:val="24"/>
          <w:lang w:val="de-DE"/>
        </w:rPr>
        <w:t>:</w:t>
      </w:r>
    </w:p>
    <w:p w:rsidR="00CA31F7" w:rsidRPr="00065C2E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noProof/>
          <w:szCs w:val="24"/>
          <w:lang w:val="de-DE"/>
        </w:rPr>
        <w:t>a)</w:t>
      </w:r>
      <w:r w:rsidRPr="00065C2E">
        <w:rPr>
          <w:szCs w:val="24"/>
          <w:lang w:val="de-DE"/>
        </w:rPr>
        <w:tab/>
        <w:t>Status des ADN</w:t>
      </w:r>
      <w:r w:rsidR="00810F3E">
        <w:rPr>
          <w:szCs w:val="24"/>
          <w:lang w:val="de-DE"/>
        </w:rPr>
        <w:t>;</w:t>
      </w:r>
    </w:p>
    <w:p w:rsidR="00CA31F7" w:rsidRPr="00065C2E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065C2E">
        <w:rPr>
          <w:szCs w:val="24"/>
          <w:lang w:val="de-DE"/>
        </w:rPr>
        <w:tab/>
        <w:t>Der Sicherheitsausschuss wird über den Status des ADN informiert werden.</w:t>
      </w:r>
    </w:p>
    <w:p w:rsidR="00CA31F7" w:rsidRPr="00810F3E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810F3E">
        <w:rPr>
          <w:noProof/>
          <w:szCs w:val="24"/>
          <w:lang w:val="de-DE"/>
        </w:rPr>
        <w:t>b)</w:t>
      </w:r>
      <w:r w:rsidRPr="00810F3E">
        <w:rPr>
          <w:szCs w:val="24"/>
          <w:lang w:val="de-DE"/>
        </w:rPr>
        <w:tab/>
        <w:t>Ausnahmegenehmigungen, Abweichungen und Gleichwertigkeiten</w:t>
      </w:r>
      <w:r w:rsidR="00810F3E" w:rsidRPr="00810F3E">
        <w:rPr>
          <w:szCs w:val="24"/>
          <w:lang w:val="de-DE"/>
        </w:rPr>
        <w:t>;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36231" w:rsidRPr="00D80419" w:rsidTr="00512C4D">
        <w:tc>
          <w:tcPr>
            <w:tcW w:w="4912" w:type="dxa"/>
            <w:shd w:val="clear" w:color="auto" w:fill="auto"/>
          </w:tcPr>
          <w:p w:rsidR="00736231" w:rsidRPr="00BB3CB4" w:rsidRDefault="00BB3CB4" w:rsidP="00473CCF">
            <w:pPr>
              <w:spacing w:before="40" w:after="120" w:line="240" w:lineRule="auto"/>
              <w:ind w:left="1134"/>
              <w:jc w:val="both"/>
              <w:rPr>
                <w:snapToGrid/>
                <w:lang w:val="en-US" w:eastAsia="en-US"/>
              </w:rPr>
            </w:pPr>
            <w:r w:rsidRPr="00BB3CB4">
              <w:rPr>
                <w:snapToGrid/>
                <w:lang w:eastAsia="en-US"/>
              </w:rPr>
              <w:t>ECE/TRANS/WP.15/AC.2/2016/48 (Belg</w:t>
            </w:r>
            <w:r>
              <w:rPr>
                <w:snapToGrid/>
                <w:lang w:eastAsia="en-US"/>
              </w:rPr>
              <w:t>ien</w:t>
            </w:r>
            <w:r w:rsidRPr="00BB3CB4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81523" w:rsidRDefault="00081523" w:rsidP="00B90F8E">
            <w:pPr>
              <w:spacing w:before="40" w:after="120" w:line="240" w:lineRule="auto"/>
              <w:ind w:left="113" w:right="113"/>
              <w:jc w:val="both"/>
              <w:rPr>
                <w:lang w:val="de-DE"/>
              </w:rPr>
            </w:pPr>
            <w:r w:rsidRPr="00081523">
              <w:rPr>
                <w:lang w:val="de-DE"/>
              </w:rPr>
              <w:t>Antrag auf eine befristete Abweichung für das Schubschiff „DONAU“ (06105358) für die Nutzung einer Trockenaerosol erzeugenden Feuerlöschanlage (Fire Pro)</w:t>
            </w:r>
          </w:p>
        </w:tc>
      </w:tr>
    </w:tbl>
    <w:p w:rsidR="00A45C4A" w:rsidRPr="00065C2E" w:rsidRDefault="00A45C4A" w:rsidP="00512C4D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Etwaige</w:t>
      </w:r>
      <w:r w:rsidR="008038B3" w:rsidRPr="00065C2E">
        <w:rPr>
          <w:snapToGrid/>
          <w:lang w:val="de-DE" w:eastAsia="en-US"/>
        </w:rPr>
        <w:t xml:space="preserve"> weitere, nach </w:t>
      </w:r>
      <w:r w:rsidR="006F2310" w:rsidRPr="00065C2E">
        <w:rPr>
          <w:snapToGrid/>
          <w:lang w:val="de-DE" w:eastAsia="en-US"/>
        </w:rPr>
        <w:t>der Verteilung</w:t>
      </w:r>
      <w:r w:rsidR="008038B3" w:rsidRPr="00065C2E">
        <w:rPr>
          <w:snapToGrid/>
          <w:lang w:val="de-DE" w:eastAsia="en-US"/>
        </w:rPr>
        <w:t xml:space="preserve"> der vorläufigen Tagesordnung,</w:t>
      </w:r>
      <w:r w:rsidRPr="00065C2E">
        <w:rPr>
          <w:snapToGrid/>
          <w:lang w:val="de-DE" w:eastAsia="en-US"/>
        </w:rPr>
        <w:t xml:space="preserve"> </w:t>
      </w:r>
      <w:r w:rsidR="008038B3" w:rsidRPr="00065C2E">
        <w:rPr>
          <w:snapToGrid/>
          <w:lang w:val="de-DE" w:eastAsia="en-US"/>
        </w:rPr>
        <w:t xml:space="preserve">im Sekretariat </w:t>
      </w:r>
      <w:r w:rsidRPr="00065C2E">
        <w:rPr>
          <w:snapToGrid/>
          <w:lang w:val="de-DE" w:eastAsia="en-US"/>
        </w:rPr>
        <w:t>eingegangene Vorschläge für Sondergenehmigungen oder Abweichungen werden als informelle Dokumente verteilt werden.</w:t>
      </w:r>
    </w:p>
    <w:p w:rsidR="00736231" w:rsidRPr="00065C2E" w:rsidRDefault="00736231" w:rsidP="00736231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(c)</w:t>
      </w:r>
      <w:r w:rsidRPr="00065C2E">
        <w:rPr>
          <w:snapToGrid/>
          <w:lang w:val="de-DE" w:eastAsia="en-US"/>
        </w:rPr>
        <w:tab/>
      </w:r>
      <w:r w:rsidR="00A45C4A" w:rsidRPr="00065C2E">
        <w:rPr>
          <w:snapToGrid/>
          <w:lang w:val="de-DE" w:eastAsia="en-US"/>
        </w:rPr>
        <w:t>Auslegung der dem ADN beigefügten Verordnung</w:t>
      </w:r>
      <w:r w:rsidR="00810F3E">
        <w:rPr>
          <w:snapToGrid/>
          <w:lang w:val="de-DE" w:eastAsia="en-US"/>
        </w:rPr>
        <w:t>;</w:t>
      </w:r>
    </w:p>
    <w:p w:rsidR="00656ECE" w:rsidRDefault="00736231" w:rsidP="00656ECE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656ECE" w:rsidRPr="00065C2E">
        <w:rPr>
          <w:snapToGrid/>
          <w:lang w:val="de-DE" w:eastAsia="en-US"/>
        </w:rPr>
        <w:t>Der Sicherheitsausschuss ist aufgefordert, über die Auslegung etwaiger mehrdeutig oder unklar empfundener Vorschriften der dem ADN beigefügten Verordnung zu beraten.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476748" w:rsidRPr="00D80419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jc w:val="both"/>
              <w:rPr>
                <w:snapToGrid/>
                <w:lang w:eastAsia="en-US"/>
              </w:rPr>
            </w:pPr>
            <w:r w:rsidRPr="00476748">
              <w:rPr>
                <w:snapToGrid/>
                <w:lang w:eastAsia="en-US"/>
              </w:rPr>
              <w:t>ECE/TRANS/WP.15/AC.2/2016/32 (</w:t>
            </w:r>
            <w:r>
              <w:rPr>
                <w:snapToGrid/>
                <w:lang w:eastAsia="en-US"/>
              </w:rPr>
              <w:t>ZKR</w:t>
            </w:r>
            <w:r w:rsidRPr="00476748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Lenz</w:t>
            </w:r>
            <w:r w:rsidRPr="00476748">
              <w:rPr>
                <w:rFonts w:ascii="inherit" w:hAnsi="inherit" w:cs="Courier New"/>
                <w:snapToGrid/>
                <w:color w:val="212121"/>
                <w:lang w:val="de-DE" w:eastAsia="en-GB"/>
              </w:rPr>
              <w:t>- und Ballasteinrichtungen nach Absatz 9.3.2.35.1 ADN</w:t>
            </w:r>
          </w:p>
        </w:tc>
      </w:tr>
      <w:tr w:rsidR="00476748" w:rsidRPr="00476748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jc w:val="both"/>
              <w:rPr>
                <w:snapToGrid/>
                <w:lang w:eastAsia="en-US"/>
              </w:rPr>
            </w:pPr>
            <w:r w:rsidRPr="00476748">
              <w:rPr>
                <w:snapToGrid/>
                <w:lang w:eastAsia="en-US"/>
              </w:rPr>
              <w:t>ECE/TRANS/WP.15/AC.2/2016/33 (</w:t>
            </w:r>
            <w:r>
              <w:rPr>
                <w:snapToGrid/>
                <w:lang w:eastAsia="en-US"/>
              </w:rPr>
              <w:t>ZKR</w:t>
            </w:r>
            <w:r w:rsidRPr="00476748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Feuerlöscheinrichtungen nach Unterabschnitt 7.2.4.40 ADN</w:t>
            </w:r>
          </w:p>
        </w:tc>
      </w:tr>
      <w:tr w:rsidR="00476748" w:rsidRPr="00D80419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ECE/TRANS/WP.15/AC.2/2016/34 (Deutschland)</w:t>
            </w:r>
          </w:p>
        </w:tc>
        <w:tc>
          <w:tcPr>
            <w:tcW w:w="3829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Absatz 7.2.4.1. ADN, Beförderung von Versandstücke mit Tankschiffen</w:t>
            </w:r>
          </w:p>
        </w:tc>
      </w:tr>
      <w:tr w:rsidR="00476748" w:rsidRPr="00D80419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ECE/TRANS/WP.15/AC.2/2016/35 (Deutschland)</w:t>
            </w:r>
          </w:p>
        </w:tc>
        <w:tc>
          <w:tcPr>
            <w:tcW w:w="3829" w:type="dxa"/>
            <w:shd w:val="clear" w:color="auto" w:fill="auto"/>
          </w:tcPr>
          <w:p w:rsidR="00476748" w:rsidRPr="00473CCF" w:rsidRDefault="00476748" w:rsidP="00473CCF">
            <w:pPr>
              <w:spacing w:before="40"/>
              <w:ind w:left="113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Unterabschnitt 3.2.3.2 ADN, Tabelle C, Spalte (20), UN 3256, UN 3257, UN 1664</w:t>
            </w:r>
          </w:p>
        </w:tc>
      </w:tr>
      <w:tr w:rsidR="00476748" w:rsidRPr="00D80419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ECE/TRANS/WP.15/AC.2/2016/36 (Deutschland)</w:t>
            </w:r>
          </w:p>
        </w:tc>
        <w:tc>
          <w:tcPr>
            <w:tcW w:w="3829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"/>
              <w:jc w:val="both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Unterabschnitt 3.2.3.1 ADN, Erläuterungen zur Tabelle C</w:t>
            </w:r>
          </w:p>
        </w:tc>
      </w:tr>
      <w:tr w:rsidR="00FC2974" w:rsidRPr="00FC2974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ECE/TRANS/WP.15/AC.2/2016/42 (Empfohlene ADN-Klassifikationsgesellschaften)</w:t>
            </w:r>
          </w:p>
        </w:tc>
        <w:tc>
          <w:tcPr>
            <w:tcW w:w="3829" w:type="dxa"/>
            <w:shd w:val="clear" w:color="auto" w:fill="auto"/>
          </w:tcPr>
          <w:p w:rsidR="00476748" w:rsidRPr="00FC2974" w:rsidRDefault="00081523" w:rsidP="00FC2974">
            <w:pPr>
              <w:spacing w:before="40"/>
              <w:ind w:left="113"/>
              <w:jc w:val="both"/>
              <w:rPr>
                <w:snapToGrid/>
                <w:lang w:val="de-DE" w:eastAsia="en-US"/>
              </w:rPr>
            </w:pPr>
            <w:r w:rsidRPr="00FC2974">
              <w:rPr>
                <w:snapToGrid/>
                <w:lang w:val="de-DE" w:eastAsia="en-US"/>
              </w:rPr>
              <w:t>Stoffliste</w:t>
            </w:r>
            <w:r w:rsidR="00476748" w:rsidRPr="00FC2974">
              <w:rPr>
                <w:snapToGrid/>
                <w:lang w:val="de-DE" w:eastAsia="en-US"/>
              </w:rPr>
              <w:t xml:space="preserve"> </w:t>
            </w:r>
            <w:r w:rsidRPr="00FC2974">
              <w:rPr>
                <w:snapToGrid/>
                <w:lang w:val="de-DE" w:eastAsia="en-US"/>
              </w:rPr>
              <w:t>und</w:t>
            </w:r>
            <w:r w:rsidR="00476748" w:rsidRPr="00FC2974">
              <w:rPr>
                <w:snapToGrid/>
                <w:lang w:val="de-DE" w:eastAsia="en-US"/>
              </w:rPr>
              <w:t xml:space="preserve"> Explosion</w:t>
            </w:r>
            <w:r w:rsidRPr="00FC2974">
              <w:rPr>
                <w:snapToGrid/>
                <w:lang w:val="de-DE" w:eastAsia="en-US"/>
              </w:rPr>
              <w:t>sgruppe</w:t>
            </w:r>
            <w:r w:rsidR="00476748" w:rsidRPr="00FC2974">
              <w:rPr>
                <w:snapToGrid/>
                <w:lang w:val="de-DE" w:eastAsia="en-US"/>
              </w:rPr>
              <w:t xml:space="preserve"> IIB</w:t>
            </w:r>
          </w:p>
        </w:tc>
      </w:tr>
      <w:tr w:rsidR="00476748" w:rsidRPr="00476748" w:rsidTr="00E24BF7">
        <w:tc>
          <w:tcPr>
            <w:tcW w:w="4676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4" w:right="140"/>
              <w:rPr>
                <w:snapToGrid/>
                <w:lang w:val="de-DE" w:eastAsia="en-US"/>
              </w:rPr>
            </w:pPr>
            <w:r w:rsidRPr="00476748">
              <w:rPr>
                <w:snapToGrid/>
                <w:lang w:val="de-DE" w:eastAsia="en-US"/>
              </w:rPr>
              <w:t>ECE/TRANS/WP.15/AC.2/2016/47 (Empfohlene ADN-Klassifikationsgesellschaften)</w:t>
            </w:r>
          </w:p>
        </w:tc>
        <w:tc>
          <w:tcPr>
            <w:tcW w:w="3829" w:type="dxa"/>
            <w:shd w:val="clear" w:color="auto" w:fill="auto"/>
          </w:tcPr>
          <w:p w:rsidR="00476748" w:rsidRPr="00476748" w:rsidRDefault="00476748" w:rsidP="00473CCF">
            <w:pPr>
              <w:spacing w:before="40"/>
              <w:ind w:left="113"/>
              <w:jc w:val="both"/>
              <w:rPr>
                <w:snapToGrid/>
                <w:lang w:val="en-US" w:eastAsia="en-US"/>
              </w:rPr>
            </w:pPr>
            <w:r w:rsidRPr="00476748">
              <w:rPr>
                <w:snapToGrid/>
                <w:lang w:val="de-DE" w:eastAsia="en-US"/>
              </w:rPr>
              <w:t>Begriffsbestimmung für „Schleppkahn“ (Barge)</w:t>
            </w:r>
          </w:p>
        </w:tc>
      </w:tr>
    </w:tbl>
    <w:p w:rsidR="00736231" w:rsidRPr="00065C2E" w:rsidRDefault="00736231" w:rsidP="00473CCF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  <w:t>(d)</w:t>
      </w:r>
      <w:r w:rsidRPr="00065C2E">
        <w:rPr>
          <w:snapToGrid/>
          <w:lang w:val="de-DE" w:eastAsia="en-US"/>
        </w:rPr>
        <w:tab/>
      </w:r>
      <w:r w:rsidR="00656ECE" w:rsidRPr="00065C2E">
        <w:rPr>
          <w:snapToGrid/>
          <w:lang w:val="de-DE" w:eastAsia="en-US"/>
        </w:rPr>
        <w:t>Sachkundigenausbildung</w:t>
      </w:r>
      <w:r w:rsidR="00810F3E">
        <w:rPr>
          <w:snapToGrid/>
          <w:lang w:val="de-DE" w:eastAsia="en-US"/>
        </w:rPr>
        <w:t>;</w:t>
      </w:r>
    </w:p>
    <w:p w:rsidR="00736231" w:rsidRPr="00810F3E" w:rsidRDefault="00736231" w:rsidP="00810F3E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810F3E" w:rsidRPr="003F7D28">
        <w:rPr>
          <w:snapToGrid/>
          <w:lang w:val="de-DE" w:eastAsia="en-US"/>
        </w:rPr>
        <w:t>Zum Zeitpunkt der Erstellung de</w:t>
      </w:r>
      <w:r w:rsidR="003F7D28" w:rsidRPr="003F7D28">
        <w:rPr>
          <w:snapToGrid/>
          <w:lang w:val="de-DE" w:eastAsia="en-US"/>
        </w:rPr>
        <w:t>r Tagesordnung wurde z</w:t>
      </w:r>
      <w:r w:rsidR="00810F3E" w:rsidRPr="00810F3E">
        <w:rPr>
          <w:snapToGrid/>
          <w:lang w:val="de-DE" w:eastAsia="en-US"/>
        </w:rPr>
        <w:t xml:space="preserve">u diesem </w:t>
      </w:r>
      <w:r w:rsidR="00810F3E">
        <w:rPr>
          <w:snapToGrid/>
          <w:lang w:val="de-DE" w:eastAsia="en-US"/>
        </w:rPr>
        <w:t>Unter</w:t>
      </w:r>
      <w:r w:rsidR="00810F3E" w:rsidRPr="00810F3E">
        <w:rPr>
          <w:snapToGrid/>
          <w:lang w:val="de-DE" w:eastAsia="en-US"/>
        </w:rPr>
        <w:t>punkt kein Dokument vorgelegt</w:t>
      </w:r>
      <w:r w:rsidR="003F7D28">
        <w:rPr>
          <w:snapToGrid/>
          <w:lang w:val="de-DE" w:eastAsia="en-US"/>
        </w:rPr>
        <w:t>.</w:t>
      </w:r>
    </w:p>
    <w:p w:rsidR="00B90F8E" w:rsidRDefault="00B90F8E">
      <w:pPr>
        <w:suppressAutoHyphens w:val="0"/>
        <w:spacing w:line="240" w:lineRule="auto"/>
        <w:rPr>
          <w:snapToGrid/>
          <w:lang w:val="de-DE" w:eastAsia="en-US"/>
        </w:rPr>
      </w:pPr>
      <w:r>
        <w:rPr>
          <w:snapToGrid/>
          <w:lang w:val="de-DE" w:eastAsia="en-US"/>
        </w:rPr>
        <w:br w:type="page"/>
      </w:r>
    </w:p>
    <w:p w:rsidR="004218B4" w:rsidRPr="00065C2E" w:rsidRDefault="00736231" w:rsidP="00F35C53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lastRenderedPageBreak/>
        <w:tab/>
      </w:r>
      <w:r w:rsidR="00F35C53" w:rsidRPr="00065C2E">
        <w:rPr>
          <w:snapToGrid/>
          <w:lang w:val="de-DE" w:eastAsia="en-US"/>
        </w:rPr>
        <w:t>e)</w:t>
      </w:r>
      <w:r w:rsidRPr="00065C2E">
        <w:rPr>
          <w:snapToGrid/>
          <w:lang w:val="de-DE" w:eastAsia="en-US"/>
        </w:rPr>
        <w:tab/>
      </w:r>
      <w:r w:rsidR="004218B4" w:rsidRPr="00065C2E">
        <w:rPr>
          <w:snapToGrid/>
          <w:lang w:val="de-DE" w:eastAsia="en-US"/>
        </w:rPr>
        <w:t>Fragen im Zusammenhang mit Klassifikationsgesellschaften</w:t>
      </w:r>
    </w:p>
    <w:p w:rsidR="003F7D28" w:rsidRPr="003F7D28" w:rsidRDefault="004218B4" w:rsidP="003F7D28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3F7D28" w:rsidRPr="003F7D28">
        <w:rPr>
          <w:snapToGrid/>
          <w:lang w:val="de-DE" w:eastAsia="en-US"/>
        </w:rPr>
        <w:t>Zum Zeitpunkt der Erstellung der Tagesordnung wurde zu diesem Unterpunkt kein Dokument vorgelegt.</w:t>
      </w:r>
    </w:p>
    <w:p w:rsidR="006F2310" w:rsidRDefault="00736231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tab/>
      </w:r>
      <w:r w:rsidR="003F7D28">
        <w:rPr>
          <w:b/>
          <w:snapToGrid/>
          <w:lang w:val="de-DE" w:eastAsia="en-US"/>
        </w:rPr>
        <w:t>4</w:t>
      </w:r>
      <w:r w:rsidRPr="00065C2E">
        <w:rPr>
          <w:b/>
          <w:snapToGrid/>
          <w:lang w:val="de-DE" w:eastAsia="en-US"/>
        </w:rPr>
        <w:t>.</w:t>
      </w:r>
      <w:r w:rsidRPr="00065C2E">
        <w:rPr>
          <w:b/>
          <w:snapToGrid/>
          <w:lang w:val="de-DE" w:eastAsia="en-US"/>
        </w:rPr>
        <w:tab/>
      </w:r>
      <w:r w:rsidR="006F2310" w:rsidRPr="00065C2E">
        <w:rPr>
          <w:b/>
          <w:snapToGrid/>
          <w:lang w:val="de-DE" w:eastAsia="en-US"/>
        </w:rPr>
        <w:t>Vorschläge für Änderungen der dem ADN beigefügten Verordnung</w:t>
      </w:r>
      <w:r w:rsidR="003F7D28">
        <w:rPr>
          <w:b/>
          <w:snapToGrid/>
          <w:lang w:val="de-DE" w:eastAsia="en-US"/>
        </w:rPr>
        <w:t>: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szCs w:val="24"/>
          <w:lang w:val="de-DE"/>
        </w:rPr>
      </w:pPr>
      <w:r w:rsidRPr="00B34F03">
        <w:rPr>
          <w:noProof/>
          <w:szCs w:val="24"/>
          <w:lang w:val="de-DE"/>
        </w:rPr>
        <w:t>a)</w:t>
      </w:r>
      <w:r w:rsidRPr="00B34F03">
        <w:rPr>
          <w:szCs w:val="24"/>
          <w:lang w:val="de-DE"/>
        </w:rPr>
        <w:tab/>
        <w:t>Arbeiten der Gemeinsamen RID/ADR/ADN-Tagung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szCs w:val="24"/>
          <w:lang w:val="de-DE"/>
        </w:rPr>
      </w:pPr>
      <w:r w:rsidRPr="00B34F03">
        <w:rPr>
          <w:szCs w:val="24"/>
          <w:lang w:val="de-DE"/>
        </w:rPr>
        <w:t xml:space="preserve">Der Sicherheitsausschuss könnte </w:t>
      </w:r>
      <w:r w:rsidR="005C6261">
        <w:rPr>
          <w:szCs w:val="24"/>
          <w:lang w:val="de-DE"/>
        </w:rPr>
        <w:t>sich mit den</w:t>
      </w:r>
      <w:r w:rsidRPr="00B34F03">
        <w:rPr>
          <w:szCs w:val="24"/>
          <w:lang w:val="de-DE"/>
        </w:rPr>
        <w:t xml:space="preserve"> Arbeiten der Gemeinsamen RID/ADR/ADN-Tagung während ihrer Sitzung im Frühjahr </w:t>
      </w:r>
      <w:r>
        <w:rPr>
          <w:szCs w:val="24"/>
          <w:lang w:val="de-DE"/>
        </w:rPr>
        <w:t>2016</w:t>
      </w:r>
      <w:r w:rsidRPr="00B34F03">
        <w:rPr>
          <w:szCs w:val="24"/>
          <w:lang w:val="de-DE"/>
        </w:rPr>
        <w:t xml:space="preserve"> </w:t>
      </w:r>
      <w:r w:rsidR="005C6261">
        <w:rPr>
          <w:szCs w:val="24"/>
          <w:lang w:val="de-DE"/>
        </w:rPr>
        <w:t>befassen</w:t>
      </w:r>
      <w:r w:rsidR="005C6261" w:rsidRPr="00B34F03">
        <w:rPr>
          <w:szCs w:val="24"/>
          <w:lang w:val="de-DE"/>
        </w:rPr>
        <w:t xml:space="preserve"> </w:t>
      </w:r>
      <w:r w:rsidRPr="00B34F03">
        <w:rPr>
          <w:szCs w:val="24"/>
          <w:lang w:val="de-DE"/>
        </w:rPr>
        <w:t>(ECE/TRANS/WP.15/AC.1/1</w:t>
      </w:r>
      <w:r>
        <w:rPr>
          <w:szCs w:val="24"/>
          <w:lang w:val="de-DE"/>
        </w:rPr>
        <w:t>42</w:t>
      </w:r>
      <w:r w:rsidRPr="00B34F03">
        <w:rPr>
          <w:szCs w:val="24"/>
          <w:lang w:val="de-DE"/>
        </w:rPr>
        <w:t xml:space="preserve"> sowie Adds. 1 und 2).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B34F03">
        <w:rPr>
          <w:color w:val="000000"/>
          <w:szCs w:val="24"/>
          <w:lang w:val="de-DE"/>
        </w:rPr>
        <w:t xml:space="preserve">Der Sicherheitsausschuss könnte </w:t>
      </w:r>
      <w:r w:rsidR="009D5869">
        <w:rPr>
          <w:color w:val="000000"/>
          <w:szCs w:val="24"/>
          <w:lang w:val="de-DE"/>
        </w:rPr>
        <w:t xml:space="preserve">sich </w:t>
      </w:r>
      <w:r w:rsidRPr="00B34F03">
        <w:rPr>
          <w:color w:val="000000"/>
          <w:szCs w:val="24"/>
          <w:lang w:val="de-DE"/>
        </w:rPr>
        <w:t xml:space="preserve">ferner </w:t>
      </w:r>
      <w:r w:rsidR="009D5869">
        <w:rPr>
          <w:color w:val="000000"/>
          <w:szCs w:val="24"/>
          <w:lang w:val="de-DE"/>
        </w:rPr>
        <w:t>mit dem</w:t>
      </w:r>
      <w:r w:rsidRPr="00B34F03">
        <w:rPr>
          <w:color w:val="000000"/>
          <w:szCs w:val="24"/>
          <w:lang w:val="de-DE"/>
        </w:rPr>
        <w:t xml:space="preserve"> Protokoll über die </w:t>
      </w:r>
      <w:r>
        <w:rPr>
          <w:color w:val="000000"/>
          <w:szCs w:val="24"/>
          <w:lang w:val="de-DE"/>
        </w:rPr>
        <w:t>hunder</w:t>
      </w:r>
      <w:r w:rsidR="009D5869">
        <w:rPr>
          <w:color w:val="000000"/>
          <w:szCs w:val="24"/>
          <w:lang w:val="de-DE"/>
        </w:rPr>
        <w:t>ts</w:t>
      </w:r>
      <w:r>
        <w:rPr>
          <w:color w:val="000000"/>
          <w:szCs w:val="24"/>
          <w:lang w:val="de-DE"/>
        </w:rPr>
        <w:t>te</w:t>
      </w:r>
      <w:r w:rsidRPr="00B34F03">
        <w:rPr>
          <w:color w:val="000000"/>
          <w:szCs w:val="24"/>
          <w:lang w:val="de-DE"/>
        </w:rPr>
        <w:t xml:space="preserve"> Sitzung der Arbeitsgruppe „Beförderung gefährlicher Güter“ (WP.15) (ECE/TRANS/WP.15/</w:t>
      </w:r>
      <w:r>
        <w:rPr>
          <w:color w:val="000000"/>
          <w:szCs w:val="24"/>
          <w:lang w:val="de-DE"/>
        </w:rPr>
        <w:t>233</w:t>
      </w:r>
      <w:r w:rsidRPr="00B34F03">
        <w:rPr>
          <w:color w:val="000000"/>
          <w:szCs w:val="24"/>
          <w:lang w:val="de-DE"/>
        </w:rPr>
        <w:t xml:space="preserve">) und </w:t>
      </w:r>
      <w:r w:rsidR="009802A7">
        <w:rPr>
          <w:color w:val="000000"/>
          <w:szCs w:val="24"/>
          <w:lang w:val="de-DE"/>
        </w:rPr>
        <w:t>der</w:t>
      </w:r>
      <w:r w:rsidRPr="00B34F03">
        <w:rPr>
          <w:color w:val="000000"/>
          <w:szCs w:val="24"/>
          <w:lang w:val="de-DE"/>
        </w:rPr>
        <w:t xml:space="preserve"> zusätzliche</w:t>
      </w:r>
      <w:r w:rsidR="009802A7">
        <w:rPr>
          <w:color w:val="000000"/>
          <w:szCs w:val="24"/>
          <w:lang w:val="de-DE"/>
        </w:rPr>
        <w:t>n</w:t>
      </w:r>
      <w:r w:rsidRPr="00B34F03">
        <w:rPr>
          <w:color w:val="000000"/>
          <w:szCs w:val="24"/>
          <w:lang w:val="de-DE"/>
        </w:rPr>
        <w:t xml:space="preserve"> Liste </w:t>
      </w:r>
      <w:r w:rsidR="009D5869">
        <w:rPr>
          <w:color w:val="000000"/>
          <w:szCs w:val="24"/>
          <w:lang w:val="de-DE"/>
        </w:rPr>
        <w:t>mit</w:t>
      </w:r>
      <w:r w:rsidR="009D5869" w:rsidRPr="00B34F03">
        <w:rPr>
          <w:color w:val="000000"/>
          <w:szCs w:val="24"/>
          <w:lang w:val="de-DE"/>
        </w:rPr>
        <w:t xml:space="preserve"> </w:t>
      </w:r>
      <w:r w:rsidRPr="00B34F03">
        <w:rPr>
          <w:color w:val="000000"/>
          <w:szCs w:val="24"/>
          <w:lang w:val="de-DE"/>
        </w:rPr>
        <w:t xml:space="preserve">Änderungsvorschlägen zum ADR, die am 1. Januar </w:t>
      </w:r>
      <w:r>
        <w:rPr>
          <w:color w:val="000000"/>
          <w:szCs w:val="24"/>
          <w:lang w:val="de-DE"/>
        </w:rPr>
        <w:t>2017</w:t>
      </w:r>
      <w:r w:rsidRPr="00B34F03">
        <w:rPr>
          <w:color w:val="000000"/>
          <w:szCs w:val="24"/>
          <w:lang w:val="de-DE"/>
        </w:rPr>
        <w:t xml:space="preserve"> in Kraft treten sollen und in den Dokumenten ECE/TRANS/WP.15/</w:t>
      </w:r>
      <w:r>
        <w:rPr>
          <w:color w:val="000000"/>
          <w:szCs w:val="24"/>
          <w:lang w:val="de-DE"/>
        </w:rPr>
        <w:t>231</w:t>
      </w:r>
      <w:r w:rsidRPr="00B34F03">
        <w:rPr>
          <w:color w:val="000000"/>
          <w:szCs w:val="24"/>
          <w:lang w:val="de-DE"/>
        </w:rPr>
        <w:t>/Corr.1 und ECE/TRANS/WP.15/</w:t>
      </w:r>
      <w:r>
        <w:rPr>
          <w:color w:val="000000"/>
          <w:szCs w:val="24"/>
          <w:lang w:val="de-DE"/>
        </w:rPr>
        <w:t>231</w:t>
      </w:r>
      <w:r w:rsidRPr="00B34F03">
        <w:rPr>
          <w:color w:val="000000"/>
          <w:szCs w:val="24"/>
          <w:lang w:val="de-DE"/>
        </w:rPr>
        <w:t xml:space="preserve">/Add.1 wiedergegeben sind, </w:t>
      </w:r>
      <w:r w:rsidR="009D5869">
        <w:rPr>
          <w:color w:val="000000"/>
          <w:szCs w:val="24"/>
          <w:lang w:val="de-DE"/>
        </w:rPr>
        <w:t>befassen</w:t>
      </w:r>
      <w:r w:rsidRPr="00B34F03">
        <w:rPr>
          <w:color w:val="000000"/>
          <w:szCs w:val="24"/>
          <w:lang w:val="de-DE"/>
        </w:rPr>
        <w:t>.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B34F03">
        <w:rPr>
          <w:color w:val="000000"/>
          <w:szCs w:val="24"/>
          <w:lang w:val="de-DE"/>
        </w:rPr>
        <w:t xml:space="preserve">Die für das ADN relevanten Änderungsvorschläge in den oben genannten Dokumenten sind in </w:t>
      </w:r>
      <w:r w:rsidR="009802A7">
        <w:rPr>
          <w:color w:val="000000"/>
          <w:szCs w:val="24"/>
          <w:lang w:val="de-DE"/>
        </w:rPr>
        <w:t xml:space="preserve">den </w:t>
      </w:r>
      <w:r w:rsidRPr="00B34F03">
        <w:rPr>
          <w:color w:val="000000"/>
          <w:szCs w:val="24"/>
          <w:lang w:val="de-DE"/>
        </w:rPr>
        <w:t>Dokument</w:t>
      </w:r>
      <w:r w:rsidR="009802A7">
        <w:rPr>
          <w:color w:val="000000"/>
          <w:szCs w:val="24"/>
          <w:lang w:val="de-DE"/>
        </w:rPr>
        <w:t>en</w:t>
      </w:r>
      <w:r w:rsidRPr="00B34F03">
        <w:rPr>
          <w:color w:val="000000"/>
          <w:szCs w:val="24"/>
          <w:lang w:val="de-DE"/>
        </w:rPr>
        <w:t xml:space="preserve"> ECE/TRANS/WP.15/AC.2/201</w:t>
      </w:r>
      <w:r>
        <w:rPr>
          <w:color w:val="000000"/>
          <w:szCs w:val="24"/>
          <w:lang w:val="de-DE"/>
        </w:rPr>
        <w:t xml:space="preserve">6/28 und </w:t>
      </w:r>
      <w:r w:rsidRPr="006507A8">
        <w:rPr>
          <w:snapToGrid/>
          <w:lang w:val="de-DE" w:eastAsia="en-US"/>
        </w:rPr>
        <w:t>ECE/TRANS/WP.15/AC.2/2016/31</w:t>
      </w:r>
      <w:r w:rsidR="00B90F8E">
        <w:rPr>
          <w:snapToGrid/>
          <w:lang w:val="de-DE" w:eastAsia="en-US"/>
        </w:rPr>
        <w:t xml:space="preserve"> </w:t>
      </w:r>
      <w:r w:rsidRPr="00B34F03">
        <w:rPr>
          <w:color w:val="000000"/>
          <w:szCs w:val="24"/>
          <w:lang w:val="de-DE"/>
        </w:rPr>
        <w:t>aufgeführt.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B34F03">
        <w:rPr>
          <w:color w:val="000000"/>
          <w:szCs w:val="24"/>
          <w:lang w:val="de-DE"/>
        </w:rPr>
        <w:t xml:space="preserve">Der Sicherheitsausschuss könnte auf die konsolidierte Liste der ADN-Änderungen, die am 1. Januar </w:t>
      </w:r>
      <w:r>
        <w:rPr>
          <w:color w:val="000000"/>
          <w:szCs w:val="24"/>
          <w:lang w:val="de-DE"/>
        </w:rPr>
        <w:t>2017</w:t>
      </w:r>
      <w:r w:rsidRPr="00B34F03">
        <w:rPr>
          <w:color w:val="000000"/>
          <w:szCs w:val="24"/>
          <w:lang w:val="de-DE"/>
        </w:rPr>
        <w:t xml:space="preserve"> in Kraft treten sollen (ECE/ADN/</w:t>
      </w:r>
      <w:r>
        <w:rPr>
          <w:color w:val="000000"/>
          <w:szCs w:val="24"/>
          <w:lang w:val="de-DE"/>
        </w:rPr>
        <w:t>36</w:t>
      </w:r>
      <w:r w:rsidRPr="00B34F03">
        <w:rPr>
          <w:color w:val="000000"/>
          <w:szCs w:val="24"/>
          <w:lang w:val="de-DE"/>
        </w:rPr>
        <w:t>), verweisen, die</w:t>
      </w:r>
      <w:r w:rsidR="009802A7">
        <w:rPr>
          <w:color w:val="000000"/>
          <w:szCs w:val="24"/>
          <w:lang w:val="de-DE"/>
        </w:rPr>
        <w:t xml:space="preserve"> </w:t>
      </w:r>
      <w:r w:rsidRPr="00B34F03">
        <w:rPr>
          <w:color w:val="000000"/>
          <w:szCs w:val="24"/>
          <w:lang w:val="de-DE"/>
        </w:rPr>
        <w:t xml:space="preserve">den ADN-Vertragsparteien am 1. Juli </w:t>
      </w:r>
      <w:r>
        <w:rPr>
          <w:color w:val="000000"/>
          <w:szCs w:val="24"/>
          <w:lang w:val="de-DE"/>
        </w:rPr>
        <w:t>2016</w:t>
      </w:r>
      <w:r w:rsidRPr="00B34F03">
        <w:rPr>
          <w:color w:val="000000"/>
          <w:szCs w:val="24"/>
          <w:lang w:val="de-DE"/>
        </w:rPr>
        <w:t xml:space="preserve"> </w:t>
      </w:r>
      <w:r w:rsidR="007E030D">
        <w:rPr>
          <w:color w:val="000000"/>
          <w:szCs w:val="24"/>
          <w:lang w:val="de-DE"/>
        </w:rPr>
        <w:t>mitgeteilt wird</w:t>
      </w:r>
      <w:r w:rsidRPr="00B34F03">
        <w:rPr>
          <w:color w:val="000000"/>
          <w:szCs w:val="24"/>
          <w:lang w:val="de-DE"/>
        </w:rPr>
        <w:t>.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B34F03">
        <w:rPr>
          <w:color w:val="000000"/>
          <w:szCs w:val="24"/>
          <w:lang w:val="de-DE"/>
        </w:rPr>
        <w:t>Etwaige Vorschläge für weitere Änderungen und Korrekturen bezüglich Dokument ECE/ADN/</w:t>
      </w:r>
      <w:r>
        <w:rPr>
          <w:color w:val="000000"/>
          <w:szCs w:val="24"/>
          <w:lang w:val="de-DE"/>
        </w:rPr>
        <w:t>36</w:t>
      </w:r>
      <w:r w:rsidRPr="00B34F03">
        <w:rPr>
          <w:color w:val="000000"/>
          <w:szCs w:val="24"/>
          <w:lang w:val="de-DE"/>
        </w:rPr>
        <w:t>, die sich aus dieser Sitzung ergeben und vom ADN-Verwaltungsausschuss im Hinblick auf ein Inkrafttreten am 1. Januar 201</w:t>
      </w:r>
      <w:r>
        <w:rPr>
          <w:color w:val="000000"/>
          <w:szCs w:val="24"/>
          <w:lang w:val="de-DE"/>
        </w:rPr>
        <w:t>7</w:t>
      </w:r>
      <w:r w:rsidRPr="00B34F03">
        <w:rPr>
          <w:color w:val="000000"/>
          <w:szCs w:val="24"/>
          <w:lang w:val="de-DE"/>
        </w:rPr>
        <w:t xml:space="preserve"> angenommen werden, werden mit den Dokumenten ECE/ADN/</w:t>
      </w:r>
      <w:r>
        <w:rPr>
          <w:color w:val="000000"/>
          <w:szCs w:val="24"/>
          <w:lang w:val="de-DE"/>
        </w:rPr>
        <w:t>36</w:t>
      </w:r>
      <w:r w:rsidRPr="00B34F03">
        <w:rPr>
          <w:color w:val="000000"/>
          <w:szCs w:val="24"/>
          <w:lang w:val="de-DE"/>
        </w:rPr>
        <w:t>/Add.1 und ECE/ADN/</w:t>
      </w:r>
      <w:r>
        <w:rPr>
          <w:color w:val="000000"/>
          <w:szCs w:val="24"/>
          <w:lang w:val="de-DE"/>
        </w:rPr>
        <w:t>36</w:t>
      </w:r>
      <w:r w:rsidRPr="00B34F03">
        <w:rPr>
          <w:color w:val="000000"/>
          <w:szCs w:val="24"/>
          <w:lang w:val="de-DE"/>
        </w:rPr>
        <w:t>/Corr.1 vorgelegt werden.</w:t>
      </w:r>
    </w:p>
    <w:p w:rsidR="00B34F03" w:rsidRPr="00B34F03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B34F03">
        <w:rPr>
          <w:color w:val="000000"/>
          <w:szCs w:val="24"/>
          <w:lang w:val="de-DE"/>
        </w:rPr>
        <w:t xml:space="preserve">Zusätzliche Änderungsvorschläge, die auf eine Anpassung des ADN an andere internationale Übereinkommen über die Beförderung gefährlicher Güter abzielen, müssen den Vertragsparteien gemäß dem Verfahren nach Artikel 20 Absatz 5 Buchstabe a des ADN bis spätestens 1. September </w:t>
      </w:r>
      <w:r>
        <w:rPr>
          <w:color w:val="000000"/>
          <w:szCs w:val="24"/>
          <w:lang w:val="de-DE"/>
        </w:rPr>
        <w:t>2016</w:t>
      </w:r>
      <w:r w:rsidRPr="00B34F03">
        <w:rPr>
          <w:color w:val="000000"/>
          <w:szCs w:val="24"/>
          <w:lang w:val="de-DE"/>
        </w:rPr>
        <w:t xml:space="preserve"> mitgeteilt werden, um sicherzustellen, dass sie am 1. Januar </w:t>
      </w:r>
      <w:r>
        <w:rPr>
          <w:color w:val="000000"/>
          <w:szCs w:val="24"/>
          <w:lang w:val="de-DE"/>
        </w:rPr>
        <w:t>2017</w:t>
      </w:r>
      <w:r w:rsidRPr="00B34F03">
        <w:rPr>
          <w:color w:val="000000"/>
          <w:szCs w:val="24"/>
          <w:lang w:val="de-DE"/>
        </w:rPr>
        <w:t>, d. h. einen Monat nach der Annahme durch die Vertragsparteien, in Kraft treten können.</w:t>
      </w:r>
    </w:p>
    <w:p w:rsidR="00B34F03" w:rsidRPr="00B34F03" w:rsidRDefault="00B34F03" w:rsidP="00B34F03">
      <w:pPr>
        <w:spacing w:after="200" w:line="220" w:lineRule="atLeast"/>
        <w:ind w:left="1134" w:right="1134" w:firstLine="567"/>
        <w:jc w:val="both"/>
        <w:rPr>
          <w:color w:val="000000"/>
          <w:szCs w:val="24"/>
          <w:lang w:val="de-DE"/>
        </w:rPr>
      </w:pPr>
      <w:r w:rsidRPr="00B34F03">
        <w:rPr>
          <w:color w:val="000000"/>
          <w:szCs w:val="24"/>
          <w:lang w:val="de-DE"/>
        </w:rPr>
        <w:t xml:space="preserve">Korrekturvorschläge müssen den Vertragsparteien bis zum 1. Oktober </w:t>
      </w:r>
      <w:r>
        <w:rPr>
          <w:color w:val="000000"/>
          <w:szCs w:val="24"/>
          <w:lang w:val="de-DE"/>
        </w:rPr>
        <w:t>2016</w:t>
      </w:r>
      <w:r w:rsidRPr="00B34F03">
        <w:rPr>
          <w:color w:val="000000"/>
          <w:szCs w:val="24"/>
          <w:lang w:val="de-DE"/>
        </w:rPr>
        <w:t xml:space="preserve"> (dem Tag der Annahme der Änderungen in Dokument ECE/ADN/</w:t>
      </w:r>
      <w:r>
        <w:rPr>
          <w:color w:val="000000"/>
          <w:szCs w:val="24"/>
          <w:lang w:val="de-DE"/>
        </w:rPr>
        <w:t>36</w:t>
      </w:r>
      <w:r w:rsidRPr="00B34F03">
        <w:rPr>
          <w:color w:val="000000"/>
          <w:szCs w:val="24"/>
          <w:lang w:val="de-DE"/>
        </w:rPr>
        <w:t xml:space="preserve">) zur Annahme gemäß der üblichen Vorgehensweise für Korrekturen übermittelt werden, damit sie spätestens am 1. Januar </w:t>
      </w:r>
      <w:r>
        <w:rPr>
          <w:color w:val="000000"/>
          <w:szCs w:val="24"/>
          <w:lang w:val="de-DE"/>
        </w:rPr>
        <w:t>2017</w:t>
      </w:r>
      <w:r w:rsidRPr="00B34F03">
        <w:rPr>
          <w:color w:val="000000"/>
          <w:szCs w:val="24"/>
          <w:lang w:val="de-DE"/>
        </w:rPr>
        <w:t xml:space="preserve"> wirksam werden können.</w:t>
      </w:r>
    </w:p>
    <w:p w:rsidR="006F2310" w:rsidRPr="00065C2E" w:rsidRDefault="008230C7" w:rsidP="00862D3B">
      <w:pPr>
        <w:spacing w:after="120"/>
        <w:ind w:left="2268" w:right="1134" w:hanging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b)</w:t>
      </w:r>
      <w:r w:rsidR="006F2310" w:rsidRPr="00065C2E">
        <w:rPr>
          <w:snapToGrid/>
          <w:lang w:val="de-DE" w:eastAsia="en-US"/>
        </w:rPr>
        <w:tab/>
        <w:t xml:space="preserve">Weitere </w:t>
      </w:r>
      <w:r w:rsidR="003F7D28">
        <w:rPr>
          <w:snapToGrid/>
          <w:lang w:val="de-DE" w:eastAsia="en-US"/>
        </w:rPr>
        <w:t>V</w:t>
      </w:r>
      <w:r w:rsidR="006F2310" w:rsidRPr="00065C2E">
        <w:rPr>
          <w:snapToGrid/>
          <w:lang w:val="de-DE" w:eastAsia="en-US"/>
        </w:rPr>
        <w:t>orschläge</w:t>
      </w:r>
    </w:p>
    <w:p w:rsidR="006F2310" w:rsidRPr="00065C2E" w:rsidRDefault="006F2310" w:rsidP="006F2310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Folgende Änderungsvorschläge wurden eingereicht: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3F7D28" w:rsidRPr="00D80419" w:rsidTr="00E24BF7">
        <w:tc>
          <w:tcPr>
            <w:tcW w:w="4676" w:type="dxa"/>
            <w:shd w:val="clear" w:color="auto" w:fill="auto"/>
          </w:tcPr>
          <w:p w:rsidR="003F7D28" w:rsidRPr="003F7D28" w:rsidRDefault="003F7D28" w:rsidP="003F7D28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3F7D28">
              <w:rPr>
                <w:snapToGrid/>
                <w:lang w:eastAsia="en-US"/>
              </w:rPr>
              <w:t>ECE/TRANS/WP.15/AC.2/2016/29 (</w:t>
            </w:r>
            <w:r>
              <w:rPr>
                <w:snapToGrid/>
                <w:lang w:eastAsia="en-US"/>
              </w:rPr>
              <w:t>ZKR</w:t>
            </w:r>
            <w:r w:rsidRPr="003F7D28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2A4A49" w:rsidP="002A4A49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2A4A49">
              <w:rPr>
                <w:snapToGrid/>
                <w:lang w:val="de-DE" w:eastAsia="en-US"/>
              </w:rPr>
              <w:t>Aktualisierung des Normverweises in Absatz 9.3.3.21.5 c)</w:t>
            </w:r>
          </w:p>
        </w:tc>
      </w:tr>
      <w:tr w:rsidR="003F7D28" w:rsidRPr="00D80419" w:rsidTr="00E24BF7">
        <w:tc>
          <w:tcPr>
            <w:tcW w:w="4676" w:type="dxa"/>
            <w:shd w:val="clear" w:color="auto" w:fill="auto"/>
          </w:tcPr>
          <w:p w:rsidR="003F7D28" w:rsidRPr="003F7D28" w:rsidRDefault="003F7D28" w:rsidP="003F7D28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t>ECE/TRANS/WP.15/AC.2/2016/37 (Deutschland)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2A4A49" w:rsidP="002A4A49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2A4A49">
              <w:rPr>
                <w:snapToGrid/>
                <w:lang w:val="de-DE" w:eastAsia="en-US"/>
              </w:rPr>
              <w:t>Tabellen A und C, Benennung und Beschreibung von</w:t>
            </w:r>
            <w:r>
              <w:rPr>
                <w:snapToGrid/>
                <w:lang w:val="de-DE" w:eastAsia="en-US"/>
              </w:rPr>
              <w:t xml:space="preserve"> </w:t>
            </w:r>
            <w:r w:rsidRPr="002A4A49">
              <w:rPr>
                <w:snapToGrid/>
                <w:lang w:val="de-DE" w:eastAsia="en-US"/>
              </w:rPr>
              <w:t>UN-Nummer 3264</w:t>
            </w:r>
          </w:p>
        </w:tc>
      </w:tr>
      <w:tr w:rsidR="003F7D28" w:rsidRPr="003F7D28" w:rsidTr="00E24BF7">
        <w:tc>
          <w:tcPr>
            <w:tcW w:w="4676" w:type="dxa"/>
            <w:shd w:val="clear" w:color="auto" w:fill="auto"/>
          </w:tcPr>
          <w:p w:rsidR="003F7D28" w:rsidRPr="003F7D28" w:rsidRDefault="003F7D28" w:rsidP="00DB079E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t>ECE/TRANS/WP.15/AC.2/2016/38 (</w:t>
            </w:r>
            <w:r w:rsidR="00DB079E" w:rsidRPr="00DB079E">
              <w:rPr>
                <w:snapToGrid/>
                <w:lang w:val="de-DE" w:eastAsia="en-US"/>
              </w:rPr>
              <w:t>EBU</w:t>
            </w:r>
            <w:r w:rsidRPr="003F7D28">
              <w:rPr>
                <w:snapToGrid/>
                <w:lang w:val="de-DE" w:eastAsia="en-US"/>
              </w:rPr>
              <w:t xml:space="preserve">, ERSTU </w:t>
            </w:r>
            <w:r w:rsidR="00DB079E" w:rsidRPr="00DB079E">
              <w:rPr>
                <w:snapToGrid/>
                <w:lang w:val="de-DE" w:eastAsia="en-US"/>
              </w:rPr>
              <w:t>und ESO</w:t>
            </w:r>
            <w:r w:rsidRPr="003F7D28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DB079E" w:rsidP="00DB079E">
            <w:pPr>
              <w:spacing w:before="40" w:after="120"/>
              <w:ind w:left="113"/>
              <w:jc w:val="both"/>
              <w:rPr>
                <w:snapToGrid/>
                <w:lang w:eastAsia="en-US"/>
              </w:rPr>
            </w:pPr>
            <w:r w:rsidRPr="00DB079E">
              <w:rPr>
                <w:snapToGrid/>
                <w:lang w:val="de-DE" w:eastAsia="en-US"/>
              </w:rPr>
              <w:t>Autonome Schutzsysteme ohne Kennzeichnung</w:t>
            </w:r>
          </w:p>
        </w:tc>
      </w:tr>
      <w:tr w:rsidR="003F7D28" w:rsidRPr="00D80419" w:rsidTr="00E24BF7">
        <w:tc>
          <w:tcPr>
            <w:tcW w:w="4676" w:type="dxa"/>
            <w:shd w:val="clear" w:color="auto" w:fill="auto"/>
          </w:tcPr>
          <w:p w:rsidR="003F7D28" w:rsidRPr="003F7D28" w:rsidRDefault="003F7D28" w:rsidP="003F7D28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t xml:space="preserve">ECE/TRANS/WP.15/AC.2/2016/39 </w:t>
            </w:r>
            <w:r w:rsidR="00DB079E" w:rsidRPr="00DB079E">
              <w:rPr>
                <w:snapToGrid/>
                <w:lang w:val="de-DE" w:eastAsia="en-US"/>
              </w:rPr>
              <w:t>(EBU, ERSTU und ESO)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DB079E" w:rsidP="00DB079E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DB079E">
              <w:rPr>
                <w:snapToGrid/>
                <w:lang w:val="de-DE" w:eastAsia="en-US"/>
              </w:rPr>
              <w:t>Änderung und Erläuterung zu 7.1.4.1.1 und 7.1.4.1.2</w:t>
            </w:r>
          </w:p>
        </w:tc>
      </w:tr>
      <w:tr w:rsidR="003F7D28" w:rsidRPr="00D80419" w:rsidTr="00E24BF7">
        <w:tc>
          <w:tcPr>
            <w:tcW w:w="4676" w:type="dxa"/>
            <w:shd w:val="clear" w:color="auto" w:fill="auto"/>
          </w:tcPr>
          <w:p w:rsidR="003F7D28" w:rsidRPr="003F7D28" w:rsidRDefault="003F7D28" w:rsidP="003F7D28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lastRenderedPageBreak/>
              <w:t xml:space="preserve">ECE/TRANS/WP.15/AC.2/2016/40 </w:t>
            </w:r>
            <w:r w:rsidR="00DB079E" w:rsidRPr="00DB079E">
              <w:rPr>
                <w:snapToGrid/>
                <w:lang w:val="de-DE" w:eastAsia="en-US"/>
              </w:rPr>
              <w:t>(EBU, ERSTU und ESO)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DB079E" w:rsidP="00DB079E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DB079E">
              <w:rPr>
                <w:snapToGrid/>
                <w:lang w:val="de-DE" w:eastAsia="en-US"/>
              </w:rPr>
              <w:t>Erstellung von Stabilitätshandbüchern und Stabilitätsprogrammen</w:t>
            </w:r>
          </w:p>
        </w:tc>
      </w:tr>
      <w:tr w:rsidR="003F7D28" w:rsidRPr="003F7D28" w:rsidTr="00E24BF7">
        <w:tc>
          <w:tcPr>
            <w:tcW w:w="4676" w:type="dxa"/>
            <w:shd w:val="clear" w:color="auto" w:fill="auto"/>
          </w:tcPr>
          <w:p w:rsidR="003F7D28" w:rsidRPr="003F7D28" w:rsidRDefault="003F7D28" w:rsidP="003F7D28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t xml:space="preserve">ECE/TRANS/WP.15/AC.2/2016/41 </w:t>
            </w:r>
            <w:r w:rsidR="00DB079E" w:rsidRPr="00DB079E">
              <w:rPr>
                <w:snapToGrid/>
                <w:lang w:val="de-DE" w:eastAsia="en-US"/>
              </w:rPr>
              <w:t>(EBU, ERSTU und ESO)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DB079E" w:rsidP="003F7D28">
            <w:pPr>
              <w:spacing w:before="40" w:after="120"/>
              <w:ind w:left="113"/>
              <w:jc w:val="both"/>
              <w:rPr>
                <w:snapToGrid/>
                <w:lang w:eastAsia="en-US"/>
              </w:rPr>
            </w:pPr>
            <w:r w:rsidRPr="00DB079E">
              <w:rPr>
                <w:snapToGrid/>
                <w:lang w:eastAsia="en-US"/>
              </w:rPr>
              <w:t>Bauwerkstoffe</w:t>
            </w:r>
          </w:p>
        </w:tc>
      </w:tr>
      <w:tr w:rsidR="003F7D28" w:rsidRPr="00D80419" w:rsidTr="00E24BF7">
        <w:tc>
          <w:tcPr>
            <w:tcW w:w="4676" w:type="dxa"/>
            <w:shd w:val="clear" w:color="auto" w:fill="auto"/>
          </w:tcPr>
          <w:p w:rsidR="003F7D28" w:rsidRPr="003F7D28" w:rsidRDefault="003F7D28" w:rsidP="004F4CE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t xml:space="preserve">ECE/TRANS/WP.15/AC.2/2016/43 </w:t>
            </w:r>
            <w:r w:rsidR="004F4CEA" w:rsidRPr="004F4CEA">
              <w:rPr>
                <w:snapToGrid/>
                <w:lang w:val="de-DE" w:eastAsia="en-US"/>
              </w:rPr>
              <w:t>(Empfohlene ADN-Klassifikationsgesellschaften)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4F4CEA" w:rsidP="003F7D28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4F4CEA">
              <w:rPr>
                <w:snapToGrid/>
                <w:lang w:val="de-DE" w:eastAsia="en-US"/>
              </w:rPr>
              <w:t>Dusche und Augen- und Gesichtsbad</w:t>
            </w:r>
          </w:p>
        </w:tc>
      </w:tr>
      <w:tr w:rsidR="003F7D28" w:rsidRPr="00D80419" w:rsidTr="00E24BF7">
        <w:tc>
          <w:tcPr>
            <w:tcW w:w="4676" w:type="dxa"/>
            <w:shd w:val="clear" w:color="auto" w:fill="auto"/>
          </w:tcPr>
          <w:p w:rsidR="003F7D28" w:rsidRPr="003F7D28" w:rsidRDefault="003F7D28" w:rsidP="004F4CEA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3F7D28">
              <w:rPr>
                <w:snapToGrid/>
                <w:lang w:val="de-DE" w:eastAsia="en-US"/>
              </w:rPr>
              <w:t>ECE/TRANS/WP.15/AC.2/2016/44 (</w:t>
            </w:r>
            <w:r w:rsidR="004F4CEA" w:rsidRPr="004F4CEA">
              <w:rPr>
                <w:snapToGrid/>
                <w:lang w:val="de-DE" w:eastAsia="en-US"/>
              </w:rPr>
              <w:t>Niederlande und Frankreich</w:t>
            </w:r>
            <w:r w:rsidRPr="003F7D28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4F4CEA" w:rsidP="004F4CEA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4F4CEA">
              <w:rPr>
                <w:snapToGrid/>
                <w:lang w:val="de-DE" w:eastAsia="en-US"/>
              </w:rPr>
              <w:t>Vorschlag zur Änderung des Abschnitts 7.2.4.25.5</w:t>
            </w:r>
          </w:p>
        </w:tc>
      </w:tr>
      <w:tr w:rsidR="003F7D28" w:rsidRPr="003F7D28" w:rsidTr="00E24BF7">
        <w:tc>
          <w:tcPr>
            <w:tcW w:w="4676" w:type="dxa"/>
            <w:shd w:val="clear" w:color="auto" w:fill="auto"/>
          </w:tcPr>
          <w:p w:rsidR="003F7D28" w:rsidRPr="003F7D28" w:rsidRDefault="003F7D28" w:rsidP="004F4CEA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3F7D28">
              <w:rPr>
                <w:snapToGrid/>
                <w:lang w:eastAsia="en-US"/>
              </w:rPr>
              <w:t>ECE/TRANS/WP.15/AC.2/2016/45 (</w:t>
            </w:r>
            <w:r w:rsidR="004F4CEA">
              <w:rPr>
                <w:snapToGrid/>
                <w:lang w:eastAsia="en-US"/>
              </w:rPr>
              <w:t>Niederlande</w:t>
            </w:r>
            <w:r w:rsidRPr="003F7D28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3F7D28" w:rsidRPr="003F7D28" w:rsidRDefault="004F4CEA" w:rsidP="003F7D28">
            <w:pPr>
              <w:spacing w:before="40" w:after="120"/>
              <w:ind w:left="113"/>
              <w:jc w:val="both"/>
              <w:rPr>
                <w:snapToGrid/>
                <w:lang w:eastAsia="en-US"/>
              </w:rPr>
            </w:pPr>
            <w:r>
              <w:rPr>
                <w:snapToGrid/>
                <w:lang w:eastAsia="en-US"/>
              </w:rPr>
              <w:t>Auffangwannen</w:t>
            </w:r>
          </w:p>
        </w:tc>
      </w:tr>
    </w:tbl>
    <w:p w:rsidR="003F7D28" w:rsidRDefault="003F7D28" w:rsidP="0065771A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</w:p>
    <w:p w:rsidR="00736231" w:rsidRDefault="00736231" w:rsidP="0065771A">
      <w:pPr>
        <w:keepNext/>
        <w:keepLines/>
        <w:tabs>
          <w:tab w:val="right" w:pos="851"/>
        </w:tabs>
        <w:spacing w:before="120" w:after="100" w:line="240" w:lineRule="exact"/>
        <w:ind w:right="1134"/>
        <w:rPr>
          <w:b/>
          <w:snapToGrid/>
          <w:lang w:val="de-DE" w:eastAsia="en-US"/>
        </w:rPr>
      </w:pPr>
      <w:r w:rsidRPr="00065C2E">
        <w:rPr>
          <w:b/>
          <w:snapToGrid/>
          <w:lang w:eastAsia="en-US"/>
        </w:rPr>
        <w:tab/>
      </w:r>
      <w:r w:rsidR="000F36AC">
        <w:rPr>
          <w:b/>
          <w:snapToGrid/>
          <w:lang w:eastAsia="en-US"/>
        </w:rPr>
        <w:t>5</w:t>
      </w:r>
      <w:r w:rsidRPr="00065C2E">
        <w:rPr>
          <w:b/>
          <w:snapToGrid/>
          <w:lang w:eastAsia="en-US"/>
        </w:rPr>
        <w:t>.</w:t>
      </w:r>
      <w:r w:rsidRPr="00065C2E">
        <w:rPr>
          <w:b/>
          <w:snapToGrid/>
          <w:lang w:eastAsia="en-US"/>
        </w:rPr>
        <w:tab/>
      </w:r>
      <w:r w:rsidR="006F2310" w:rsidRPr="00065C2E">
        <w:rPr>
          <w:b/>
          <w:snapToGrid/>
          <w:lang w:val="de-DE" w:eastAsia="en-US"/>
        </w:rPr>
        <w:t>Berichte informeller Arbeitsgruppen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F36AC" w:rsidRPr="00D80419" w:rsidTr="00E24BF7">
        <w:tc>
          <w:tcPr>
            <w:tcW w:w="4676" w:type="dxa"/>
            <w:shd w:val="clear" w:color="auto" w:fill="auto"/>
          </w:tcPr>
          <w:p w:rsidR="000F36AC" w:rsidRPr="000F36AC" w:rsidRDefault="000F36AC" w:rsidP="000F36AC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0F36AC">
              <w:rPr>
                <w:snapToGrid/>
                <w:lang w:eastAsia="en-US"/>
              </w:rPr>
              <w:t>ECE/TRANS/WP.15/AC.2/2016/30 (</w:t>
            </w:r>
            <w:r>
              <w:rPr>
                <w:snapToGrid/>
                <w:lang w:eastAsia="en-US"/>
              </w:rPr>
              <w:t>ZKR</w:t>
            </w:r>
            <w:r w:rsidRPr="000F36AC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F36AC" w:rsidRPr="000F36AC" w:rsidRDefault="004876BD" w:rsidP="004876BD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4876BD">
              <w:rPr>
                <w:snapToGrid/>
                <w:lang w:val="de-DE" w:eastAsia="en-US"/>
              </w:rPr>
              <w:t>Vorschlag für die Implementierung des modifizierten Explosionsschutzkonzeptes auf Binnenschiffen</w:t>
            </w:r>
          </w:p>
        </w:tc>
      </w:tr>
      <w:tr w:rsidR="000F36AC" w:rsidRPr="00D80419" w:rsidTr="00E24BF7">
        <w:tc>
          <w:tcPr>
            <w:tcW w:w="4676" w:type="dxa"/>
            <w:shd w:val="clear" w:color="auto" w:fill="auto"/>
          </w:tcPr>
          <w:p w:rsidR="000F36AC" w:rsidRPr="000F36AC" w:rsidRDefault="000F36AC" w:rsidP="000F36AC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0F36AC">
              <w:rPr>
                <w:snapToGrid/>
                <w:lang w:val="de-DE" w:eastAsia="en-US"/>
              </w:rPr>
              <w:t>ECE/TRANS/WP.15/AC.2/2016/46 (Niederlande und Schweiz)</w:t>
            </w:r>
          </w:p>
        </w:tc>
        <w:tc>
          <w:tcPr>
            <w:tcW w:w="3829" w:type="dxa"/>
            <w:shd w:val="clear" w:color="auto" w:fill="auto"/>
          </w:tcPr>
          <w:p w:rsidR="000F36AC" w:rsidRPr="000F36AC" w:rsidRDefault="004876BD" w:rsidP="004876BD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D15BD4">
              <w:rPr>
                <w:snapToGrid/>
                <w:lang w:val="de-DE" w:eastAsia="en-US"/>
              </w:rPr>
              <w:t>Bericht der informellen Arbeitsgruppe „LNG“</w:t>
            </w:r>
          </w:p>
        </w:tc>
      </w:tr>
      <w:tr w:rsidR="000F36AC" w:rsidRPr="00D80419" w:rsidTr="00E24BF7">
        <w:tc>
          <w:tcPr>
            <w:tcW w:w="4676" w:type="dxa"/>
            <w:shd w:val="clear" w:color="auto" w:fill="auto"/>
          </w:tcPr>
          <w:p w:rsidR="000F36AC" w:rsidRPr="000F36AC" w:rsidRDefault="000F36AC" w:rsidP="000F36AC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0F36AC">
              <w:rPr>
                <w:snapToGrid/>
                <w:lang w:eastAsia="en-US"/>
              </w:rPr>
              <w:t>ECE/TRANS/WP.15/AC.2/2016/49 (N</w:t>
            </w:r>
            <w:r>
              <w:rPr>
                <w:snapToGrid/>
                <w:lang w:eastAsia="en-US"/>
              </w:rPr>
              <w:t>iederlande</w:t>
            </w:r>
            <w:r w:rsidRPr="000F36AC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F36AC" w:rsidRPr="000F36AC" w:rsidRDefault="004876BD" w:rsidP="004876BD">
            <w:pPr>
              <w:spacing w:before="40" w:after="120"/>
              <w:ind w:left="113"/>
              <w:jc w:val="both"/>
              <w:rPr>
                <w:snapToGrid/>
                <w:lang w:val="de-DE" w:eastAsia="en-US"/>
              </w:rPr>
            </w:pPr>
            <w:r w:rsidRPr="004876BD">
              <w:rPr>
                <w:snapToGrid/>
                <w:lang w:val="de-DE" w:eastAsia="en-US"/>
              </w:rPr>
              <w:t>Bericht über die Sitzung der informellen Arbeitsgruppe „Entgasen von Ladetanks“</w:t>
            </w:r>
          </w:p>
        </w:tc>
      </w:tr>
    </w:tbl>
    <w:p w:rsidR="006F2310" w:rsidRPr="00065C2E" w:rsidRDefault="006F2310" w:rsidP="00623192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Berichte informeller Arbeitsgruppen, die nach der Verteilung dieser erläuterten Tagesordnung eingehen, werden als informelle Dokumente vorgelegt.</w:t>
      </w:r>
    </w:p>
    <w:p w:rsidR="00736231" w:rsidRPr="00065C2E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tab/>
      </w:r>
      <w:r w:rsidR="004876BD">
        <w:rPr>
          <w:b/>
          <w:snapToGrid/>
          <w:lang w:val="de-DE" w:eastAsia="en-US"/>
        </w:rPr>
        <w:t>6</w:t>
      </w:r>
      <w:r w:rsidRPr="00065C2E">
        <w:rPr>
          <w:b/>
          <w:snapToGrid/>
          <w:lang w:val="de-DE" w:eastAsia="en-US"/>
        </w:rPr>
        <w:t>.</w:t>
      </w:r>
      <w:r w:rsidRPr="00065C2E">
        <w:rPr>
          <w:b/>
          <w:snapToGrid/>
          <w:lang w:val="de-DE" w:eastAsia="en-US"/>
        </w:rPr>
        <w:tab/>
      </w:r>
      <w:r w:rsidR="00D314AB" w:rsidRPr="00065C2E">
        <w:rPr>
          <w:b/>
          <w:snapToGrid/>
          <w:lang w:val="de-DE" w:eastAsia="en-US"/>
        </w:rPr>
        <w:t>Arbeitsprogramm und Sitzungsplan</w:t>
      </w:r>
    </w:p>
    <w:p w:rsidR="00D314AB" w:rsidRPr="00065C2E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  <w:t>Die s</w:t>
      </w:r>
      <w:r w:rsidR="004876BD">
        <w:rPr>
          <w:snapToGrid/>
          <w:lang w:val="de-DE" w:eastAsia="en-US"/>
        </w:rPr>
        <w:t>ieb</w:t>
      </w:r>
      <w:r w:rsidRPr="00065C2E">
        <w:rPr>
          <w:snapToGrid/>
          <w:lang w:val="de-DE" w:eastAsia="en-US"/>
        </w:rPr>
        <w:t>zehnte Sitzung des ADN-Verwaltungsausschusses findet am 2</w:t>
      </w:r>
      <w:r w:rsidR="004876BD">
        <w:rPr>
          <w:snapToGrid/>
          <w:lang w:val="de-DE" w:eastAsia="en-US"/>
        </w:rPr>
        <w:t>6</w:t>
      </w:r>
      <w:r w:rsidRPr="00065C2E">
        <w:rPr>
          <w:snapToGrid/>
          <w:lang w:val="de-DE" w:eastAsia="en-US"/>
        </w:rPr>
        <w:t>. </w:t>
      </w:r>
      <w:r w:rsidR="004876BD">
        <w:rPr>
          <w:snapToGrid/>
          <w:lang w:val="de-DE" w:eastAsia="en-US"/>
        </w:rPr>
        <w:t>August</w:t>
      </w:r>
      <w:r w:rsidRPr="00065C2E">
        <w:rPr>
          <w:snapToGrid/>
          <w:lang w:val="de-DE" w:eastAsia="en-US"/>
        </w:rPr>
        <w:t xml:space="preserve"> 2016 ab 12.00 Uhr statt. Die </w:t>
      </w:r>
      <w:r w:rsidR="004876BD">
        <w:rPr>
          <w:snapToGrid/>
          <w:lang w:val="de-DE" w:eastAsia="en-US"/>
        </w:rPr>
        <w:t>dreizig</w:t>
      </w:r>
      <w:r w:rsidRPr="00065C2E">
        <w:rPr>
          <w:snapToGrid/>
          <w:lang w:val="de-DE" w:eastAsia="en-US"/>
        </w:rPr>
        <w:t>ste Sitzung des ADN-Sicherheitsausschusses findet voraussichtlich vom 2</w:t>
      </w:r>
      <w:r w:rsidR="004876BD">
        <w:rPr>
          <w:snapToGrid/>
          <w:lang w:val="de-DE" w:eastAsia="en-US"/>
        </w:rPr>
        <w:t>3</w:t>
      </w:r>
      <w:r w:rsidRPr="00065C2E">
        <w:rPr>
          <w:snapToGrid/>
          <w:lang w:val="de-DE" w:eastAsia="en-US"/>
        </w:rPr>
        <w:t>. bis 2</w:t>
      </w:r>
      <w:r w:rsidR="00D80419">
        <w:rPr>
          <w:snapToGrid/>
          <w:lang w:val="de-DE" w:eastAsia="en-US"/>
        </w:rPr>
        <w:t>6</w:t>
      </w:r>
      <w:r w:rsidRPr="00065C2E">
        <w:rPr>
          <w:snapToGrid/>
          <w:lang w:val="de-DE" w:eastAsia="en-US"/>
        </w:rPr>
        <w:t xml:space="preserve">. </w:t>
      </w:r>
      <w:r w:rsidR="004876BD">
        <w:rPr>
          <w:snapToGrid/>
          <w:lang w:val="de-DE" w:eastAsia="en-US"/>
        </w:rPr>
        <w:t>Januar</w:t>
      </w:r>
      <w:r w:rsidRPr="00065C2E">
        <w:rPr>
          <w:snapToGrid/>
          <w:lang w:val="de-DE" w:eastAsia="en-US"/>
        </w:rPr>
        <w:t xml:space="preserve"> 201</w:t>
      </w:r>
      <w:r w:rsidR="004876BD">
        <w:rPr>
          <w:snapToGrid/>
          <w:lang w:val="de-DE" w:eastAsia="en-US"/>
        </w:rPr>
        <w:t>7</w:t>
      </w:r>
      <w:r w:rsidRPr="00065C2E">
        <w:rPr>
          <w:snapToGrid/>
          <w:lang w:val="de-DE" w:eastAsia="en-US"/>
        </w:rPr>
        <w:t xml:space="preserve"> in Genf statt. Die </w:t>
      </w:r>
      <w:r w:rsidR="004876BD">
        <w:rPr>
          <w:snapToGrid/>
          <w:lang w:val="de-DE" w:eastAsia="en-US"/>
        </w:rPr>
        <w:t>acht</w:t>
      </w:r>
      <w:r w:rsidRPr="00065C2E">
        <w:rPr>
          <w:snapToGrid/>
          <w:lang w:val="de-DE" w:eastAsia="en-US"/>
        </w:rPr>
        <w:t>zehnte Sitzung des ADN-Verwaltungsausschusses ist für den 2</w:t>
      </w:r>
      <w:r w:rsidR="00B525B2">
        <w:rPr>
          <w:snapToGrid/>
          <w:lang w:val="de-DE" w:eastAsia="en-US"/>
        </w:rPr>
        <w:t>7</w:t>
      </w:r>
      <w:r w:rsidRPr="00065C2E">
        <w:rPr>
          <w:snapToGrid/>
          <w:lang w:val="de-DE" w:eastAsia="en-US"/>
        </w:rPr>
        <w:t xml:space="preserve">. </w:t>
      </w:r>
      <w:r w:rsidR="00D15BD4">
        <w:rPr>
          <w:snapToGrid/>
          <w:lang w:val="de-DE" w:eastAsia="en-US"/>
        </w:rPr>
        <w:t>Januar</w:t>
      </w:r>
      <w:r w:rsidRPr="00065C2E">
        <w:rPr>
          <w:snapToGrid/>
          <w:lang w:val="de-DE" w:eastAsia="en-US"/>
        </w:rPr>
        <w:t xml:space="preserve"> 201</w:t>
      </w:r>
      <w:r w:rsidR="00D15BD4">
        <w:rPr>
          <w:snapToGrid/>
          <w:lang w:val="de-DE" w:eastAsia="en-US"/>
        </w:rPr>
        <w:t>7</w:t>
      </w:r>
      <w:r w:rsidRPr="00065C2E">
        <w:rPr>
          <w:snapToGrid/>
          <w:lang w:val="de-DE" w:eastAsia="en-US"/>
        </w:rPr>
        <w:t xml:space="preserve"> anberaumt. Letzter Termin für die Einreichung von Dokumenten für diese Sitzungen ist der 2</w:t>
      </w:r>
      <w:r w:rsidR="00D15BD4">
        <w:rPr>
          <w:snapToGrid/>
          <w:lang w:val="de-DE" w:eastAsia="en-US"/>
        </w:rPr>
        <w:t>8</w:t>
      </w:r>
      <w:r w:rsidRPr="00065C2E">
        <w:rPr>
          <w:snapToGrid/>
          <w:lang w:val="de-DE" w:eastAsia="en-US"/>
        </w:rPr>
        <w:t xml:space="preserve">. </w:t>
      </w:r>
      <w:r w:rsidR="00D15BD4">
        <w:rPr>
          <w:snapToGrid/>
          <w:lang w:val="de-DE" w:eastAsia="en-US"/>
        </w:rPr>
        <w:t>Oktober</w:t>
      </w:r>
      <w:r w:rsidRPr="00065C2E">
        <w:rPr>
          <w:snapToGrid/>
          <w:lang w:val="de-DE" w:eastAsia="en-US"/>
        </w:rPr>
        <w:t xml:space="preserve"> 2016.</w:t>
      </w:r>
    </w:p>
    <w:p w:rsidR="00736231" w:rsidRPr="00065C2E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tab/>
      </w:r>
      <w:r w:rsidR="00D15BD4">
        <w:rPr>
          <w:b/>
          <w:snapToGrid/>
          <w:lang w:val="de-DE" w:eastAsia="en-US"/>
        </w:rPr>
        <w:t>7</w:t>
      </w:r>
      <w:r w:rsidRPr="00065C2E">
        <w:rPr>
          <w:b/>
          <w:snapToGrid/>
          <w:lang w:val="de-DE" w:eastAsia="en-US"/>
        </w:rPr>
        <w:t>.</w:t>
      </w:r>
      <w:r w:rsidRPr="00065C2E">
        <w:rPr>
          <w:b/>
          <w:snapToGrid/>
          <w:lang w:val="de-DE" w:eastAsia="en-US"/>
        </w:rPr>
        <w:tab/>
      </w:r>
      <w:r w:rsidR="00D314AB" w:rsidRPr="00065C2E">
        <w:rPr>
          <w:b/>
          <w:snapToGrid/>
          <w:lang w:val="de-DE" w:eastAsia="en-US"/>
        </w:rPr>
        <w:t>Verschiedenes</w:t>
      </w:r>
    </w:p>
    <w:p w:rsidR="00736231" w:rsidRDefault="00736231" w:rsidP="00B81F5E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B81F5E" w:rsidRPr="00065C2E">
        <w:rPr>
          <w:snapToGrid/>
          <w:lang w:val="de-DE" w:eastAsia="en-US"/>
        </w:rPr>
        <w:t xml:space="preserve">Der Sicherheitsausschuss wird gebeten, alle sonstigen relevanten Fragen zu </w:t>
      </w:r>
      <w:r w:rsidR="00D15BD4">
        <w:rPr>
          <w:snapToGrid/>
          <w:lang w:val="de-DE" w:eastAsia="en-US"/>
        </w:rPr>
        <w:t>prüfen.</w:t>
      </w:r>
    </w:p>
    <w:p w:rsidR="00736231" w:rsidRPr="00065C2E" w:rsidRDefault="00736231" w:rsidP="00862D3B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tab/>
      </w:r>
      <w:r w:rsidR="00D15BD4">
        <w:rPr>
          <w:b/>
          <w:snapToGrid/>
          <w:lang w:val="de-DE" w:eastAsia="en-US"/>
        </w:rPr>
        <w:t>8</w:t>
      </w:r>
      <w:r w:rsidRPr="00065C2E">
        <w:rPr>
          <w:b/>
          <w:snapToGrid/>
          <w:lang w:val="de-DE" w:eastAsia="en-US"/>
        </w:rPr>
        <w:t>.</w:t>
      </w:r>
      <w:r w:rsidRPr="00065C2E">
        <w:rPr>
          <w:b/>
          <w:snapToGrid/>
          <w:lang w:val="de-DE" w:eastAsia="en-US"/>
        </w:rPr>
        <w:tab/>
      </w:r>
      <w:r w:rsidR="00D314AB" w:rsidRPr="00065C2E">
        <w:rPr>
          <w:b/>
          <w:snapToGrid/>
          <w:lang w:val="de-DE" w:eastAsia="en-US"/>
        </w:rPr>
        <w:t>Genehmigung des Sitzungsprotokolls</w:t>
      </w:r>
    </w:p>
    <w:p w:rsidR="00D314AB" w:rsidRPr="00065C2E" w:rsidRDefault="00D314AB" w:rsidP="00D314AB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 xml:space="preserve">Der Sicherheitsausschuss wird gebeten, das Protokoll über seine </w:t>
      </w:r>
      <w:r w:rsidR="00D15BD4">
        <w:rPr>
          <w:snapToGrid/>
          <w:lang w:val="de-DE" w:eastAsia="en-US"/>
        </w:rPr>
        <w:t>neun</w:t>
      </w:r>
      <w:r w:rsidR="009236AA" w:rsidRPr="00065C2E">
        <w:rPr>
          <w:snapToGrid/>
          <w:lang w:val="de-DE" w:eastAsia="en-US"/>
        </w:rPr>
        <w:t>und</w:t>
      </w:r>
      <w:r w:rsidRPr="00065C2E">
        <w:rPr>
          <w:snapToGrid/>
          <w:lang w:val="de-DE" w:eastAsia="en-US"/>
        </w:rPr>
        <w:t>zwanzigste Sitzung auf der Grundlage eines Sekretariatsentwurfs zu genehmigen.</w:t>
      </w:r>
    </w:p>
    <w:p w:rsidR="00D314AB" w:rsidRPr="00065C2E" w:rsidRDefault="00D314AB" w:rsidP="00736231">
      <w:pPr>
        <w:spacing w:line="240" w:lineRule="auto"/>
        <w:ind w:left="1134" w:right="1134"/>
        <w:jc w:val="both"/>
        <w:rPr>
          <w:snapToGrid/>
          <w:lang w:val="de-DE" w:eastAsia="en-US"/>
        </w:rPr>
      </w:pPr>
    </w:p>
    <w:p w:rsidR="00736231" w:rsidRPr="000B11FE" w:rsidRDefault="00736231" w:rsidP="00736231">
      <w:pPr>
        <w:spacing w:before="240"/>
        <w:ind w:left="1134" w:right="1134"/>
        <w:jc w:val="center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***</w:t>
      </w:r>
    </w:p>
    <w:sectPr w:rsidR="00736231" w:rsidRPr="000B11FE" w:rsidSect="002A1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12" w:rsidRDefault="005D4612">
      <w:pPr>
        <w:rPr>
          <w:szCs w:val="24"/>
        </w:rPr>
      </w:pPr>
    </w:p>
  </w:endnote>
  <w:endnote w:type="continuationSeparator" w:id="0">
    <w:p w:rsidR="005D4612" w:rsidRDefault="005D4612">
      <w:pPr>
        <w:rPr>
          <w:szCs w:val="24"/>
        </w:rPr>
      </w:pPr>
    </w:p>
  </w:endnote>
  <w:endnote w:type="continuationNotice" w:id="1">
    <w:p w:rsidR="005D4612" w:rsidRDefault="005D4612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79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mm/adn_wp15_ac2_5</w:t>
    </w:r>
    <w:r w:rsidR="001E6A38">
      <w:rPr>
        <w:rFonts w:ascii="Arial" w:hAnsi="Arial"/>
        <w:noProof/>
        <w:sz w:val="12"/>
        <w:szCs w:val="24"/>
      </w:rPr>
      <w:t>9</w:t>
    </w:r>
    <w:r w:rsidRPr="00722F79">
      <w:rPr>
        <w:rFonts w:ascii="Arial" w:hAnsi="Arial"/>
        <w:noProof/>
        <w:sz w:val="12"/>
        <w:szCs w:val="24"/>
      </w:rPr>
      <w:t>_5</w:t>
    </w:r>
    <w:r w:rsidR="001E6A38">
      <w:rPr>
        <w:rFonts w:ascii="Arial" w:hAnsi="Arial"/>
        <w:noProof/>
        <w:sz w:val="12"/>
        <w:szCs w:val="24"/>
      </w:rPr>
      <w:t>9</w:t>
    </w:r>
    <w:r w:rsidRPr="00722F79">
      <w:rPr>
        <w:rFonts w:ascii="Arial" w:hAnsi="Arial"/>
        <w:noProof/>
        <w:sz w:val="12"/>
        <w:szCs w:val="24"/>
      </w:rPr>
      <w:t>_add1_de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mm_</w:t>
    </w:r>
    <w:r>
      <w:rPr>
        <w:rFonts w:ascii="Arial" w:hAnsi="Arial"/>
        <w:noProof/>
        <w:sz w:val="12"/>
        <w:szCs w:val="24"/>
      </w:rPr>
      <w:t>ba</w:t>
    </w:r>
    <w:r w:rsidRPr="00722F79">
      <w:rPr>
        <w:rFonts w:ascii="Arial" w:hAnsi="Arial"/>
        <w:noProof/>
        <w:sz w:val="12"/>
        <w:szCs w:val="24"/>
      </w:rPr>
      <w:t>/adn_wp15_ac2_5</w:t>
    </w:r>
    <w:r w:rsidR="001E6A38">
      <w:rPr>
        <w:rFonts w:ascii="Arial" w:hAnsi="Arial"/>
        <w:noProof/>
        <w:sz w:val="12"/>
        <w:szCs w:val="24"/>
      </w:rPr>
      <w:t>9</w:t>
    </w:r>
    <w:r w:rsidRPr="00722F79">
      <w:rPr>
        <w:rFonts w:ascii="Arial" w:hAnsi="Arial"/>
        <w:noProof/>
        <w:sz w:val="12"/>
        <w:szCs w:val="24"/>
      </w:rPr>
      <w:t>_5</w:t>
    </w:r>
    <w:r w:rsidR="001E6A38">
      <w:rPr>
        <w:rFonts w:ascii="Arial" w:hAnsi="Arial"/>
        <w:noProof/>
        <w:sz w:val="12"/>
        <w:szCs w:val="24"/>
      </w:rPr>
      <w:t>9</w:t>
    </w:r>
    <w:r w:rsidRPr="00722F79">
      <w:rPr>
        <w:rFonts w:ascii="Arial" w:hAnsi="Arial"/>
        <w:noProof/>
        <w:sz w:val="12"/>
        <w:szCs w:val="24"/>
      </w:rPr>
      <w:t>_add1_de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12" w:rsidRDefault="005D4612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5D4612" w:rsidRDefault="005D4612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5D4612" w:rsidRDefault="005D4612">
      <w:pPr>
        <w:rPr>
          <w:szCs w:val="24"/>
        </w:rPr>
      </w:pPr>
    </w:p>
  </w:footnote>
  <w:footnote w:id="2">
    <w:p w:rsidR="007454F0" w:rsidRPr="00103287" w:rsidRDefault="007454F0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 xml:space="preserve">Von der UN-ECE in Englisch, Französisch und Russisch unter Aktenzeichen </w:t>
      </w:r>
      <w:r w:rsidR="000D02EA" w:rsidRPr="00762D00">
        <w:rPr>
          <w:noProof/>
          <w:sz w:val="18"/>
          <w:szCs w:val="24"/>
          <w:lang w:val="de-DE"/>
        </w:rPr>
        <w:t>ECE/</w:t>
      </w:r>
      <w:r w:rsidRPr="00762D00">
        <w:rPr>
          <w:noProof/>
          <w:sz w:val="18"/>
          <w:szCs w:val="24"/>
          <w:lang w:val="de-DE"/>
        </w:rPr>
        <w:t>TRANS/WP.15/AC.2/5</w:t>
      </w:r>
      <w:r w:rsidR="001E6A38">
        <w:rPr>
          <w:noProof/>
          <w:sz w:val="18"/>
          <w:szCs w:val="24"/>
          <w:lang w:val="de-DE"/>
        </w:rPr>
        <w:t>9</w:t>
      </w:r>
      <w:r w:rsidRPr="00762D00">
        <w:rPr>
          <w:noProof/>
          <w:sz w:val="18"/>
          <w:szCs w:val="24"/>
          <w:lang w:val="de-DE"/>
        </w:rPr>
        <w:t xml:space="preserve"> und 5</w:t>
      </w:r>
      <w:r w:rsidR="001E6A38">
        <w:rPr>
          <w:noProof/>
          <w:sz w:val="18"/>
          <w:szCs w:val="24"/>
          <w:lang w:val="de-DE"/>
        </w:rPr>
        <w:t>9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79" w:rsidRPr="00722F79" w:rsidRDefault="00722F79" w:rsidP="00722F79">
    <w:pPr>
      <w:spacing w:line="240" w:lineRule="auto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CCNR-ZKR/ADN/WP.15/AC.2/5</w:t>
    </w:r>
    <w:r w:rsidR="001E6A38">
      <w:rPr>
        <w:rFonts w:ascii="Arial" w:hAnsi="Arial"/>
        <w:noProof/>
        <w:snapToGrid/>
        <w:sz w:val="16"/>
        <w:szCs w:val="24"/>
        <w:lang w:val="de-DE"/>
      </w:rPr>
      <w:t>9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5</w:t>
    </w:r>
    <w:r w:rsidR="001E6A38">
      <w:rPr>
        <w:rFonts w:ascii="Arial" w:hAnsi="Arial"/>
        <w:noProof/>
        <w:snapToGrid/>
        <w:sz w:val="16"/>
        <w:szCs w:val="24"/>
        <w:lang w:val="de-DE"/>
      </w:rPr>
      <w:t>9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311466">
      <w:rPr>
        <w:rFonts w:ascii="Arial" w:hAnsi="Arial"/>
        <w:noProof/>
        <w:snapToGrid/>
        <w:sz w:val="16"/>
        <w:szCs w:val="24"/>
        <w:lang w:val="de-DE"/>
      </w:rPr>
      <w:t>2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CCNR-ZKR/ADN/WP.15/AC.2/5</w:t>
    </w:r>
    <w:r w:rsidR="001E6A38">
      <w:rPr>
        <w:rFonts w:ascii="Arial" w:hAnsi="Arial"/>
        <w:noProof/>
        <w:snapToGrid/>
        <w:sz w:val="16"/>
        <w:szCs w:val="24"/>
        <w:lang w:val="de-DE"/>
      </w:rPr>
      <w:t>9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5</w:t>
    </w:r>
    <w:r w:rsidR="001E6A38">
      <w:rPr>
        <w:rFonts w:ascii="Arial" w:hAnsi="Arial"/>
        <w:noProof/>
        <w:snapToGrid/>
        <w:sz w:val="16"/>
        <w:szCs w:val="24"/>
        <w:lang w:val="de-DE"/>
      </w:rPr>
      <w:t>9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311466">
      <w:rPr>
        <w:rFonts w:ascii="Arial" w:hAnsi="Arial"/>
        <w:noProof/>
        <w:snapToGrid/>
        <w:sz w:val="16"/>
        <w:szCs w:val="24"/>
        <w:lang w:val="de-DE"/>
      </w:rPr>
      <w:t>3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2E" w:rsidRDefault="00E7412E" w:rsidP="009236A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4"/>
  </w:num>
  <w:num w:numId="23">
    <w:abstractNumId w:val="10"/>
  </w:num>
  <w:num w:numId="24">
    <w:abstractNumId w:val="19"/>
  </w:num>
  <w:num w:numId="25">
    <w:abstractNumId w:val="22"/>
  </w:num>
  <w:num w:numId="26">
    <w:abstractNumId w:val="23"/>
  </w:num>
  <w:num w:numId="27">
    <w:abstractNumId w:val="17"/>
  </w:num>
  <w:num w:numId="28">
    <w:abstractNumId w:val="13"/>
  </w:num>
  <w:num w:numId="29">
    <w:abstractNumId w:val="11"/>
  </w:num>
  <w:num w:numId="30">
    <w:abstractNumId w:val="21"/>
  </w:num>
  <w:num w:numId="31">
    <w:abstractNumId w:val="20"/>
  </w:num>
  <w:num w:numId="32">
    <w:abstractNumId w:val="15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05769"/>
    <w:rsid w:val="000108AF"/>
    <w:rsid w:val="00015580"/>
    <w:rsid w:val="00022E06"/>
    <w:rsid w:val="00044483"/>
    <w:rsid w:val="00045FBD"/>
    <w:rsid w:val="00046B1F"/>
    <w:rsid w:val="00050F6B"/>
    <w:rsid w:val="00051882"/>
    <w:rsid w:val="00057E97"/>
    <w:rsid w:val="0006034F"/>
    <w:rsid w:val="00065C2E"/>
    <w:rsid w:val="00067568"/>
    <w:rsid w:val="00072C8C"/>
    <w:rsid w:val="000733B5"/>
    <w:rsid w:val="000740CA"/>
    <w:rsid w:val="00081523"/>
    <w:rsid w:val="000815FA"/>
    <w:rsid w:val="00081815"/>
    <w:rsid w:val="00091ED0"/>
    <w:rsid w:val="00092CAC"/>
    <w:rsid w:val="000931C0"/>
    <w:rsid w:val="000B0595"/>
    <w:rsid w:val="000B11FE"/>
    <w:rsid w:val="000B175B"/>
    <w:rsid w:val="000B3A0F"/>
    <w:rsid w:val="000B4EF7"/>
    <w:rsid w:val="000B6A35"/>
    <w:rsid w:val="000C00AB"/>
    <w:rsid w:val="000C15EE"/>
    <w:rsid w:val="000C2C03"/>
    <w:rsid w:val="000C2D2E"/>
    <w:rsid w:val="000D02EA"/>
    <w:rsid w:val="000D1BBA"/>
    <w:rsid w:val="000E0415"/>
    <w:rsid w:val="000F36AC"/>
    <w:rsid w:val="00100FD9"/>
    <w:rsid w:val="00103287"/>
    <w:rsid w:val="00105FA9"/>
    <w:rsid w:val="001103AA"/>
    <w:rsid w:val="00116117"/>
    <w:rsid w:val="0011666B"/>
    <w:rsid w:val="00117725"/>
    <w:rsid w:val="001405B1"/>
    <w:rsid w:val="00143CDC"/>
    <w:rsid w:val="0014628B"/>
    <w:rsid w:val="001468B2"/>
    <w:rsid w:val="00147248"/>
    <w:rsid w:val="001567EB"/>
    <w:rsid w:val="001649A3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A38"/>
    <w:rsid w:val="001E6E7E"/>
    <w:rsid w:val="001E7B67"/>
    <w:rsid w:val="001F3E29"/>
    <w:rsid w:val="001F5030"/>
    <w:rsid w:val="00202DA8"/>
    <w:rsid w:val="0021067C"/>
    <w:rsid w:val="00211E0B"/>
    <w:rsid w:val="0021364D"/>
    <w:rsid w:val="002247E8"/>
    <w:rsid w:val="00230D7B"/>
    <w:rsid w:val="00235B68"/>
    <w:rsid w:val="00235DD0"/>
    <w:rsid w:val="00240DD0"/>
    <w:rsid w:val="002424F5"/>
    <w:rsid w:val="0024772E"/>
    <w:rsid w:val="002519A6"/>
    <w:rsid w:val="00256B43"/>
    <w:rsid w:val="0026285E"/>
    <w:rsid w:val="00262BF9"/>
    <w:rsid w:val="0026302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A4A49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175C"/>
    <w:rsid w:val="002F690D"/>
    <w:rsid w:val="00300812"/>
    <w:rsid w:val="00300BA5"/>
    <w:rsid w:val="00302E18"/>
    <w:rsid w:val="00307003"/>
    <w:rsid w:val="00311466"/>
    <w:rsid w:val="003114B0"/>
    <w:rsid w:val="003203E2"/>
    <w:rsid w:val="003229D8"/>
    <w:rsid w:val="003231A4"/>
    <w:rsid w:val="003277AF"/>
    <w:rsid w:val="00331664"/>
    <w:rsid w:val="00332E99"/>
    <w:rsid w:val="00344A8C"/>
    <w:rsid w:val="00344EC6"/>
    <w:rsid w:val="00347AF5"/>
    <w:rsid w:val="003508B2"/>
    <w:rsid w:val="00352709"/>
    <w:rsid w:val="003552ED"/>
    <w:rsid w:val="00357A4A"/>
    <w:rsid w:val="003619B5"/>
    <w:rsid w:val="003640AE"/>
    <w:rsid w:val="00365763"/>
    <w:rsid w:val="00371178"/>
    <w:rsid w:val="0037304E"/>
    <w:rsid w:val="003816D7"/>
    <w:rsid w:val="003908C1"/>
    <w:rsid w:val="003922DD"/>
    <w:rsid w:val="00392E47"/>
    <w:rsid w:val="003A3A0E"/>
    <w:rsid w:val="003A4397"/>
    <w:rsid w:val="003A6810"/>
    <w:rsid w:val="003B13B0"/>
    <w:rsid w:val="003B5B01"/>
    <w:rsid w:val="003B6C2C"/>
    <w:rsid w:val="003B73FF"/>
    <w:rsid w:val="003C083F"/>
    <w:rsid w:val="003C2CC4"/>
    <w:rsid w:val="003C5B97"/>
    <w:rsid w:val="003C632B"/>
    <w:rsid w:val="003C64D1"/>
    <w:rsid w:val="003D4B23"/>
    <w:rsid w:val="003E6C3C"/>
    <w:rsid w:val="003F7D28"/>
    <w:rsid w:val="004007E0"/>
    <w:rsid w:val="00405889"/>
    <w:rsid w:val="00405A13"/>
    <w:rsid w:val="00410C89"/>
    <w:rsid w:val="004143B7"/>
    <w:rsid w:val="004163FF"/>
    <w:rsid w:val="00416D9D"/>
    <w:rsid w:val="00417D70"/>
    <w:rsid w:val="004218B4"/>
    <w:rsid w:val="00422E03"/>
    <w:rsid w:val="00426B9B"/>
    <w:rsid w:val="00430595"/>
    <w:rsid w:val="00430695"/>
    <w:rsid w:val="004325CB"/>
    <w:rsid w:val="00432707"/>
    <w:rsid w:val="00434F66"/>
    <w:rsid w:val="00442A83"/>
    <w:rsid w:val="00443582"/>
    <w:rsid w:val="0045495B"/>
    <w:rsid w:val="00457F3D"/>
    <w:rsid w:val="004663A4"/>
    <w:rsid w:val="00473CCF"/>
    <w:rsid w:val="00476748"/>
    <w:rsid w:val="0047699E"/>
    <w:rsid w:val="00477906"/>
    <w:rsid w:val="0048397A"/>
    <w:rsid w:val="00485CBB"/>
    <w:rsid w:val="004866B7"/>
    <w:rsid w:val="004876BD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4C8C"/>
    <w:rsid w:val="004E77B2"/>
    <w:rsid w:val="004F4CEA"/>
    <w:rsid w:val="004F6AFB"/>
    <w:rsid w:val="00504524"/>
    <w:rsid w:val="00504B2D"/>
    <w:rsid w:val="00512C4D"/>
    <w:rsid w:val="00520030"/>
    <w:rsid w:val="0052136D"/>
    <w:rsid w:val="00524EA1"/>
    <w:rsid w:val="0052775E"/>
    <w:rsid w:val="005301B6"/>
    <w:rsid w:val="00537F71"/>
    <w:rsid w:val="005420F2"/>
    <w:rsid w:val="005628B6"/>
    <w:rsid w:val="0056600D"/>
    <w:rsid w:val="0057122B"/>
    <w:rsid w:val="00572B32"/>
    <w:rsid w:val="005919A2"/>
    <w:rsid w:val="005941EC"/>
    <w:rsid w:val="0059724D"/>
    <w:rsid w:val="005A6214"/>
    <w:rsid w:val="005B3DB3"/>
    <w:rsid w:val="005B4E13"/>
    <w:rsid w:val="005C342F"/>
    <w:rsid w:val="005C6261"/>
    <w:rsid w:val="005D356C"/>
    <w:rsid w:val="005D4612"/>
    <w:rsid w:val="005D7100"/>
    <w:rsid w:val="005E25A1"/>
    <w:rsid w:val="005F216E"/>
    <w:rsid w:val="005F4A1C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3192"/>
    <w:rsid w:val="0062388D"/>
    <w:rsid w:val="00633142"/>
    <w:rsid w:val="006349C5"/>
    <w:rsid w:val="00640B26"/>
    <w:rsid w:val="00642652"/>
    <w:rsid w:val="00647CCA"/>
    <w:rsid w:val="006507A8"/>
    <w:rsid w:val="00652D0A"/>
    <w:rsid w:val="00656ECE"/>
    <w:rsid w:val="0065771A"/>
    <w:rsid w:val="0066181B"/>
    <w:rsid w:val="0066191F"/>
    <w:rsid w:val="00662BB6"/>
    <w:rsid w:val="0066488C"/>
    <w:rsid w:val="00676606"/>
    <w:rsid w:val="00681D15"/>
    <w:rsid w:val="00684C21"/>
    <w:rsid w:val="00692692"/>
    <w:rsid w:val="006A2530"/>
    <w:rsid w:val="006A69ED"/>
    <w:rsid w:val="006A73C4"/>
    <w:rsid w:val="006B3FFD"/>
    <w:rsid w:val="006B5D2B"/>
    <w:rsid w:val="006B6921"/>
    <w:rsid w:val="006C3589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5894"/>
    <w:rsid w:val="00706E9A"/>
    <w:rsid w:val="007124FE"/>
    <w:rsid w:val="00715614"/>
    <w:rsid w:val="00721027"/>
    <w:rsid w:val="007217C4"/>
    <w:rsid w:val="00722F79"/>
    <w:rsid w:val="00724080"/>
    <w:rsid w:val="0072632A"/>
    <w:rsid w:val="00727DE0"/>
    <w:rsid w:val="007309EC"/>
    <w:rsid w:val="007327D5"/>
    <w:rsid w:val="007352A8"/>
    <w:rsid w:val="00736231"/>
    <w:rsid w:val="007365BA"/>
    <w:rsid w:val="00736F82"/>
    <w:rsid w:val="00742A4B"/>
    <w:rsid w:val="007454F0"/>
    <w:rsid w:val="00762564"/>
    <w:rsid w:val="007629C8"/>
    <w:rsid w:val="00762D00"/>
    <w:rsid w:val="00766488"/>
    <w:rsid w:val="0077047D"/>
    <w:rsid w:val="00771A4B"/>
    <w:rsid w:val="0078063F"/>
    <w:rsid w:val="0078197F"/>
    <w:rsid w:val="00785BAC"/>
    <w:rsid w:val="00796796"/>
    <w:rsid w:val="007A7144"/>
    <w:rsid w:val="007B0CA1"/>
    <w:rsid w:val="007B5BD1"/>
    <w:rsid w:val="007B6BA5"/>
    <w:rsid w:val="007C3390"/>
    <w:rsid w:val="007C4F4B"/>
    <w:rsid w:val="007C5431"/>
    <w:rsid w:val="007D22F7"/>
    <w:rsid w:val="007E01E9"/>
    <w:rsid w:val="007E030D"/>
    <w:rsid w:val="007E20A3"/>
    <w:rsid w:val="007E299B"/>
    <w:rsid w:val="007E63F3"/>
    <w:rsid w:val="007E7463"/>
    <w:rsid w:val="007F4B56"/>
    <w:rsid w:val="007F6611"/>
    <w:rsid w:val="00802CB2"/>
    <w:rsid w:val="008038B3"/>
    <w:rsid w:val="00805F02"/>
    <w:rsid w:val="00807FFC"/>
    <w:rsid w:val="00810F3E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2334"/>
    <w:rsid w:val="00843767"/>
    <w:rsid w:val="00844847"/>
    <w:rsid w:val="008449E1"/>
    <w:rsid w:val="0084592C"/>
    <w:rsid w:val="00850ABB"/>
    <w:rsid w:val="00852014"/>
    <w:rsid w:val="008524ED"/>
    <w:rsid w:val="00857508"/>
    <w:rsid w:val="00862D3B"/>
    <w:rsid w:val="008679D9"/>
    <w:rsid w:val="00872852"/>
    <w:rsid w:val="00874960"/>
    <w:rsid w:val="0088008B"/>
    <w:rsid w:val="00881C5B"/>
    <w:rsid w:val="00883669"/>
    <w:rsid w:val="0088773D"/>
    <w:rsid w:val="008878DE"/>
    <w:rsid w:val="00894427"/>
    <w:rsid w:val="008964FB"/>
    <w:rsid w:val="0089757F"/>
    <w:rsid w:val="008979B1"/>
    <w:rsid w:val="008A3DE0"/>
    <w:rsid w:val="008A46EA"/>
    <w:rsid w:val="008A49BF"/>
    <w:rsid w:val="008A6B25"/>
    <w:rsid w:val="008A6C4F"/>
    <w:rsid w:val="008B116C"/>
    <w:rsid w:val="008B2335"/>
    <w:rsid w:val="008B2BE9"/>
    <w:rsid w:val="008B4048"/>
    <w:rsid w:val="008C0E0C"/>
    <w:rsid w:val="008C5303"/>
    <w:rsid w:val="008D4AF2"/>
    <w:rsid w:val="008D5335"/>
    <w:rsid w:val="008D77EB"/>
    <w:rsid w:val="008E0678"/>
    <w:rsid w:val="008F31D2"/>
    <w:rsid w:val="009011F7"/>
    <w:rsid w:val="00902F49"/>
    <w:rsid w:val="009121CF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CFB"/>
    <w:rsid w:val="009802A7"/>
    <w:rsid w:val="00981486"/>
    <w:rsid w:val="009933EB"/>
    <w:rsid w:val="009A0830"/>
    <w:rsid w:val="009A0E8D"/>
    <w:rsid w:val="009A7A57"/>
    <w:rsid w:val="009B26E7"/>
    <w:rsid w:val="009B6927"/>
    <w:rsid w:val="009C1705"/>
    <w:rsid w:val="009C6EED"/>
    <w:rsid w:val="009D086B"/>
    <w:rsid w:val="009D0A72"/>
    <w:rsid w:val="009D5869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2535D"/>
    <w:rsid w:val="00A27734"/>
    <w:rsid w:val="00A3026E"/>
    <w:rsid w:val="00A338F1"/>
    <w:rsid w:val="00A34E4B"/>
    <w:rsid w:val="00A35BE0"/>
    <w:rsid w:val="00A40468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69F4"/>
    <w:rsid w:val="00A77391"/>
    <w:rsid w:val="00A776B4"/>
    <w:rsid w:val="00A94361"/>
    <w:rsid w:val="00A94463"/>
    <w:rsid w:val="00AA105B"/>
    <w:rsid w:val="00AA293C"/>
    <w:rsid w:val="00AA2EC2"/>
    <w:rsid w:val="00AB0007"/>
    <w:rsid w:val="00AB2DE5"/>
    <w:rsid w:val="00AB6173"/>
    <w:rsid w:val="00AC4838"/>
    <w:rsid w:val="00AC6051"/>
    <w:rsid w:val="00AF623B"/>
    <w:rsid w:val="00B02445"/>
    <w:rsid w:val="00B238F2"/>
    <w:rsid w:val="00B30179"/>
    <w:rsid w:val="00B34F03"/>
    <w:rsid w:val="00B421C1"/>
    <w:rsid w:val="00B45EA0"/>
    <w:rsid w:val="00B525B2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0F8E"/>
    <w:rsid w:val="00B9477C"/>
    <w:rsid w:val="00BA7EAD"/>
    <w:rsid w:val="00BB3CB4"/>
    <w:rsid w:val="00BB6619"/>
    <w:rsid w:val="00BC15E4"/>
    <w:rsid w:val="00BC3FA0"/>
    <w:rsid w:val="00BC74E9"/>
    <w:rsid w:val="00BD06D5"/>
    <w:rsid w:val="00BD3218"/>
    <w:rsid w:val="00BD745C"/>
    <w:rsid w:val="00BE3DF1"/>
    <w:rsid w:val="00BE4504"/>
    <w:rsid w:val="00BF0266"/>
    <w:rsid w:val="00BF68A8"/>
    <w:rsid w:val="00C11A03"/>
    <w:rsid w:val="00C149CE"/>
    <w:rsid w:val="00C224A9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80765"/>
    <w:rsid w:val="00C95511"/>
    <w:rsid w:val="00C95FEC"/>
    <w:rsid w:val="00C96113"/>
    <w:rsid w:val="00C96DF2"/>
    <w:rsid w:val="00CA31F7"/>
    <w:rsid w:val="00CB3E03"/>
    <w:rsid w:val="00CB6AE4"/>
    <w:rsid w:val="00CB7DD8"/>
    <w:rsid w:val="00CC5004"/>
    <w:rsid w:val="00CC534B"/>
    <w:rsid w:val="00CD4AA6"/>
    <w:rsid w:val="00CD4BB1"/>
    <w:rsid w:val="00CE2D3D"/>
    <w:rsid w:val="00CE335E"/>
    <w:rsid w:val="00CE4A8F"/>
    <w:rsid w:val="00CF727F"/>
    <w:rsid w:val="00D00E41"/>
    <w:rsid w:val="00D02054"/>
    <w:rsid w:val="00D03F3E"/>
    <w:rsid w:val="00D12DF2"/>
    <w:rsid w:val="00D15BD4"/>
    <w:rsid w:val="00D17CE1"/>
    <w:rsid w:val="00D2031B"/>
    <w:rsid w:val="00D20F81"/>
    <w:rsid w:val="00D248B6"/>
    <w:rsid w:val="00D25F52"/>
    <w:rsid w:val="00D25FE2"/>
    <w:rsid w:val="00D26453"/>
    <w:rsid w:val="00D274FF"/>
    <w:rsid w:val="00D30EE7"/>
    <w:rsid w:val="00D314AB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5766"/>
    <w:rsid w:val="00D773DF"/>
    <w:rsid w:val="00D777F1"/>
    <w:rsid w:val="00D80419"/>
    <w:rsid w:val="00D8661C"/>
    <w:rsid w:val="00D866D2"/>
    <w:rsid w:val="00D901E4"/>
    <w:rsid w:val="00D9240A"/>
    <w:rsid w:val="00D95303"/>
    <w:rsid w:val="00D978C6"/>
    <w:rsid w:val="00DA3C1C"/>
    <w:rsid w:val="00DA48CD"/>
    <w:rsid w:val="00DB079E"/>
    <w:rsid w:val="00DB2AD8"/>
    <w:rsid w:val="00DB2E2E"/>
    <w:rsid w:val="00DB3775"/>
    <w:rsid w:val="00DC2CEB"/>
    <w:rsid w:val="00DC3666"/>
    <w:rsid w:val="00DD113C"/>
    <w:rsid w:val="00DD7770"/>
    <w:rsid w:val="00DF1593"/>
    <w:rsid w:val="00E03DAA"/>
    <w:rsid w:val="00E0452A"/>
    <w:rsid w:val="00E046DF"/>
    <w:rsid w:val="00E10663"/>
    <w:rsid w:val="00E148C5"/>
    <w:rsid w:val="00E16E3D"/>
    <w:rsid w:val="00E17EEF"/>
    <w:rsid w:val="00E23524"/>
    <w:rsid w:val="00E24E17"/>
    <w:rsid w:val="00E27346"/>
    <w:rsid w:val="00E32F07"/>
    <w:rsid w:val="00E5328E"/>
    <w:rsid w:val="00E659A4"/>
    <w:rsid w:val="00E71BC8"/>
    <w:rsid w:val="00E71F52"/>
    <w:rsid w:val="00E7260F"/>
    <w:rsid w:val="00E73F5D"/>
    <w:rsid w:val="00E7412E"/>
    <w:rsid w:val="00E77E4E"/>
    <w:rsid w:val="00E96630"/>
    <w:rsid w:val="00EB19FD"/>
    <w:rsid w:val="00EB2AFD"/>
    <w:rsid w:val="00EB3AFE"/>
    <w:rsid w:val="00EB73FB"/>
    <w:rsid w:val="00EC30CE"/>
    <w:rsid w:val="00ED6993"/>
    <w:rsid w:val="00ED7A2A"/>
    <w:rsid w:val="00EE224B"/>
    <w:rsid w:val="00EF1D7F"/>
    <w:rsid w:val="00F01FBE"/>
    <w:rsid w:val="00F06AC2"/>
    <w:rsid w:val="00F17FBC"/>
    <w:rsid w:val="00F27F73"/>
    <w:rsid w:val="00F31E5F"/>
    <w:rsid w:val="00F32262"/>
    <w:rsid w:val="00F35C53"/>
    <w:rsid w:val="00F50B83"/>
    <w:rsid w:val="00F6100A"/>
    <w:rsid w:val="00F62EF2"/>
    <w:rsid w:val="00F74CA9"/>
    <w:rsid w:val="00F85F08"/>
    <w:rsid w:val="00F93781"/>
    <w:rsid w:val="00FA2EC4"/>
    <w:rsid w:val="00FA74AD"/>
    <w:rsid w:val="00FB4A79"/>
    <w:rsid w:val="00FB613B"/>
    <w:rsid w:val="00FC2974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01F6AB-E41A-4E88-84FA-84DF01AA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EndnoteText">
    <w:name w:val="endnote text"/>
    <w:aliases w:val="2_G"/>
    <w:basedOn w:val="FootnoteText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semiHidden/>
    <w:rPr>
      <w:rFonts w:cs="Times New Roman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</w:rPr>
  </w:style>
  <w:style w:type="character" w:styleId="HTMLCode">
    <w:name w:val="HTML Code"/>
    <w:semiHidden/>
    <w:rPr>
      <w:rFonts w:ascii="Courier New" w:hAnsi="Courier New"/>
      <w:sz w:val="20"/>
    </w:rPr>
  </w:style>
  <w:style w:type="character" w:styleId="HTMLDefinition">
    <w:name w:val="HTML Definition"/>
    <w:semiHidden/>
    <w:rPr>
      <w:i/>
    </w:rPr>
  </w:style>
  <w:style w:type="character" w:styleId="HTMLKeyboard">
    <w:name w:val="HTML Keyboard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</w:rPr>
  </w:style>
  <w:style w:type="character" w:styleId="HTMLVariable">
    <w:name w:val="HTML Variable"/>
    <w:semiHidden/>
    <w:rPr>
      <w:i/>
    </w:rPr>
  </w:style>
  <w:style w:type="character" w:styleId="Hyperlink">
    <w:name w:val="Hyperlink"/>
    <w:semiHidden/>
    <w:rPr>
      <w:color w:val="auto"/>
      <w:u w:val="non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Classic1">
    <w:name w:val="Table Classic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  <w:snapToGrid w:val="0"/>
    </w:rPr>
    <w:tblPr/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Columns5">
    <w:name w:val="Table Columns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semiHidden/>
    <w:pPr>
      <w:suppressAutoHyphens/>
      <w:spacing w:line="240" w:lineRule="atLeast"/>
    </w:pPr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semiHidden/>
    <w:pPr>
      <w:suppressAutoHyphens/>
      <w:spacing w:line="240" w:lineRule="atLeast"/>
    </w:pPr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808080"/>
      </w:tblBorders>
    </w:tblPr>
  </w:style>
  <w:style w:type="table" w:styleId="TableList3">
    <w:name w:val="Table List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Simple3">
    <w:name w:val="Table Simple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Subtle2">
    <w:name w:val="Table Subtle 2"/>
    <w:basedOn w:val="TableNormal"/>
    <w:semiHidden/>
    <w:pPr>
      <w:suppressAutoHyphens/>
      <w:spacing w:line="240" w:lineRule="atLeast"/>
    </w:pPr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pPr>
      <w:numPr>
        <w:numId w:val="23"/>
      </w:numPr>
    </w:pPr>
  </w:style>
  <w:style w:type="numbering" w:styleId="1ai">
    <w:name w:val="Outline List 1"/>
    <w:basedOn w:val="NoList"/>
    <w:pPr>
      <w:numPr>
        <w:numId w:val="22"/>
      </w:numPr>
    </w:pPr>
  </w:style>
  <w:style w:type="numbering" w:styleId="111111">
    <w:name w:val="Outline List 2"/>
    <w:basedOn w:val="NoList"/>
    <w:pPr>
      <w:numPr>
        <w:numId w:val="2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A45C4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5C4A"/>
    <w:rPr>
      <w:snapToGrid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45C4A"/>
    <w:rPr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8AE7-478F-4F1A-8061-D8EC2691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2016-06-30T08:12:00Z</cp:lastPrinted>
  <dcterms:created xsi:type="dcterms:W3CDTF">2016-06-30T15:16:00Z</dcterms:created>
  <dcterms:modified xsi:type="dcterms:W3CDTF">2016-06-30T15:16:00Z</dcterms:modified>
</cp:coreProperties>
</file>