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D14250">
        <w:trPr>
          <w:cantSplit/>
          <w:trHeight w:hRule="exact" w:val="851"/>
        </w:trPr>
        <w:tc>
          <w:tcPr>
            <w:tcW w:w="1276" w:type="dxa"/>
            <w:tcBorders>
              <w:bottom w:val="single" w:sz="4" w:space="0" w:color="auto"/>
            </w:tcBorders>
            <w:vAlign w:val="bottom"/>
          </w:tcPr>
          <w:p w:rsidR="009E6CB7" w:rsidRPr="00D14250" w:rsidRDefault="009E6CB7" w:rsidP="009E6CB7">
            <w:pPr>
              <w:spacing w:after="80"/>
            </w:pPr>
            <w:bookmarkStart w:id="0" w:name="_GoBack"/>
            <w:bookmarkEnd w:id="0"/>
          </w:p>
        </w:tc>
        <w:tc>
          <w:tcPr>
            <w:tcW w:w="2268" w:type="dxa"/>
            <w:tcBorders>
              <w:bottom w:val="single" w:sz="4" w:space="0" w:color="auto"/>
            </w:tcBorders>
            <w:vAlign w:val="bottom"/>
          </w:tcPr>
          <w:p w:rsidR="009E6CB7" w:rsidRPr="00D14250" w:rsidRDefault="009E6CB7" w:rsidP="009E6CB7">
            <w:pPr>
              <w:spacing w:after="80" w:line="300" w:lineRule="exact"/>
              <w:rPr>
                <w:b/>
                <w:sz w:val="24"/>
                <w:szCs w:val="24"/>
              </w:rPr>
            </w:pPr>
            <w:r w:rsidRPr="00D14250">
              <w:rPr>
                <w:sz w:val="28"/>
                <w:szCs w:val="28"/>
              </w:rPr>
              <w:t>United Nations</w:t>
            </w:r>
          </w:p>
        </w:tc>
        <w:tc>
          <w:tcPr>
            <w:tcW w:w="6095" w:type="dxa"/>
            <w:gridSpan w:val="2"/>
            <w:tcBorders>
              <w:bottom w:val="single" w:sz="4" w:space="0" w:color="auto"/>
            </w:tcBorders>
            <w:vAlign w:val="bottom"/>
          </w:tcPr>
          <w:p w:rsidR="009E6CB7" w:rsidRPr="00D14250" w:rsidRDefault="00B83E9A" w:rsidP="003E636D">
            <w:pPr>
              <w:jc w:val="right"/>
            </w:pPr>
            <w:r w:rsidRPr="00D14250">
              <w:rPr>
                <w:sz w:val="40"/>
              </w:rPr>
              <w:t>ECE</w:t>
            </w:r>
            <w:r w:rsidRPr="00D14250">
              <w:t>/TRANS/201</w:t>
            </w:r>
            <w:r w:rsidR="00BF643E">
              <w:t>6</w:t>
            </w:r>
            <w:r w:rsidR="00CC44A5" w:rsidRPr="00D14250">
              <w:t>/</w:t>
            </w:r>
            <w:r w:rsidR="003E636D">
              <w:t>29</w:t>
            </w:r>
          </w:p>
        </w:tc>
      </w:tr>
      <w:tr w:rsidR="009E6CB7" w:rsidRPr="00D14250">
        <w:trPr>
          <w:cantSplit/>
          <w:trHeight w:hRule="exact" w:val="2835"/>
        </w:trPr>
        <w:tc>
          <w:tcPr>
            <w:tcW w:w="1276" w:type="dxa"/>
            <w:tcBorders>
              <w:top w:val="single" w:sz="4" w:space="0" w:color="auto"/>
              <w:bottom w:val="single" w:sz="12" w:space="0" w:color="auto"/>
            </w:tcBorders>
          </w:tcPr>
          <w:p w:rsidR="009E6CB7" w:rsidRPr="00D14250" w:rsidRDefault="002907F5"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6pt">
                  <v:imagedata r:id="rId8" o:title="_unlogo"/>
                </v:shape>
              </w:pict>
            </w:r>
          </w:p>
        </w:tc>
        <w:tc>
          <w:tcPr>
            <w:tcW w:w="5528" w:type="dxa"/>
            <w:gridSpan w:val="2"/>
            <w:tcBorders>
              <w:top w:val="single" w:sz="4" w:space="0" w:color="auto"/>
              <w:bottom w:val="single" w:sz="12" w:space="0" w:color="auto"/>
            </w:tcBorders>
          </w:tcPr>
          <w:p w:rsidR="009E6CB7" w:rsidRPr="00D14250" w:rsidRDefault="009E6CB7" w:rsidP="009E6CB7">
            <w:pPr>
              <w:spacing w:before="120" w:line="420" w:lineRule="exact"/>
              <w:rPr>
                <w:sz w:val="40"/>
                <w:szCs w:val="40"/>
              </w:rPr>
            </w:pPr>
            <w:r w:rsidRPr="00D14250">
              <w:rPr>
                <w:b/>
                <w:sz w:val="40"/>
                <w:szCs w:val="40"/>
              </w:rPr>
              <w:t>Economic and Social Council</w:t>
            </w:r>
          </w:p>
        </w:tc>
        <w:tc>
          <w:tcPr>
            <w:tcW w:w="2835" w:type="dxa"/>
            <w:tcBorders>
              <w:top w:val="single" w:sz="4" w:space="0" w:color="auto"/>
              <w:bottom w:val="single" w:sz="12" w:space="0" w:color="auto"/>
            </w:tcBorders>
          </w:tcPr>
          <w:p w:rsidR="00B83E9A" w:rsidRPr="00D14250" w:rsidRDefault="00B83E9A" w:rsidP="00B83E9A">
            <w:pPr>
              <w:spacing w:before="240" w:line="240" w:lineRule="exact"/>
            </w:pPr>
            <w:r w:rsidRPr="00D14250">
              <w:t>Distr.: General</w:t>
            </w:r>
          </w:p>
          <w:p w:rsidR="00B83E9A" w:rsidRPr="00D14250" w:rsidRDefault="0033149D" w:rsidP="00B83E9A">
            <w:pPr>
              <w:spacing w:line="240" w:lineRule="exact"/>
            </w:pPr>
            <w:r>
              <w:t>15</w:t>
            </w:r>
            <w:r w:rsidR="002C6C26" w:rsidRPr="00D14250">
              <w:t xml:space="preserve"> </w:t>
            </w:r>
            <w:r w:rsidR="00713783" w:rsidRPr="00D14250">
              <w:t>December</w:t>
            </w:r>
            <w:r w:rsidR="004A6236" w:rsidRPr="00D14250">
              <w:t xml:space="preserve"> </w:t>
            </w:r>
            <w:r w:rsidR="00B83E9A" w:rsidRPr="00D14250">
              <w:t>201</w:t>
            </w:r>
            <w:r w:rsidR="00BF643E">
              <w:t>5</w:t>
            </w:r>
          </w:p>
          <w:p w:rsidR="00B83E9A" w:rsidRPr="00D14250" w:rsidRDefault="00B83E9A" w:rsidP="00B83E9A">
            <w:pPr>
              <w:spacing w:line="240" w:lineRule="exact"/>
            </w:pPr>
          </w:p>
          <w:p w:rsidR="009E6CB7" w:rsidRPr="00D14250" w:rsidRDefault="00B83E9A" w:rsidP="00B83E9A">
            <w:pPr>
              <w:spacing w:line="240" w:lineRule="exact"/>
            </w:pPr>
            <w:r w:rsidRPr="00D14250">
              <w:t>Original: English</w:t>
            </w:r>
          </w:p>
        </w:tc>
      </w:tr>
    </w:tbl>
    <w:p w:rsidR="00B83E9A" w:rsidRPr="00D14250" w:rsidRDefault="00B83E9A" w:rsidP="00B83E9A">
      <w:pPr>
        <w:spacing w:before="120"/>
        <w:rPr>
          <w:b/>
          <w:bCs/>
          <w:sz w:val="28"/>
          <w:szCs w:val="28"/>
        </w:rPr>
      </w:pPr>
      <w:r w:rsidRPr="00D14250">
        <w:rPr>
          <w:b/>
          <w:bCs/>
          <w:sz w:val="28"/>
          <w:szCs w:val="28"/>
        </w:rPr>
        <w:t xml:space="preserve">Economic Commission for </w:t>
      </w:r>
      <w:smartTag w:uri="urn:schemas-microsoft-com:office:smarttags" w:element="place">
        <w:r w:rsidRPr="00D14250">
          <w:rPr>
            <w:b/>
            <w:bCs/>
            <w:sz w:val="28"/>
            <w:szCs w:val="28"/>
          </w:rPr>
          <w:t>Europe</w:t>
        </w:r>
      </w:smartTag>
    </w:p>
    <w:p w:rsidR="00B83E9A" w:rsidRPr="00D14250" w:rsidRDefault="00B83E9A" w:rsidP="00B83E9A">
      <w:pPr>
        <w:spacing w:before="120"/>
        <w:rPr>
          <w:sz w:val="28"/>
          <w:szCs w:val="28"/>
        </w:rPr>
      </w:pPr>
      <w:r w:rsidRPr="00D14250">
        <w:rPr>
          <w:sz w:val="28"/>
          <w:szCs w:val="28"/>
        </w:rPr>
        <w:t>Inland Transport Committee</w:t>
      </w:r>
    </w:p>
    <w:p w:rsidR="00906F79" w:rsidRPr="00D14250" w:rsidRDefault="00906F79" w:rsidP="00906F79">
      <w:pPr>
        <w:spacing w:before="120"/>
        <w:rPr>
          <w:b/>
          <w:bCs/>
        </w:rPr>
      </w:pPr>
      <w:r w:rsidRPr="00D14250">
        <w:rPr>
          <w:b/>
          <w:bCs/>
        </w:rPr>
        <w:t>Seventy-</w:t>
      </w:r>
      <w:r w:rsidR="00BF643E">
        <w:rPr>
          <w:b/>
          <w:bCs/>
        </w:rPr>
        <w:t>eighth</w:t>
      </w:r>
      <w:r w:rsidR="00BF643E" w:rsidRPr="00D14250">
        <w:rPr>
          <w:b/>
          <w:bCs/>
        </w:rPr>
        <w:t xml:space="preserve"> </w:t>
      </w:r>
      <w:proofErr w:type="gramStart"/>
      <w:r w:rsidRPr="00D14250">
        <w:rPr>
          <w:b/>
          <w:bCs/>
        </w:rPr>
        <w:t>session</w:t>
      </w:r>
      <w:proofErr w:type="gramEnd"/>
    </w:p>
    <w:p w:rsidR="00906F79" w:rsidRPr="00D14250" w:rsidRDefault="00906F79" w:rsidP="00906F79">
      <w:pPr>
        <w:rPr>
          <w:b/>
          <w:bCs/>
        </w:rPr>
      </w:pPr>
      <w:r w:rsidRPr="00D14250">
        <w:t>Geneva, 2</w:t>
      </w:r>
      <w:r w:rsidR="00BF643E">
        <w:t>3</w:t>
      </w:r>
      <w:r w:rsidRPr="00D14250">
        <w:t>–2</w:t>
      </w:r>
      <w:r w:rsidR="00BF643E">
        <w:t>6</w:t>
      </w:r>
      <w:r w:rsidRPr="00D14250">
        <w:t xml:space="preserve"> February 201</w:t>
      </w:r>
      <w:r w:rsidR="00BF643E">
        <w:t>6</w:t>
      </w:r>
      <w:r w:rsidRPr="00D14250">
        <w:br/>
        <w:t xml:space="preserve">Item </w:t>
      </w:r>
      <w:r w:rsidR="00FF723F">
        <w:t>13</w:t>
      </w:r>
      <w:r w:rsidRPr="00D14250">
        <w:t xml:space="preserve"> of the provisional agenda</w:t>
      </w:r>
      <w:r w:rsidRPr="00D14250">
        <w:br/>
      </w:r>
      <w:r w:rsidRPr="00D14250">
        <w:rPr>
          <w:b/>
          <w:bCs/>
        </w:rPr>
        <w:t>Programme of work and biennial evaluation 201</w:t>
      </w:r>
      <w:r w:rsidR="00FF723F">
        <w:rPr>
          <w:b/>
          <w:bCs/>
        </w:rPr>
        <w:t>6</w:t>
      </w:r>
      <w:r w:rsidRPr="00D14250">
        <w:rPr>
          <w:b/>
          <w:bCs/>
        </w:rPr>
        <w:t>–201</w:t>
      </w:r>
      <w:r w:rsidR="00FF723F">
        <w:rPr>
          <w:b/>
          <w:bCs/>
        </w:rPr>
        <w:t>7</w:t>
      </w:r>
      <w:r w:rsidRPr="00D14250">
        <w:rPr>
          <w:b/>
          <w:bCs/>
        </w:rPr>
        <w:t xml:space="preserve"> </w:t>
      </w:r>
      <w:r w:rsidRPr="00D14250">
        <w:rPr>
          <w:b/>
          <w:bCs/>
        </w:rPr>
        <w:br/>
        <w:t>and Strategic framework for 201</w:t>
      </w:r>
      <w:r w:rsidR="00FF723F">
        <w:rPr>
          <w:b/>
          <w:bCs/>
        </w:rPr>
        <w:t>8</w:t>
      </w:r>
      <w:r w:rsidRPr="00D14250">
        <w:rPr>
          <w:b/>
          <w:bCs/>
        </w:rPr>
        <w:t>–201</w:t>
      </w:r>
      <w:r w:rsidR="00FF723F">
        <w:rPr>
          <w:b/>
          <w:bCs/>
        </w:rPr>
        <w:t>9</w:t>
      </w:r>
    </w:p>
    <w:p w:rsidR="00B83E9A" w:rsidRPr="00D14250" w:rsidRDefault="00B83E9A" w:rsidP="00B83E9A">
      <w:pPr>
        <w:pStyle w:val="HChG"/>
        <w:spacing w:after="0" w:line="264" w:lineRule="auto"/>
      </w:pPr>
      <w:r w:rsidRPr="00D14250">
        <w:tab/>
      </w:r>
      <w:r w:rsidRPr="00D14250">
        <w:tab/>
        <w:t>Biennial Evaluation plan for the Transport subprogramme (201</w:t>
      </w:r>
      <w:r w:rsidR="00FF723F">
        <w:t>6</w:t>
      </w:r>
      <w:r w:rsidRPr="00D14250">
        <w:t>–201</w:t>
      </w:r>
      <w:r w:rsidR="00FF723F">
        <w:t>7</w:t>
      </w:r>
      <w:r w:rsidRPr="00D14250">
        <w:t>)</w:t>
      </w:r>
    </w:p>
    <w:p w:rsidR="00B83E9A" w:rsidRPr="00D14250" w:rsidRDefault="00B83E9A" w:rsidP="00B83E9A">
      <w:pPr>
        <w:pStyle w:val="H1G"/>
        <w:spacing w:line="264" w:lineRule="auto"/>
      </w:pPr>
      <w:r w:rsidRPr="00D14250">
        <w:tab/>
      </w:r>
      <w:r w:rsidRPr="00D14250">
        <w:tab/>
        <w:t>Note by the secretariat</w:t>
      </w:r>
    </w:p>
    <w:tbl>
      <w:tblPr>
        <w:tblW w:w="9637" w:type="dxa"/>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B83E9A" w:rsidRPr="00D14250">
        <w:trPr>
          <w:jc w:val="center"/>
        </w:trPr>
        <w:tc>
          <w:tcPr>
            <w:tcW w:w="9637" w:type="dxa"/>
            <w:shd w:val="clear" w:color="auto" w:fill="auto"/>
          </w:tcPr>
          <w:p w:rsidR="00B83E9A" w:rsidRPr="00D14250" w:rsidRDefault="00B83E9A" w:rsidP="00B83E9A">
            <w:pPr>
              <w:spacing w:before="240" w:after="120" w:line="264" w:lineRule="auto"/>
              <w:ind w:left="255"/>
              <w:rPr>
                <w:i/>
                <w:sz w:val="24"/>
              </w:rPr>
            </w:pPr>
            <w:r w:rsidRPr="00D14250">
              <w:rPr>
                <w:i/>
                <w:sz w:val="24"/>
              </w:rPr>
              <w:t>Summary</w:t>
            </w:r>
          </w:p>
        </w:tc>
      </w:tr>
      <w:tr w:rsidR="00B83E9A" w:rsidRPr="00D14250">
        <w:trPr>
          <w:jc w:val="center"/>
        </w:trPr>
        <w:tc>
          <w:tcPr>
            <w:tcW w:w="9637" w:type="dxa"/>
            <w:shd w:val="clear" w:color="auto" w:fill="auto"/>
          </w:tcPr>
          <w:p w:rsidR="00B83E9A" w:rsidRPr="00D14250" w:rsidRDefault="00B83E9A" w:rsidP="00BD323F">
            <w:pPr>
              <w:pStyle w:val="SingleTxtG"/>
              <w:spacing w:line="264" w:lineRule="auto"/>
            </w:pPr>
            <w:r w:rsidRPr="00D14250">
              <w:tab/>
              <w:t xml:space="preserve">This note </w:t>
            </w:r>
            <w:r w:rsidR="004155CB" w:rsidRPr="00D14250">
              <w:t>provides</w:t>
            </w:r>
            <w:r w:rsidR="002C6C26" w:rsidRPr="00D14250">
              <w:t xml:space="preserve"> </w:t>
            </w:r>
            <w:r w:rsidRPr="00D14250">
              <w:t>the logical framework for the biennial performance evaluation for 201</w:t>
            </w:r>
            <w:r w:rsidR="00FF723F">
              <w:t>6</w:t>
            </w:r>
            <w:r w:rsidRPr="00D14250">
              <w:t>–201</w:t>
            </w:r>
            <w:r w:rsidR="00FF723F">
              <w:t>7</w:t>
            </w:r>
            <w:r w:rsidRPr="00D14250">
              <w:t xml:space="preserve"> of the UNECE Subprogramme 2</w:t>
            </w:r>
            <w:r w:rsidR="001E2B22" w:rsidRPr="00D14250">
              <w:t>:</w:t>
            </w:r>
            <w:r w:rsidRPr="00D14250">
              <w:t xml:space="preserve"> Transport. </w:t>
            </w:r>
            <w:r w:rsidR="004155CB" w:rsidRPr="00D14250">
              <w:t>The note is presented to the Inland Transport Committee for approval.</w:t>
            </w:r>
          </w:p>
        </w:tc>
      </w:tr>
      <w:tr w:rsidR="00B83E9A" w:rsidRPr="00D14250">
        <w:trPr>
          <w:jc w:val="center"/>
        </w:trPr>
        <w:tc>
          <w:tcPr>
            <w:tcW w:w="9637" w:type="dxa"/>
            <w:shd w:val="clear" w:color="auto" w:fill="auto"/>
          </w:tcPr>
          <w:p w:rsidR="00B83E9A" w:rsidRPr="00D14250" w:rsidRDefault="00B83E9A" w:rsidP="001E2B22">
            <w:pPr>
              <w:pStyle w:val="SingleTxtG"/>
              <w:spacing w:line="264" w:lineRule="auto"/>
              <w:rPr>
                <w:bCs/>
              </w:rPr>
            </w:pPr>
            <w:r w:rsidRPr="00D14250">
              <w:rPr>
                <w:bCs/>
              </w:rPr>
              <w:tab/>
            </w:r>
            <w:r w:rsidR="001E2B22" w:rsidRPr="00D14250">
              <w:rPr>
                <w:bCs/>
              </w:rPr>
              <w:t>A</w:t>
            </w:r>
            <w:r w:rsidRPr="00D14250">
              <w:rPr>
                <w:bCs/>
              </w:rPr>
              <w:t>fter each Expected accomplishment (EA)</w:t>
            </w:r>
            <w:r w:rsidR="001E2B22" w:rsidRPr="00D14250">
              <w:rPr>
                <w:bCs/>
              </w:rPr>
              <w:t>,</w:t>
            </w:r>
            <w:r w:rsidRPr="00D14250">
              <w:rPr>
                <w:bCs/>
              </w:rPr>
              <w:t xml:space="preserve"> all </w:t>
            </w:r>
            <w:r w:rsidR="001E2B22" w:rsidRPr="00D14250">
              <w:rPr>
                <w:bCs/>
              </w:rPr>
              <w:t xml:space="preserve">the </w:t>
            </w:r>
            <w:r w:rsidRPr="00D14250">
              <w:rPr>
                <w:bCs/>
              </w:rPr>
              <w:t xml:space="preserve">related Indicators of Achievement (IA) are listed. </w:t>
            </w:r>
          </w:p>
        </w:tc>
      </w:tr>
      <w:tr w:rsidR="00B83E9A" w:rsidRPr="00D14250">
        <w:trPr>
          <w:jc w:val="center"/>
        </w:trPr>
        <w:tc>
          <w:tcPr>
            <w:tcW w:w="9637" w:type="dxa"/>
            <w:shd w:val="clear" w:color="auto" w:fill="auto"/>
          </w:tcPr>
          <w:p w:rsidR="00B83E9A" w:rsidRPr="00D14250" w:rsidRDefault="00B83E9A" w:rsidP="00B83E9A">
            <w:pPr>
              <w:spacing w:line="264" w:lineRule="auto"/>
            </w:pPr>
          </w:p>
        </w:tc>
      </w:tr>
    </w:tbl>
    <w:p w:rsidR="00B83E9A" w:rsidRPr="00D14250" w:rsidRDefault="00B83E9A" w:rsidP="00994436">
      <w:pPr>
        <w:pStyle w:val="HChG"/>
        <w:ind w:hanging="283"/>
      </w:pPr>
      <w:r w:rsidRPr="00D14250">
        <w:br w:type="page"/>
      </w:r>
      <w:r w:rsidRPr="00D14250">
        <w:lastRenderedPageBreak/>
        <w:t>Subprogramme 02 – Transport</w:t>
      </w:r>
    </w:p>
    <w:tbl>
      <w:tblPr>
        <w:tblW w:w="970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39"/>
        <w:gridCol w:w="2282"/>
        <w:gridCol w:w="4279"/>
      </w:tblGrid>
      <w:tr w:rsidR="00B83E9A" w:rsidRPr="00D14250" w:rsidTr="008F3198">
        <w:trPr>
          <w:tblHeader/>
        </w:trPr>
        <w:tc>
          <w:tcPr>
            <w:tcW w:w="3139" w:type="dxa"/>
            <w:tcBorders>
              <w:top w:val="single" w:sz="4" w:space="0" w:color="auto"/>
              <w:bottom w:val="single" w:sz="12" w:space="0" w:color="auto"/>
            </w:tcBorders>
            <w:shd w:val="clear" w:color="auto" w:fill="auto"/>
            <w:vAlign w:val="bottom"/>
          </w:tcPr>
          <w:p w:rsidR="00B83E9A" w:rsidRPr="00D14250" w:rsidRDefault="00B83E9A" w:rsidP="00683DE2">
            <w:pPr>
              <w:tabs>
                <w:tab w:val="left" w:pos="2410"/>
              </w:tabs>
              <w:suppressAutoHyphens w:val="0"/>
              <w:spacing w:before="80" w:after="80" w:line="200" w:lineRule="exact"/>
              <w:ind w:right="113"/>
              <w:rPr>
                <w:i/>
                <w:sz w:val="16"/>
                <w:szCs w:val="16"/>
              </w:rPr>
            </w:pPr>
            <w:r w:rsidRPr="00D14250">
              <w:rPr>
                <w:i/>
                <w:sz w:val="16"/>
                <w:szCs w:val="16"/>
              </w:rPr>
              <w:br w:type="page"/>
            </w:r>
            <w:r w:rsidRPr="00D14250">
              <w:rPr>
                <w:i/>
                <w:sz w:val="16"/>
                <w:szCs w:val="16"/>
              </w:rPr>
              <w:br w:type="page"/>
            </w:r>
            <w:r w:rsidRPr="00D14250">
              <w:rPr>
                <w:i/>
                <w:sz w:val="16"/>
                <w:szCs w:val="16"/>
              </w:rPr>
              <w:br w:type="page"/>
            </w:r>
            <w:r w:rsidRPr="00D14250">
              <w:rPr>
                <w:i/>
                <w:sz w:val="16"/>
                <w:szCs w:val="16"/>
              </w:rPr>
              <w:br w:type="page"/>
              <w:t>Expected accomplishments and indicators of achievement of the Strategic Framework 201</w:t>
            </w:r>
            <w:r w:rsidR="00683DE2" w:rsidRPr="00D14250">
              <w:rPr>
                <w:i/>
                <w:sz w:val="16"/>
                <w:szCs w:val="16"/>
              </w:rPr>
              <w:t>4</w:t>
            </w:r>
            <w:r w:rsidRPr="00D14250">
              <w:rPr>
                <w:i/>
                <w:sz w:val="16"/>
                <w:szCs w:val="16"/>
              </w:rPr>
              <w:t>–201</w:t>
            </w:r>
            <w:r w:rsidR="00683DE2" w:rsidRPr="00D14250">
              <w:rPr>
                <w:i/>
                <w:sz w:val="16"/>
                <w:szCs w:val="16"/>
              </w:rPr>
              <w:t>5</w:t>
            </w:r>
            <w:r w:rsidRPr="00D14250">
              <w:rPr>
                <w:i/>
                <w:sz w:val="16"/>
                <w:szCs w:val="16"/>
              </w:rPr>
              <w:t xml:space="preserve"> </w:t>
            </w:r>
          </w:p>
        </w:tc>
        <w:tc>
          <w:tcPr>
            <w:tcW w:w="2282" w:type="dxa"/>
            <w:tcBorders>
              <w:top w:val="single" w:sz="4" w:space="0" w:color="auto"/>
              <w:bottom w:val="single" w:sz="12" w:space="0" w:color="auto"/>
            </w:tcBorders>
            <w:shd w:val="clear" w:color="auto" w:fill="auto"/>
            <w:vAlign w:val="bottom"/>
          </w:tcPr>
          <w:p w:rsidR="00B83E9A" w:rsidRPr="00D14250" w:rsidRDefault="00B83E9A" w:rsidP="0056514E">
            <w:pPr>
              <w:tabs>
                <w:tab w:val="left" w:pos="2410"/>
              </w:tabs>
              <w:suppressAutoHyphens w:val="0"/>
              <w:spacing w:before="80" w:after="80" w:line="200" w:lineRule="exact"/>
              <w:ind w:left="113" w:right="113"/>
              <w:rPr>
                <w:i/>
                <w:sz w:val="16"/>
                <w:szCs w:val="16"/>
              </w:rPr>
            </w:pPr>
            <w:r w:rsidRPr="00D14250">
              <w:rPr>
                <w:i/>
                <w:sz w:val="16"/>
                <w:szCs w:val="16"/>
              </w:rPr>
              <w:t xml:space="preserve">Title of the cluster of activities </w:t>
            </w:r>
          </w:p>
        </w:tc>
        <w:tc>
          <w:tcPr>
            <w:tcW w:w="4279" w:type="dxa"/>
            <w:tcBorders>
              <w:top w:val="single" w:sz="4" w:space="0" w:color="auto"/>
              <w:bottom w:val="single" w:sz="12" w:space="0" w:color="auto"/>
            </w:tcBorders>
            <w:shd w:val="clear" w:color="auto" w:fill="auto"/>
            <w:vAlign w:val="bottom"/>
          </w:tcPr>
          <w:p w:rsidR="00B83E9A" w:rsidRPr="00D14250" w:rsidRDefault="00B83E9A" w:rsidP="00683DE2">
            <w:pPr>
              <w:tabs>
                <w:tab w:val="left" w:pos="2410"/>
              </w:tabs>
              <w:suppressAutoHyphens w:val="0"/>
              <w:spacing w:before="80" w:after="80" w:line="200" w:lineRule="exact"/>
              <w:ind w:left="113" w:right="113"/>
              <w:rPr>
                <w:i/>
                <w:sz w:val="16"/>
                <w:szCs w:val="16"/>
              </w:rPr>
            </w:pPr>
            <w:r w:rsidRPr="00D14250">
              <w:rPr>
                <w:i/>
                <w:sz w:val="16"/>
                <w:szCs w:val="16"/>
              </w:rPr>
              <w:t xml:space="preserve">Expected accomplishments and indicators of achievement </w:t>
            </w:r>
            <w:r w:rsidR="007C2036" w:rsidRPr="00D14250">
              <w:rPr>
                <w:i/>
                <w:sz w:val="16"/>
                <w:szCs w:val="16"/>
              </w:rPr>
              <w:br/>
            </w:r>
            <w:r w:rsidRPr="00D14250">
              <w:rPr>
                <w:i/>
                <w:sz w:val="16"/>
                <w:szCs w:val="16"/>
              </w:rPr>
              <w:t>of the Biennial Evaluation 201</w:t>
            </w:r>
            <w:r w:rsidR="00683DE2" w:rsidRPr="00D14250">
              <w:rPr>
                <w:i/>
                <w:sz w:val="16"/>
                <w:szCs w:val="16"/>
              </w:rPr>
              <w:t>4</w:t>
            </w:r>
            <w:r w:rsidRPr="00D14250">
              <w:rPr>
                <w:i/>
                <w:sz w:val="16"/>
                <w:szCs w:val="16"/>
              </w:rPr>
              <w:t>–201</w:t>
            </w:r>
            <w:r w:rsidR="00683DE2" w:rsidRPr="00D14250">
              <w:rPr>
                <w:i/>
                <w:sz w:val="16"/>
                <w:szCs w:val="16"/>
              </w:rPr>
              <w:t>5</w:t>
            </w:r>
          </w:p>
        </w:tc>
      </w:tr>
      <w:tr w:rsidR="00AD7408" w:rsidRPr="00D14250" w:rsidTr="008F3198">
        <w:trPr>
          <w:trHeight w:val="2520"/>
        </w:trPr>
        <w:tc>
          <w:tcPr>
            <w:tcW w:w="3139" w:type="dxa"/>
            <w:tcBorders>
              <w:top w:val="single" w:sz="12" w:space="0" w:color="auto"/>
              <w:bottom w:val="nil"/>
            </w:tcBorders>
            <w:shd w:val="clear" w:color="auto" w:fill="auto"/>
          </w:tcPr>
          <w:p w:rsidR="00AD7408" w:rsidRPr="00D14250" w:rsidRDefault="00AD7408" w:rsidP="0056514E">
            <w:pPr>
              <w:suppressAutoHyphens w:val="0"/>
              <w:spacing w:before="40" w:after="120"/>
              <w:ind w:right="113"/>
              <w:rPr>
                <w:b/>
              </w:rPr>
            </w:pPr>
            <w:r w:rsidRPr="00D14250">
              <w:rPr>
                <w:b/>
              </w:rPr>
              <w:t>1.</w:t>
            </w:r>
            <w:r w:rsidR="00A73519" w:rsidRPr="00D14250">
              <w:rPr>
                <w:b/>
              </w:rPr>
              <w:t xml:space="preserve"> </w:t>
            </w:r>
            <w:r w:rsidRPr="00D14250">
              <w:rPr>
                <w:b/>
              </w:rPr>
              <w:t xml:space="preserve">EA (a). </w:t>
            </w:r>
            <w:r w:rsidR="00FF723F" w:rsidRPr="00FF723F">
              <w:rPr>
                <w:b/>
              </w:rPr>
              <w:t xml:space="preserve">Strengthened legal and regulatory framework for international land (road, rail, inland waterway and intermodal transport) transport, transport infrastructure, border-crossing facilitation, </w:t>
            </w:r>
            <w:proofErr w:type="gramStart"/>
            <w:r w:rsidR="00FF723F" w:rsidRPr="00FF723F">
              <w:rPr>
                <w:b/>
              </w:rPr>
              <w:t>transport</w:t>
            </w:r>
            <w:proofErr w:type="gramEnd"/>
            <w:r w:rsidR="00FF723F" w:rsidRPr="00FF723F">
              <w:rPr>
                <w:b/>
              </w:rPr>
              <w:t xml:space="preserve"> of dangerous goods, vehicle construction and other transport-related services</w:t>
            </w:r>
            <w:r w:rsidR="003746B7" w:rsidRPr="00D14250">
              <w:rPr>
                <w:b/>
              </w:rPr>
              <w:t>.</w:t>
            </w:r>
          </w:p>
        </w:tc>
        <w:tc>
          <w:tcPr>
            <w:tcW w:w="2282" w:type="dxa"/>
            <w:tcBorders>
              <w:top w:val="single" w:sz="12" w:space="0" w:color="auto"/>
              <w:bottom w:val="nil"/>
            </w:tcBorders>
            <w:shd w:val="clear" w:color="auto" w:fill="auto"/>
          </w:tcPr>
          <w:p w:rsidR="00AD7408" w:rsidRPr="00D14250" w:rsidRDefault="00A73519" w:rsidP="0056514E">
            <w:pPr>
              <w:suppressAutoHyphens w:val="0"/>
              <w:spacing w:before="40" w:after="120"/>
              <w:ind w:left="538" w:right="113" w:hanging="425"/>
            </w:pPr>
            <w:r w:rsidRPr="00D14250">
              <w:t>1.</w:t>
            </w:r>
            <w:r w:rsidR="00443AC9" w:rsidRPr="00D14250">
              <w:tab/>
            </w:r>
            <w:r w:rsidR="008A0082" w:rsidRPr="00D14250">
              <w:t>Overall coordination</w:t>
            </w:r>
          </w:p>
        </w:tc>
        <w:tc>
          <w:tcPr>
            <w:tcW w:w="4279" w:type="dxa"/>
            <w:tcBorders>
              <w:top w:val="single" w:sz="12" w:space="0" w:color="auto"/>
              <w:bottom w:val="nil"/>
            </w:tcBorders>
            <w:shd w:val="clear" w:color="auto" w:fill="auto"/>
          </w:tcPr>
          <w:p w:rsidR="008A0082" w:rsidRPr="00D14250" w:rsidRDefault="008A0082" w:rsidP="0056514E">
            <w:pPr>
              <w:suppressAutoHyphens w:val="0"/>
              <w:spacing w:before="40" w:after="120"/>
              <w:ind w:left="113" w:right="113"/>
            </w:pPr>
            <w:r w:rsidRPr="00D14250">
              <w:t>EA 1. Successful holding of the annual meeting of the Inland Transport Committee (ITC) and its Bureau as well as of those of the ITC Chair and Vice-Chairs with the Executive Committee</w:t>
            </w:r>
          </w:p>
          <w:p w:rsidR="0044590C" w:rsidRPr="00D14250" w:rsidRDefault="0044590C" w:rsidP="0056514E">
            <w:pPr>
              <w:suppressAutoHyphens w:val="0"/>
              <w:spacing w:before="40" w:after="120"/>
              <w:ind w:left="113" w:right="113"/>
            </w:pPr>
            <w:r w:rsidRPr="00D14250">
              <w:t>IA 1. Number of member States participating in the ITC meetings</w:t>
            </w:r>
          </w:p>
          <w:p w:rsidR="0044590C" w:rsidRPr="00D14250" w:rsidRDefault="0044590C" w:rsidP="00BD323F">
            <w:pPr>
              <w:suppressAutoHyphens w:val="0"/>
              <w:spacing w:before="40" w:after="120"/>
              <w:ind w:left="113" w:right="113"/>
            </w:pPr>
            <w:r w:rsidRPr="00D14250">
              <w:rPr>
                <w:i/>
              </w:rPr>
              <w:t>Performance measures</w:t>
            </w:r>
            <w:r w:rsidRPr="00D14250">
              <w:t>:</w:t>
            </w:r>
            <w:r w:rsidRPr="00D14250">
              <w:br/>
            </w:r>
            <w:r w:rsidR="00692160" w:rsidRPr="00D14250">
              <w:t>Baseline 201</w:t>
            </w:r>
            <w:r w:rsidR="00FF723F">
              <w:t>4</w:t>
            </w:r>
            <w:r w:rsidR="00737535" w:rsidRPr="00D14250">
              <w:t>–</w:t>
            </w:r>
            <w:r w:rsidR="00692160" w:rsidRPr="00D14250">
              <w:t>201</w:t>
            </w:r>
            <w:r w:rsidR="00FF723F">
              <w:t>5</w:t>
            </w:r>
            <w:r w:rsidRPr="00D14250">
              <w:t xml:space="preserve">: </w:t>
            </w:r>
            <w:r w:rsidR="004658F8" w:rsidRPr="00D14250">
              <w:t>40+</w:t>
            </w:r>
            <w:r w:rsidR="00D66CD1" w:rsidRPr="00D14250">
              <w:t>1</w:t>
            </w:r>
            <w:r w:rsidR="00FF723F">
              <w:t>5</w:t>
            </w:r>
            <w:r w:rsidR="004658F8" w:rsidRPr="00D14250">
              <w:t xml:space="preserve"> IGO/NGO, total 1</w:t>
            </w:r>
            <w:r w:rsidR="00FF723F">
              <w:t>65</w:t>
            </w:r>
            <w:r w:rsidRPr="00D14250">
              <w:br/>
              <w:t xml:space="preserve">Target </w:t>
            </w:r>
            <w:r w:rsidR="00FF723F" w:rsidRPr="00D14250">
              <w:t>201</w:t>
            </w:r>
            <w:r w:rsidR="00FF723F">
              <w:t>6</w:t>
            </w:r>
            <w:r w:rsidR="00FF723F" w:rsidRPr="00D14250">
              <w:t>–201</w:t>
            </w:r>
            <w:r w:rsidR="00FF723F">
              <w:t>7</w:t>
            </w:r>
            <w:r w:rsidRPr="00D14250">
              <w:t>: 4</w:t>
            </w:r>
            <w:r w:rsidR="00FF723F">
              <w:t>2</w:t>
            </w:r>
            <w:r w:rsidRPr="00D14250">
              <w:t>+</w:t>
            </w:r>
            <w:r w:rsidR="00D66CD1" w:rsidRPr="00D14250">
              <w:t>15</w:t>
            </w:r>
            <w:r w:rsidRPr="00D14250">
              <w:t xml:space="preserve"> IGO/NGO, total 1</w:t>
            </w:r>
            <w:r w:rsidR="00D66CD1" w:rsidRPr="00D14250">
              <w:t>7</w:t>
            </w:r>
            <w:r w:rsidRPr="00D14250">
              <w:t>0</w:t>
            </w:r>
          </w:p>
        </w:tc>
      </w:tr>
      <w:tr w:rsidR="00CA6745" w:rsidRPr="00D14250" w:rsidTr="008F3198">
        <w:tc>
          <w:tcPr>
            <w:tcW w:w="3139" w:type="dxa"/>
            <w:tcBorders>
              <w:top w:val="nil"/>
              <w:left w:val="nil"/>
              <w:bottom w:val="nil"/>
              <w:right w:val="nil"/>
            </w:tcBorders>
            <w:shd w:val="clear" w:color="auto" w:fill="auto"/>
          </w:tcPr>
          <w:p w:rsidR="003746B7" w:rsidRPr="00D14250" w:rsidRDefault="003234ED" w:rsidP="003746B7">
            <w:pPr>
              <w:suppressAutoHyphens w:val="0"/>
              <w:spacing w:before="40" w:after="120"/>
              <w:ind w:right="113"/>
            </w:pPr>
            <w:r w:rsidRPr="00D14250">
              <w:t xml:space="preserve">IA (a) </w:t>
            </w:r>
            <w:r w:rsidR="00CA6745" w:rsidRPr="00D14250">
              <w:t>(</w:t>
            </w:r>
            <w:proofErr w:type="spellStart"/>
            <w:r w:rsidR="00CA6745" w:rsidRPr="00D14250">
              <w:t>i</w:t>
            </w:r>
            <w:proofErr w:type="spellEnd"/>
            <w:r w:rsidR="00CA6745" w:rsidRPr="00D14250">
              <w:t xml:space="preserve">) </w:t>
            </w:r>
            <w:r w:rsidR="00FF723F" w:rsidRPr="00FF723F">
              <w:t>Increased share of legal instruments on transport in force administered by ECE relative to the total number of United Nations legal instruments on transport administered by ECE</w:t>
            </w:r>
            <w:r w:rsidR="00FF723F" w:rsidRPr="00FF723F" w:rsidDel="00FF723F">
              <w:t xml:space="preserve"> </w:t>
            </w:r>
          </w:p>
          <w:p w:rsidR="00CA6745" w:rsidRPr="00D14250" w:rsidRDefault="003746B7" w:rsidP="00BD323F">
            <w:pPr>
              <w:suppressAutoHyphens w:val="0"/>
              <w:spacing w:before="40" w:after="120"/>
              <w:ind w:right="113"/>
              <w:rPr>
                <w:b/>
              </w:rPr>
            </w:pPr>
            <w:r w:rsidRPr="00D14250">
              <w:rPr>
                <w:i/>
              </w:rPr>
              <w:t>Performance measures</w:t>
            </w:r>
            <w:r w:rsidRPr="00D14250">
              <w:rPr>
                <w:i/>
              </w:rPr>
              <w:br/>
            </w:r>
            <w:r w:rsidR="00194D04" w:rsidRPr="00D14250">
              <w:t xml:space="preserve">Baseline </w:t>
            </w:r>
            <w:r w:rsidRPr="00D14250">
              <w:t>201</w:t>
            </w:r>
            <w:r w:rsidR="00FF723F">
              <w:t>5</w:t>
            </w:r>
            <w:r w:rsidRPr="00D14250">
              <w:t>: 8</w:t>
            </w:r>
            <w:r w:rsidR="00FF723F">
              <w:t>6</w:t>
            </w:r>
            <w:r w:rsidRPr="00D14250">
              <w:t xml:space="preserve"> per cent</w:t>
            </w:r>
            <w:r w:rsidRPr="00D14250">
              <w:br/>
              <w:t>Target 201</w:t>
            </w:r>
            <w:r w:rsidR="00FF723F">
              <w:t>6</w:t>
            </w:r>
            <w:r w:rsidRPr="00D14250">
              <w:t>–201</w:t>
            </w:r>
            <w:r w:rsidR="00FF723F">
              <w:t>7</w:t>
            </w:r>
            <w:r w:rsidRPr="00D14250">
              <w:t>: 8</w:t>
            </w:r>
            <w:r w:rsidR="00B229B0" w:rsidRPr="00D14250">
              <w:t>7</w:t>
            </w:r>
            <w:r w:rsidRPr="00D14250">
              <w:t xml:space="preserve"> per cent</w:t>
            </w:r>
          </w:p>
        </w:tc>
        <w:tc>
          <w:tcPr>
            <w:tcW w:w="2282" w:type="dxa"/>
            <w:tcBorders>
              <w:top w:val="nil"/>
              <w:left w:val="nil"/>
              <w:bottom w:val="nil"/>
              <w:right w:val="nil"/>
            </w:tcBorders>
            <w:shd w:val="clear" w:color="auto" w:fill="auto"/>
          </w:tcPr>
          <w:p w:rsidR="00CA6745" w:rsidRPr="00D14250" w:rsidRDefault="00443AC9" w:rsidP="0056514E">
            <w:pPr>
              <w:suppressAutoHyphens w:val="0"/>
              <w:spacing w:before="40" w:after="120"/>
              <w:ind w:left="538" w:right="113" w:hanging="425"/>
            </w:pPr>
            <w:r w:rsidRPr="00D14250">
              <w:t>2.a.</w:t>
            </w:r>
            <w:r w:rsidRPr="00D14250">
              <w:tab/>
            </w:r>
            <w:r w:rsidR="00CA6745" w:rsidRPr="00D14250">
              <w:t>Transport trends and economics (including Euro-Asian transport links)</w:t>
            </w:r>
          </w:p>
        </w:tc>
        <w:tc>
          <w:tcPr>
            <w:tcW w:w="4279" w:type="dxa"/>
            <w:vMerge w:val="restart"/>
            <w:tcBorders>
              <w:top w:val="nil"/>
              <w:left w:val="nil"/>
              <w:bottom w:val="nil"/>
              <w:right w:val="nil"/>
            </w:tcBorders>
            <w:shd w:val="clear" w:color="auto" w:fill="auto"/>
          </w:tcPr>
          <w:p w:rsidR="00CA6745" w:rsidRPr="00D14250" w:rsidRDefault="00CA6745" w:rsidP="0056514E">
            <w:pPr>
              <w:suppressAutoHyphens w:val="0"/>
              <w:spacing w:before="40" w:after="120"/>
              <w:ind w:left="113" w:right="113"/>
            </w:pPr>
            <w:r w:rsidRPr="00D14250">
              <w:t>EA 2.1 Better understanding by member States of the main transport trends and developments in the ECE region as well as strengthened cooperation on the development of Euro-Asian transport links</w:t>
            </w:r>
          </w:p>
          <w:p w:rsidR="00CA6745" w:rsidRPr="00D14250" w:rsidRDefault="00CA6745" w:rsidP="0056514E">
            <w:pPr>
              <w:suppressAutoHyphens w:val="0"/>
              <w:spacing w:before="40" w:after="120"/>
              <w:ind w:left="113" w:right="113"/>
            </w:pPr>
            <w:r w:rsidRPr="00D14250">
              <w:t xml:space="preserve">IA 2.1 (a) Number of countries participating in meetings of the Working </w:t>
            </w:r>
            <w:r w:rsidR="00811388" w:rsidRPr="00D14250">
              <w:t>Party and Expert Group meetings</w:t>
            </w:r>
          </w:p>
          <w:p w:rsidR="00CA6745" w:rsidRPr="00D14250" w:rsidRDefault="00CA6745" w:rsidP="0056514E">
            <w:pPr>
              <w:suppressAutoHyphens w:val="0"/>
              <w:spacing w:before="40" w:after="120"/>
              <w:ind w:left="113" w:right="113"/>
            </w:pPr>
            <w:r w:rsidRPr="00D14250">
              <w:rPr>
                <w:i/>
              </w:rPr>
              <w:t>Performance measures</w:t>
            </w:r>
            <w:r w:rsidRPr="00D14250">
              <w:t>:</w:t>
            </w:r>
            <w:r w:rsidRPr="00D14250">
              <w:br/>
            </w:r>
            <w:r w:rsidR="00692160" w:rsidRPr="00D14250">
              <w:t>Baseline 201</w:t>
            </w:r>
            <w:r w:rsidR="00BD323F">
              <w:t>4</w:t>
            </w:r>
            <w:r w:rsidR="00737535" w:rsidRPr="00D14250">
              <w:t>–</w:t>
            </w:r>
            <w:r w:rsidR="00692160" w:rsidRPr="00D14250">
              <w:t>201</w:t>
            </w:r>
            <w:r w:rsidR="00BD323F">
              <w:t>5</w:t>
            </w:r>
            <w:r w:rsidRPr="00D14250">
              <w:t xml:space="preserve">: </w:t>
            </w:r>
            <w:r w:rsidR="00BD323F">
              <w:t>53</w:t>
            </w:r>
            <w:r w:rsidR="00827BB9" w:rsidRPr="00D14250">
              <w:t xml:space="preserve"> in 201</w:t>
            </w:r>
            <w:r w:rsidR="00BD323F">
              <w:t>4</w:t>
            </w:r>
            <w:r w:rsidR="00827BB9" w:rsidRPr="00D14250">
              <w:t xml:space="preserve"> </w:t>
            </w:r>
            <w:r w:rsidRPr="00D14250">
              <w:br/>
              <w:t>Target: 201</w:t>
            </w:r>
            <w:r w:rsidR="00BD323F">
              <w:t>6</w:t>
            </w:r>
            <w:r w:rsidRPr="00D14250">
              <w:t>–201</w:t>
            </w:r>
            <w:r w:rsidR="00BD323F">
              <w:t>7</w:t>
            </w:r>
            <w:r w:rsidRPr="00D14250">
              <w:t xml:space="preserve">: </w:t>
            </w:r>
            <w:r w:rsidR="00BD323F">
              <w:t>50</w:t>
            </w:r>
            <w:r w:rsidR="00827BB9" w:rsidRPr="00D14250">
              <w:t xml:space="preserve"> </w:t>
            </w:r>
          </w:p>
          <w:p w:rsidR="00CA6745" w:rsidRPr="002B2BC6" w:rsidRDefault="00CA6745" w:rsidP="0056514E">
            <w:pPr>
              <w:suppressAutoHyphens w:val="0"/>
              <w:spacing w:before="40" w:after="120"/>
              <w:ind w:left="113" w:right="113"/>
            </w:pPr>
            <w:r w:rsidRPr="002B2BC6">
              <w:t>IA 2.1 (b) Level of satisfaction of participants regarding usefulness of information, meetings and activities as reflected in surveys to be conducted</w:t>
            </w:r>
          </w:p>
          <w:p w:rsidR="00E43054" w:rsidRPr="00D14250" w:rsidRDefault="00CA6745" w:rsidP="006C3A51">
            <w:pPr>
              <w:suppressAutoHyphens w:val="0"/>
              <w:spacing w:before="40" w:after="120"/>
              <w:ind w:left="113" w:right="113"/>
            </w:pPr>
            <w:r w:rsidRPr="002B2BC6">
              <w:rPr>
                <w:i/>
              </w:rPr>
              <w:t>Performance measures</w:t>
            </w:r>
            <w:r w:rsidRPr="002B2BC6">
              <w:t>:</w:t>
            </w:r>
            <w:r w:rsidRPr="002B2BC6">
              <w:br/>
            </w:r>
            <w:r w:rsidR="006C3A51" w:rsidRPr="002B2BC6">
              <w:t>Baseline</w:t>
            </w:r>
            <w:r w:rsidRPr="002B2BC6">
              <w:t>: 201</w:t>
            </w:r>
            <w:r w:rsidR="006C3A51" w:rsidRPr="002B2BC6">
              <w:t>4</w:t>
            </w:r>
            <w:r w:rsidRPr="002B2BC6">
              <w:t>–201</w:t>
            </w:r>
            <w:r w:rsidR="006C3A51" w:rsidRPr="002B2BC6">
              <w:t>5</w:t>
            </w:r>
            <w:r w:rsidRPr="002B2BC6">
              <w:t>: 75 per cent positive</w:t>
            </w:r>
            <w:r w:rsidR="00E43054" w:rsidRPr="002B2BC6">
              <w:br/>
            </w:r>
            <w:r w:rsidR="00E43054" w:rsidRPr="00C606CB">
              <w:t>Target: 201</w:t>
            </w:r>
            <w:r w:rsidR="006C3A51" w:rsidRPr="00C606CB">
              <w:t>6</w:t>
            </w:r>
            <w:r w:rsidR="00E43054" w:rsidRPr="00C606CB">
              <w:t>–201</w:t>
            </w:r>
            <w:r w:rsidR="006C3A51" w:rsidRPr="00C606CB">
              <w:t>7</w:t>
            </w:r>
            <w:r w:rsidR="00E43054" w:rsidRPr="00C606CB">
              <w:t>: 75</w:t>
            </w:r>
            <w:r w:rsidR="00353ECC" w:rsidRPr="00C606CB">
              <w:t xml:space="preserve"> </w:t>
            </w:r>
            <w:r w:rsidR="00E43054" w:rsidRPr="00C606CB">
              <w:t>per cent positive</w:t>
            </w:r>
            <w:r w:rsidR="00E43054" w:rsidRPr="002B2BC6">
              <w:rPr>
                <w:b/>
              </w:rPr>
              <w:t xml:space="preserve"> </w:t>
            </w:r>
          </w:p>
        </w:tc>
      </w:tr>
      <w:tr w:rsidR="00CA6745" w:rsidRPr="00D14250" w:rsidTr="008F3198">
        <w:tc>
          <w:tcPr>
            <w:tcW w:w="3139" w:type="dxa"/>
            <w:tcBorders>
              <w:top w:val="nil"/>
              <w:left w:val="nil"/>
              <w:bottom w:val="nil"/>
              <w:right w:val="nil"/>
            </w:tcBorders>
            <w:shd w:val="clear" w:color="auto" w:fill="auto"/>
          </w:tcPr>
          <w:p w:rsidR="003477E7" w:rsidRPr="00D14250" w:rsidRDefault="00CA6745" w:rsidP="003477E7">
            <w:pPr>
              <w:suppressAutoHyphens w:val="0"/>
              <w:spacing w:before="40" w:after="120"/>
              <w:ind w:right="113"/>
            </w:pPr>
            <w:r w:rsidRPr="00D14250">
              <w:t xml:space="preserve">IA (a) (ii) </w:t>
            </w:r>
            <w:r w:rsidR="00FF723F" w:rsidRPr="00FF723F">
              <w:t>Number of new vehicle regulations and amendments</w:t>
            </w:r>
          </w:p>
          <w:p w:rsidR="00CA6745" w:rsidRPr="00D14250" w:rsidRDefault="003477E7" w:rsidP="00BD323F">
            <w:pPr>
              <w:suppressAutoHyphens w:val="0"/>
              <w:spacing w:before="40" w:after="120"/>
              <w:ind w:right="113"/>
              <w:rPr>
                <w:b/>
              </w:rPr>
            </w:pPr>
            <w:r w:rsidRPr="00D14250">
              <w:rPr>
                <w:i/>
              </w:rPr>
              <w:t>Performance measures</w:t>
            </w:r>
            <w:r w:rsidRPr="00D14250">
              <w:rPr>
                <w:i/>
              </w:rPr>
              <w:br/>
            </w:r>
            <w:r w:rsidR="00194D04" w:rsidRPr="00D14250">
              <w:t xml:space="preserve">Baseline </w:t>
            </w:r>
            <w:r w:rsidRPr="00D14250">
              <w:t>201</w:t>
            </w:r>
            <w:r w:rsidR="00FF723F">
              <w:t>5</w:t>
            </w:r>
            <w:r w:rsidRPr="00D14250">
              <w:t xml:space="preserve">: </w:t>
            </w:r>
            <w:r w:rsidR="00FF723F">
              <w:t>100</w:t>
            </w:r>
            <w:r w:rsidR="00FF723F" w:rsidRPr="00D14250">
              <w:t xml:space="preserve"> </w:t>
            </w:r>
            <w:r w:rsidRPr="00D14250">
              <w:t>amendments and new regulations</w:t>
            </w:r>
            <w:r w:rsidRPr="00D14250">
              <w:br/>
              <w:t xml:space="preserve">Target </w:t>
            </w:r>
            <w:r w:rsidR="00FF723F" w:rsidRPr="00D14250">
              <w:t>201</w:t>
            </w:r>
            <w:r w:rsidR="00FF723F">
              <w:t>6</w:t>
            </w:r>
            <w:r w:rsidR="00FF723F" w:rsidRPr="00D14250">
              <w:t>–201</w:t>
            </w:r>
            <w:r w:rsidR="00FF723F">
              <w:t>7</w:t>
            </w:r>
            <w:r w:rsidRPr="00D14250">
              <w:t xml:space="preserve">: </w:t>
            </w:r>
            <w:r w:rsidR="00B229B0" w:rsidRPr="00D14250">
              <w:t>100</w:t>
            </w:r>
            <w:r w:rsidRPr="00D14250">
              <w:t xml:space="preserve"> amendments and new regulations</w:t>
            </w:r>
          </w:p>
        </w:tc>
        <w:tc>
          <w:tcPr>
            <w:tcW w:w="2282" w:type="dxa"/>
            <w:tcBorders>
              <w:top w:val="nil"/>
              <w:left w:val="nil"/>
              <w:bottom w:val="nil"/>
              <w:right w:val="nil"/>
            </w:tcBorders>
            <w:shd w:val="clear" w:color="auto" w:fill="auto"/>
          </w:tcPr>
          <w:p w:rsidR="00CA6745" w:rsidRPr="00D14250" w:rsidRDefault="00CA6745" w:rsidP="003E241C">
            <w:pPr>
              <w:suppressAutoHyphens w:val="0"/>
              <w:spacing w:beforeLines="40" w:before="96" w:afterLines="120" w:after="288" w:line="240" w:lineRule="auto"/>
              <w:ind w:right="113"/>
            </w:pPr>
          </w:p>
        </w:tc>
        <w:tc>
          <w:tcPr>
            <w:tcW w:w="4279" w:type="dxa"/>
            <w:vMerge/>
            <w:tcBorders>
              <w:top w:val="nil"/>
              <w:left w:val="nil"/>
              <w:bottom w:val="nil"/>
              <w:right w:val="nil"/>
            </w:tcBorders>
            <w:shd w:val="clear" w:color="auto" w:fill="auto"/>
          </w:tcPr>
          <w:p w:rsidR="00CA6745" w:rsidRPr="00D14250" w:rsidRDefault="00CA6745" w:rsidP="00A73519">
            <w:pPr>
              <w:suppressAutoHyphens w:val="0"/>
              <w:spacing w:line="240" w:lineRule="auto"/>
              <w:ind w:left="383" w:right="113"/>
            </w:pPr>
          </w:p>
        </w:tc>
      </w:tr>
      <w:tr w:rsidR="00CA6745" w:rsidRPr="00D14250" w:rsidTr="008F3198">
        <w:tc>
          <w:tcPr>
            <w:tcW w:w="3139" w:type="dxa"/>
            <w:tcBorders>
              <w:top w:val="nil"/>
              <w:left w:val="nil"/>
              <w:bottom w:val="nil"/>
              <w:right w:val="nil"/>
            </w:tcBorders>
            <w:shd w:val="clear" w:color="auto" w:fill="auto"/>
          </w:tcPr>
          <w:p w:rsidR="0084463C" w:rsidRPr="00D14250" w:rsidRDefault="00CA6745" w:rsidP="0084463C">
            <w:pPr>
              <w:suppressAutoHyphens w:val="0"/>
              <w:spacing w:before="40" w:after="120"/>
              <w:ind w:right="113"/>
            </w:pPr>
            <w:r w:rsidRPr="00D14250">
              <w:t xml:space="preserve">IA (a) (iii) </w:t>
            </w:r>
            <w:r w:rsidR="00FF723F" w:rsidRPr="00FF723F">
              <w:t>Number of international legal instruments amended to reflect the latest revised edition of the United Nations Recommendations on the Transport of Dangerous Goods</w:t>
            </w:r>
          </w:p>
          <w:p w:rsidR="00CA6745" w:rsidRPr="00D14250" w:rsidRDefault="0084463C" w:rsidP="00BD323F">
            <w:pPr>
              <w:suppressAutoHyphens w:val="0"/>
              <w:spacing w:before="40" w:after="120"/>
              <w:ind w:right="113"/>
              <w:rPr>
                <w:b/>
              </w:rPr>
            </w:pPr>
            <w:r w:rsidRPr="00D14250">
              <w:rPr>
                <w:i/>
              </w:rPr>
              <w:t>Performance measures</w:t>
            </w:r>
            <w:r w:rsidRPr="00D14250">
              <w:rPr>
                <w:i/>
              </w:rPr>
              <w:br/>
            </w:r>
            <w:r w:rsidR="00194D04" w:rsidRPr="00D14250">
              <w:t xml:space="preserve">Baseline </w:t>
            </w:r>
            <w:r w:rsidR="00FF723F">
              <w:t>2015</w:t>
            </w:r>
            <w:r w:rsidRPr="00D14250">
              <w:t>: 6 legal instruments</w:t>
            </w:r>
            <w:r w:rsidRPr="00D14250">
              <w:br/>
              <w:t xml:space="preserve">Target </w:t>
            </w:r>
            <w:r w:rsidR="00FF723F" w:rsidRPr="00D14250">
              <w:t>201</w:t>
            </w:r>
            <w:r w:rsidR="00FF723F">
              <w:t>6</w:t>
            </w:r>
            <w:r w:rsidR="00FF723F" w:rsidRPr="00D14250">
              <w:t>–201</w:t>
            </w:r>
            <w:r w:rsidR="00FF723F">
              <w:t>7</w:t>
            </w:r>
            <w:r w:rsidRPr="00D14250">
              <w:t>: 6 legal instruments</w:t>
            </w:r>
          </w:p>
        </w:tc>
        <w:tc>
          <w:tcPr>
            <w:tcW w:w="2282" w:type="dxa"/>
            <w:tcBorders>
              <w:top w:val="nil"/>
              <w:left w:val="nil"/>
              <w:bottom w:val="nil"/>
              <w:right w:val="nil"/>
            </w:tcBorders>
            <w:shd w:val="clear" w:color="auto" w:fill="auto"/>
          </w:tcPr>
          <w:p w:rsidR="00CA6745" w:rsidRPr="00D14250" w:rsidRDefault="00CA6745" w:rsidP="003E241C">
            <w:pPr>
              <w:suppressAutoHyphens w:val="0"/>
              <w:spacing w:beforeLines="40" w:before="96" w:afterLines="120" w:after="288" w:line="240" w:lineRule="auto"/>
              <w:ind w:right="113"/>
            </w:pPr>
          </w:p>
        </w:tc>
        <w:tc>
          <w:tcPr>
            <w:tcW w:w="4279" w:type="dxa"/>
            <w:vMerge/>
            <w:tcBorders>
              <w:top w:val="nil"/>
              <w:left w:val="nil"/>
              <w:bottom w:val="nil"/>
              <w:right w:val="nil"/>
            </w:tcBorders>
            <w:shd w:val="clear" w:color="auto" w:fill="auto"/>
          </w:tcPr>
          <w:p w:rsidR="00CA6745" w:rsidRPr="00D14250" w:rsidRDefault="00CA6745" w:rsidP="00A73519">
            <w:pPr>
              <w:suppressAutoHyphens w:val="0"/>
              <w:spacing w:line="240" w:lineRule="auto"/>
              <w:ind w:left="383" w:right="113"/>
            </w:pPr>
          </w:p>
        </w:tc>
      </w:tr>
      <w:tr w:rsidR="00F95885" w:rsidRPr="00D14250" w:rsidTr="008F3198">
        <w:tc>
          <w:tcPr>
            <w:tcW w:w="3139" w:type="dxa"/>
            <w:tcBorders>
              <w:top w:val="nil"/>
              <w:left w:val="nil"/>
              <w:bottom w:val="nil"/>
              <w:right w:val="nil"/>
            </w:tcBorders>
            <w:shd w:val="clear" w:color="auto" w:fill="auto"/>
          </w:tcPr>
          <w:p w:rsidR="00F95885" w:rsidRPr="00D14250" w:rsidRDefault="00F95885" w:rsidP="00837E69">
            <w:pPr>
              <w:keepNext/>
              <w:keepLines/>
              <w:suppressAutoHyphens w:val="0"/>
              <w:spacing w:line="240" w:lineRule="auto"/>
              <w:ind w:right="113"/>
              <w:rPr>
                <w:b/>
              </w:rPr>
            </w:pPr>
          </w:p>
        </w:tc>
        <w:tc>
          <w:tcPr>
            <w:tcW w:w="2282" w:type="dxa"/>
            <w:tcBorders>
              <w:top w:val="nil"/>
              <w:left w:val="nil"/>
              <w:bottom w:val="nil"/>
              <w:right w:val="nil"/>
            </w:tcBorders>
            <w:shd w:val="clear" w:color="auto" w:fill="auto"/>
          </w:tcPr>
          <w:p w:rsidR="00F95885" w:rsidRPr="00D14250" w:rsidRDefault="00F95885" w:rsidP="00837E69">
            <w:pPr>
              <w:keepNext/>
              <w:keepLines/>
              <w:suppressAutoHyphens w:val="0"/>
              <w:spacing w:before="40" w:after="120"/>
              <w:ind w:left="538" w:right="113" w:hanging="425"/>
            </w:pPr>
            <w:r w:rsidRPr="00D14250">
              <w:t>3.</w:t>
            </w:r>
            <w:r w:rsidR="00870A94" w:rsidRPr="00D14250">
              <w:tab/>
            </w:r>
            <w:r w:rsidRPr="00D14250">
              <w:t>Harmonization of vehicle regulations</w:t>
            </w:r>
          </w:p>
        </w:tc>
        <w:tc>
          <w:tcPr>
            <w:tcW w:w="4279" w:type="dxa"/>
            <w:tcBorders>
              <w:top w:val="nil"/>
              <w:left w:val="nil"/>
              <w:bottom w:val="nil"/>
              <w:right w:val="nil"/>
            </w:tcBorders>
            <w:shd w:val="clear" w:color="auto" w:fill="auto"/>
          </w:tcPr>
          <w:p w:rsidR="00F95885" w:rsidRPr="00D14250" w:rsidRDefault="00F95885" w:rsidP="001E5882">
            <w:pPr>
              <w:suppressAutoHyphens w:val="0"/>
              <w:spacing w:before="40" w:after="120"/>
              <w:ind w:left="113" w:right="113"/>
            </w:pPr>
            <w:r w:rsidRPr="00D14250">
              <w:t xml:space="preserve">EA 3. </w:t>
            </w:r>
            <w:r w:rsidR="00A81FC6" w:rsidRPr="00A81FC6">
              <w:t>Establishment of new vehicle regulations and amendments to current vehicle regulations to make vehicles safer and more environmentally friendly</w:t>
            </w:r>
          </w:p>
        </w:tc>
      </w:tr>
      <w:tr w:rsidR="00F95885" w:rsidRPr="00D14250" w:rsidTr="008F3198">
        <w:tc>
          <w:tcPr>
            <w:tcW w:w="3139" w:type="dxa"/>
            <w:tcBorders>
              <w:top w:val="nil"/>
              <w:left w:val="nil"/>
              <w:bottom w:val="nil"/>
              <w:right w:val="nil"/>
            </w:tcBorders>
            <w:shd w:val="clear" w:color="auto" w:fill="auto"/>
          </w:tcPr>
          <w:p w:rsidR="00F95885" w:rsidRPr="00D14250" w:rsidRDefault="00F95885" w:rsidP="00837E69">
            <w:pPr>
              <w:keepNext/>
              <w:keepLines/>
              <w:suppressAutoHyphens w:val="0"/>
              <w:spacing w:line="240" w:lineRule="auto"/>
              <w:ind w:right="113"/>
              <w:rPr>
                <w:b/>
              </w:rPr>
            </w:pPr>
          </w:p>
        </w:tc>
        <w:tc>
          <w:tcPr>
            <w:tcW w:w="2282" w:type="dxa"/>
            <w:tcBorders>
              <w:top w:val="nil"/>
              <w:left w:val="nil"/>
              <w:bottom w:val="nil"/>
              <w:right w:val="nil"/>
            </w:tcBorders>
            <w:shd w:val="clear" w:color="auto" w:fill="auto"/>
          </w:tcPr>
          <w:p w:rsidR="00F95885" w:rsidRPr="00D14250" w:rsidRDefault="00F95885" w:rsidP="00837E69">
            <w:pPr>
              <w:keepNext/>
              <w:keepLines/>
              <w:suppressAutoHyphens w:val="0"/>
              <w:spacing w:line="240" w:lineRule="auto"/>
              <w:ind w:right="113"/>
            </w:pPr>
          </w:p>
        </w:tc>
        <w:tc>
          <w:tcPr>
            <w:tcW w:w="4279" w:type="dxa"/>
            <w:tcBorders>
              <w:top w:val="nil"/>
              <w:left w:val="nil"/>
              <w:bottom w:val="nil"/>
              <w:right w:val="nil"/>
            </w:tcBorders>
            <w:shd w:val="clear" w:color="auto" w:fill="auto"/>
          </w:tcPr>
          <w:p w:rsidR="00F95885" w:rsidRPr="00D14250" w:rsidRDefault="00F95885" w:rsidP="001E5882">
            <w:pPr>
              <w:suppressAutoHyphens w:val="0"/>
              <w:spacing w:before="40" w:after="120"/>
              <w:ind w:left="113" w:right="113"/>
            </w:pPr>
            <w:r w:rsidRPr="00D14250">
              <w:t xml:space="preserve">IA 3. (a) </w:t>
            </w:r>
            <w:r w:rsidR="00327DE0" w:rsidRPr="009A29A3">
              <w:rPr>
                <w:snapToGrid w:val="0"/>
              </w:rPr>
              <w:t>Adoption of new vehicle regulations (UN Regulations and UN GTRs) and UN Rules and adoption of amendments to them</w:t>
            </w:r>
          </w:p>
          <w:p w:rsidR="00D27AD7" w:rsidRDefault="00F95885" w:rsidP="00D27AD7">
            <w:pPr>
              <w:keepNext/>
              <w:keepLines/>
              <w:suppressAutoHyphens w:val="0"/>
              <w:spacing w:before="40" w:after="120"/>
              <w:ind w:left="113" w:right="113"/>
            </w:pPr>
            <w:r w:rsidRPr="00D14250">
              <w:rPr>
                <w:i/>
              </w:rPr>
              <w:t>Performance measures</w:t>
            </w:r>
            <w:r w:rsidRPr="00D14250">
              <w:t>:</w:t>
            </w:r>
            <w:r w:rsidR="00811388" w:rsidRPr="00D14250">
              <w:br/>
            </w:r>
            <w:r w:rsidR="00327DE0" w:rsidRPr="009A29A3">
              <w:t>Baseline 2014–2015: 169</w:t>
            </w:r>
            <w:r w:rsidR="00C606CB">
              <w:t xml:space="preserve"> </w:t>
            </w:r>
            <w:r w:rsidR="00327DE0" w:rsidRPr="009A29A3">
              <w:t>amendments and new regulations adopted until June 2013 and expectations for the November 2015 session</w:t>
            </w:r>
            <w:r w:rsidR="00327DE0" w:rsidRPr="00D14250" w:rsidDel="00327DE0">
              <w:t xml:space="preserve"> </w:t>
            </w:r>
          </w:p>
          <w:p w:rsidR="00811388" w:rsidRPr="00D14250" w:rsidRDefault="00327DE0" w:rsidP="00D27AD7">
            <w:pPr>
              <w:keepNext/>
              <w:keepLines/>
              <w:suppressAutoHyphens w:val="0"/>
              <w:spacing w:before="40" w:after="120"/>
              <w:ind w:left="113" w:right="113"/>
            </w:pPr>
            <w:r w:rsidRPr="00D27AD7">
              <w:rPr>
                <w:iCs/>
              </w:rPr>
              <w:t>Target</w:t>
            </w:r>
            <w:r w:rsidRPr="009A29A3">
              <w:t xml:space="preserve"> 2016–2017: 130 amendments and new regulations</w:t>
            </w:r>
          </w:p>
        </w:tc>
      </w:tr>
      <w:tr w:rsidR="00AD7408" w:rsidRPr="00D14250" w:rsidTr="008F3198">
        <w:tc>
          <w:tcPr>
            <w:tcW w:w="3139" w:type="dxa"/>
            <w:tcBorders>
              <w:top w:val="nil"/>
              <w:left w:val="nil"/>
              <w:bottom w:val="nil"/>
              <w:right w:val="nil"/>
            </w:tcBorders>
            <w:shd w:val="clear" w:color="auto" w:fill="auto"/>
          </w:tcPr>
          <w:p w:rsidR="00AD7408" w:rsidRPr="00D14250" w:rsidRDefault="00AD740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AD7408" w:rsidRPr="00D14250" w:rsidRDefault="00AD7408" w:rsidP="00B83E9A">
            <w:pPr>
              <w:suppressAutoHyphens w:val="0"/>
              <w:spacing w:line="240" w:lineRule="auto"/>
              <w:ind w:right="113"/>
            </w:pPr>
          </w:p>
        </w:tc>
        <w:tc>
          <w:tcPr>
            <w:tcW w:w="4279" w:type="dxa"/>
            <w:tcBorders>
              <w:top w:val="nil"/>
              <w:left w:val="nil"/>
              <w:bottom w:val="nil"/>
              <w:right w:val="nil"/>
            </w:tcBorders>
            <w:shd w:val="clear" w:color="auto" w:fill="auto"/>
          </w:tcPr>
          <w:p w:rsidR="00F95885" w:rsidRPr="00D14250" w:rsidRDefault="00F95885" w:rsidP="0056514E">
            <w:pPr>
              <w:suppressAutoHyphens w:val="0"/>
              <w:spacing w:before="40" w:after="120"/>
              <w:ind w:left="113" w:right="113"/>
            </w:pPr>
            <w:r w:rsidRPr="00D14250">
              <w:t xml:space="preserve">IA 3. (b) </w:t>
            </w:r>
            <w:r w:rsidR="00327DE0" w:rsidRPr="009A29A3">
              <w:t>A publication on WP.29 and a brochure on autonomous vehicles</w:t>
            </w:r>
          </w:p>
          <w:p w:rsidR="00327DE0" w:rsidRPr="009A29A3" w:rsidRDefault="00F95885" w:rsidP="00C606CB">
            <w:pPr>
              <w:keepNext/>
              <w:keepLines/>
              <w:suppressAutoHyphens w:val="0"/>
              <w:spacing w:before="40" w:after="120"/>
              <w:ind w:left="113" w:right="113"/>
            </w:pPr>
            <w:r w:rsidRPr="00D14250">
              <w:rPr>
                <w:i/>
              </w:rPr>
              <w:t>Performance measures</w:t>
            </w:r>
            <w:r w:rsidRPr="00D14250">
              <w:t>:</w:t>
            </w:r>
            <w:r w:rsidR="00811388" w:rsidRPr="00D14250">
              <w:br/>
            </w:r>
            <w:r w:rsidR="00327DE0" w:rsidRPr="009A29A3">
              <w:t>Baseline 2014–2015:</w:t>
            </w:r>
            <w:r w:rsidR="00327DE0" w:rsidRPr="009A29A3">
              <w:br/>
              <w:t>1 Publication on helmets for motorcycles and a brochure on Child Restraint Systems (CRS)</w:t>
            </w:r>
          </w:p>
          <w:p w:rsidR="00AD7408" w:rsidRPr="00D14250" w:rsidRDefault="00327DE0" w:rsidP="00EE24AD">
            <w:pPr>
              <w:suppressAutoHyphens w:val="0"/>
              <w:spacing w:before="40" w:after="120"/>
              <w:ind w:left="113" w:right="113"/>
            </w:pPr>
            <w:r w:rsidRPr="009A29A3">
              <w:rPr>
                <w:iCs/>
              </w:rPr>
              <w:t>Target 2014-2015: 1 publication on helmets and 1 brochure on CRS</w:t>
            </w:r>
          </w:p>
        </w:tc>
      </w:tr>
      <w:tr w:rsidR="00811388" w:rsidRPr="00D14250" w:rsidTr="008F3198">
        <w:tc>
          <w:tcPr>
            <w:tcW w:w="3139" w:type="dxa"/>
            <w:tcBorders>
              <w:top w:val="nil"/>
              <w:left w:val="nil"/>
              <w:bottom w:val="nil"/>
              <w:right w:val="nil"/>
            </w:tcBorders>
            <w:shd w:val="clear" w:color="auto" w:fill="auto"/>
          </w:tcPr>
          <w:p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811388" w:rsidRPr="00D14250" w:rsidRDefault="00A20C6F" w:rsidP="0056514E">
            <w:pPr>
              <w:suppressAutoHyphens w:val="0"/>
              <w:spacing w:before="40" w:after="120"/>
              <w:ind w:left="538" w:right="113" w:hanging="425"/>
            </w:pPr>
            <w:r w:rsidRPr="00D14250">
              <w:t>4.</w:t>
            </w:r>
            <w:r w:rsidRPr="00D14250">
              <w:tab/>
              <w:t>Rail Transport (Trans-European network for rail (TER) project)</w:t>
            </w:r>
          </w:p>
        </w:tc>
        <w:tc>
          <w:tcPr>
            <w:tcW w:w="4279" w:type="dxa"/>
            <w:tcBorders>
              <w:top w:val="nil"/>
              <w:left w:val="nil"/>
              <w:bottom w:val="nil"/>
              <w:right w:val="nil"/>
            </w:tcBorders>
            <w:shd w:val="clear" w:color="auto" w:fill="auto"/>
          </w:tcPr>
          <w:p w:rsidR="00E50FD1" w:rsidRPr="00D14250" w:rsidRDefault="00811388" w:rsidP="00A4774B">
            <w:pPr>
              <w:suppressAutoHyphens w:val="0"/>
              <w:spacing w:before="40" w:after="120"/>
              <w:ind w:left="113" w:right="113"/>
            </w:pPr>
            <w:r w:rsidRPr="00D14250">
              <w:t xml:space="preserve">EA 4.a. </w:t>
            </w:r>
            <w:r w:rsidR="008A4B3A" w:rsidRPr="00D27AD7">
              <w:t>Better understanding of rail transport operations and policies in the region, including infrastructure, border crossing, interoperability issues, and monitoring and updating of relevant legal instruments, as well as enhanced cooperation of UNECE countries in addressing them</w:t>
            </w:r>
          </w:p>
        </w:tc>
      </w:tr>
      <w:tr w:rsidR="00811388" w:rsidRPr="00D14250" w:rsidTr="008F3198">
        <w:tc>
          <w:tcPr>
            <w:tcW w:w="3139" w:type="dxa"/>
            <w:tcBorders>
              <w:top w:val="nil"/>
              <w:left w:val="nil"/>
              <w:bottom w:val="nil"/>
              <w:right w:val="nil"/>
            </w:tcBorders>
            <w:shd w:val="clear" w:color="auto" w:fill="auto"/>
          </w:tcPr>
          <w:p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811388" w:rsidRPr="00D14250" w:rsidRDefault="00811388" w:rsidP="00B83E9A">
            <w:pPr>
              <w:suppressAutoHyphens w:val="0"/>
              <w:spacing w:line="240" w:lineRule="auto"/>
              <w:ind w:right="113"/>
            </w:pPr>
          </w:p>
        </w:tc>
        <w:tc>
          <w:tcPr>
            <w:tcW w:w="4279" w:type="dxa"/>
            <w:tcBorders>
              <w:top w:val="nil"/>
              <w:left w:val="nil"/>
              <w:bottom w:val="nil"/>
              <w:right w:val="nil"/>
            </w:tcBorders>
            <w:shd w:val="clear" w:color="auto" w:fill="auto"/>
          </w:tcPr>
          <w:p w:rsidR="00811388" w:rsidRPr="00D14250" w:rsidRDefault="00811388" w:rsidP="0056514E">
            <w:pPr>
              <w:suppressAutoHyphens w:val="0"/>
              <w:spacing w:before="40" w:after="120"/>
              <w:ind w:left="113" w:right="113"/>
            </w:pPr>
            <w:r w:rsidRPr="00D14250">
              <w:t xml:space="preserve">IA 4.a. (a) </w:t>
            </w:r>
            <w:r w:rsidRPr="008A4B3A">
              <w:t>Number</w:t>
            </w:r>
            <w:r w:rsidRPr="00D14250">
              <w:t xml:space="preserve"> of countries, IGOs and NGOs participating in the </w:t>
            </w:r>
            <w:r w:rsidR="001948D6">
              <w:t xml:space="preserve">two </w:t>
            </w:r>
            <w:r w:rsidRPr="00D14250">
              <w:t>annual meeting</w:t>
            </w:r>
            <w:r w:rsidR="001948D6">
              <w:t>s</w:t>
            </w:r>
            <w:r w:rsidRPr="00D14250">
              <w:t xml:space="preserve"> of the Working Party on Rail Transport </w:t>
            </w:r>
            <w:r w:rsidR="004731FC">
              <w:t xml:space="preserve">and of the TER project </w:t>
            </w:r>
            <w:r w:rsidRPr="00D14250">
              <w:t>and level of satisfaction as expressed in surveys</w:t>
            </w:r>
          </w:p>
          <w:p w:rsidR="00811388" w:rsidRPr="00D14250" w:rsidRDefault="00811388" w:rsidP="00045178">
            <w:pPr>
              <w:suppressAutoHyphens w:val="0"/>
              <w:spacing w:before="40" w:after="120"/>
              <w:ind w:left="113" w:right="113"/>
            </w:pPr>
            <w:r w:rsidRPr="00D14250">
              <w:rPr>
                <w:i/>
              </w:rPr>
              <w:t>Performance measures</w:t>
            </w:r>
            <w:r w:rsidRPr="00D14250">
              <w:t>:</w:t>
            </w:r>
            <w:r w:rsidR="003234ED" w:rsidRPr="00D14250">
              <w:br/>
            </w:r>
            <w:r w:rsidR="00692160" w:rsidRPr="00D14250">
              <w:t>Baseline 201</w:t>
            </w:r>
            <w:r w:rsidR="008A4B3A">
              <w:t>4</w:t>
            </w:r>
            <w:r w:rsidR="00CE6E9B" w:rsidRPr="00D14250">
              <w:t>–</w:t>
            </w:r>
            <w:r w:rsidR="00692160" w:rsidRPr="00D14250">
              <w:t>201</w:t>
            </w:r>
            <w:r w:rsidR="008A4B3A">
              <w:t>5</w:t>
            </w:r>
            <w:r w:rsidRPr="00D14250">
              <w:t xml:space="preserve">: </w:t>
            </w:r>
            <w:r w:rsidR="00644DE0">
              <w:t>4</w:t>
            </w:r>
            <w:r w:rsidR="00045178" w:rsidRPr="00D14250">
              <w:t>0</w:t>
            </w:r>
            <w:r w:rsidR="003234ED" w:rsidRPr="00D14250">
              <w:br/>
            </w:r>
            <w:r w:rsidRPr="00D14250">
              <w:t>Target: 201</w:t>
            </w:r>
            <w:r w:rsidR="008A4B3A">
              <w:t>6</w:t>
            </w:r>
            <w:r w:rsidRPr="00D14250">
              <w:t>–201</w:t>
            </w:r>
            <w:r w:rsidR="008A4B3A">
              <w:t>7</w:t>
            </w:r>
            <w:r w:rsidRPr="00D14250">
              <w:t xml:space="preserve">: </w:t>
            </w:r>
            <w:r w:rsidR="00045178" w:rsidRPr="00D14250">
              <w:t>40</w:t>
            </w:r>
          </w:p>
        </w:tc>
      </w:tr>
      <w:tr w:rsidR="00811388" w:rsidRPr="00D14250" w:rsidTr="008F3198">
        <w:tc>
          <w:tcPr>
            <w:tcW w:w="3139" w:type="dxa"/>
            <w:tcBorders>
              <w:top w:val="nil"/>
              <w:left w:val="nil"/>
              <w:bottom w:val="nil"/>
              <w:right w:val="nil"/>
            </w:tcBorders>
            <w:shd w:val="clear" w:color="auto" w:fill="auto"/>
          </w:tcPr>
          <w:p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811388" w:rsidRPr="00D14250" w:rsidRDefault="00811388" w:rsidP="00B83E9A">
            <w:pPr>
              <w:suppressAutoHyphens w:val="0"/>
              <w:spacing w:line="240" w:lineRule="auto"/>
              <w:ind w:right="113"/>
            </w:pPr>
          </w:p>
        </w:tc>
        <w:tc>
          <w:tcPr>
            <w:tcW w:w="4279" w:type="dxa"/>
            <w:tcBorders>
              <w:top w:val="nil"/>
              <w:left w:val="nil"/>
              <w:bottom w:val="nil"/>
              <w:right w:val="nil"/>
            </w:tcBorders>
            <w:shd w:val="clear" w:color="auto" w:fill="auto"/>
          </w:tcPr>
          <w:p w:rsidR="00811388" w:rsidRPr="00D14250" w:rsidRDefault="00811388" w:rsidP="0056514E">
            <w:pPr>
              <w:suppressAutoHyphens w:val="0"/>
              <w:spacing w:before="40" w:after="120"/>
              <w:ind w:left="113" w:right="113"/>
            </w:pPr>
            <w:r w:rsidRPr="00D14250">
              <w:t xml:space="preserve">IA 4.a. (b) </w:t>
            </w:r>
            <w:r w:rsidR="00E50FD1" w:rsidRPr="00D14250">
              <w:t>Number of amendments to the AGC Agreement as well as updated and amended lines in its Annex I which the Working Party has put in effect.</w:t>
            </w:r>
          </w:p>
          <w:p w:rsidR="00811388" w:rsidRPr="00D14250" w:rsidRDefault="00811388" w:rsidP="00E50FD1">
            <w:pPr>
              <w:suppressAutoHyphens w:val="0"/>
              <w:spacing w:before="40" w:after="120"/>
              <w:ind w:left="113" w:right="113"/>
            </w:pPr>
            <w:r w:rsidRPr="00D14250">
              <w:rPr>
                <w:i/>
              </w:rPr>
              <w:t>Performance measures</w:t>
            </w:r>
            <w:r w:rsidRPr="00D14250">
              <w:t>:</w:t>
            </w:r>
            <w:r w:rsidR="003234ED" w:rsidRPr="00D14250">
              <w:br/>
            </w:r>
            <w:r w:rsidR="00692160" w:rsidRPr="00D14250">
              <w:t>Baseline 201</w:t>
            </w:r>
            <w:r w:rsidR="008A4B3A">
              <w:t>4</w:t>
            </w:r>
            <w:r w:rsidR="00CE6E9B" w:rsidRPr="00D14250">
              <w:t>–</w:t>
            </w:r>
            <w:r w:rsidR="00692160" w:rsidRPr="00D14250">
              <w:t>201</w:t>
            </w:r>
            <w:r w:rsidR="008A4B3A">
              <w:t>5</w:t>
            </w:r>
            <w:r w:rsidRPr="00D14250">
              <w:t xml:space="preserve">: </w:t>
            </w:r>
            <w:r w:rsidR="00644DE0">
              <w:t>1</w:t>
            </w:r>
            <w:r w:rsidR="003234ED" w:rsidRPr="00D14250">
              <w:br/>
            </w:r>
            <w:r w:rsidRPr="00D14250">
              <w:t>Target: 201</w:t>
            </w:r>
            <w:r w:rsidR="008A4B3A">
              <w:t>6</w:t>
            </w:r>
            <w:r w:rsidRPr="00D14250">
              <w:t>–201</w:t>
            </w:r>
            <w:r w:rsidR="008A4B3A">
              <w:t>7</w:t>
            </w:r>
            <w:r w:rsidRPr="00D14250">
              <w:t>: 1</w:t>
            </w:r>
          </w:p>
        </w:tc>
      </w:tr>
      <w:tr w:rsidR="00811388" w:rsidRPr="00D14250" w:rsidTr="008F3198">
        <w:trPr>
          <w:cantSplit/>
        </w:trPr>
        <w:tc>
          <w:tcPr>
            <w:tcW w:w="3139" w:type="dxa"/>
            <w:tcBorders>
              <w:top w:val="nil"/>
              <w:left w:val="nil"/>
              <w:bottom w:val="nil"/>
              <w:right w:val="nil"/>
            </w:tcBorders>
            <w:shd w:val="clear" w:color="auto" w:fill="auto"/>
          </w:tcPr>
          <w:p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811388" w:rsidRPr="00D14250" w:rsidRDefault="00811388" w:rsidP="00B83E9A">
            <w:pPr>
              <w:suppressAutoHyphens w:val="0"/>
              <w:spacing w:line="240" w:lineRule="auto"/>
              <w:ind w:right="113"/>
            </w:pPr>
          </w:p>
        </w:tc>
        <w:tc>
          <w:tcPr>
            <w:tcW w:w="4279" w:type="dxa"/>
            <w:tcBorders>
              <w:top w:val="nil"/>
              <w:left w:val="nil"/>
              <w:bottom w:val="nil"/>
              <w:right w:val="nil"/>
            </w:tcBorders>
            <w:shd w:val="clear" w:color="auto" w:fill="auto"/>
          </w:tcPr>
          <w:p w:rsidR="00811388" w:rsidRPr="00D14250" w:rsidRDefault="00811388" w:rsidP="0056514E">
            <w:pPr>
              <w:suppressAutoHyphens w:val="0"/>
              <w:spacing w:before="40" w:after="120"/>
              <w:ind w:left="113" w:right="113"/>
            </w:pPr>
            <w:r w:rsidRPr="00D14250">
              <w:t>IA 4.a. (c) Number of thematic workshops/seminars/themes organized and number of participants</w:t>
            </w:r>
          </w:p>
          <w:p w:rsidR="00811388" w:rsidRPr="00D14250" w:rsidRDefault="00811388" w:rsidP="009A54B8">
            <w:pPr>
              <w:suppressAutoHyphens w:val="0"/>
              <w:spacing w:before="40" w:after="120"/>
              <w:ind w:left="113" w:right="113"/>
            </w:pPr>
            <w:r w:rsidRPr="00D14250">
              <w:rPr>
                <w:i/>
              </w:rPr>
              <w:t>Performance measures</w:t>
            </w:r>
            <w:r w:rsidRPr="00D14250">
              <w:t>:</w:t>
            </w:r>
            <w:r w:rsidR="003234ED" w:rsidRPr="00D14250">
              <w:br/>
            </w:r>
            <w:r w:rsidR="00692160" w:rsidRPr="00D14250">
              <w:t>Baseline 201</w:t>
            </w:r>
            <w:r w:rsidR="008A4B3A">
              <w:t>4</w:t>
            </w:r>
            <w:r w:rsidR="00CE6E9B" w:rsidRPr="00D14250">
              <w:t>–</w:t>
            </w:r>
            <w:r w:rsidR="00692160" w:rsidRPr="00D14250">
              <w:t>201</w:t>
            </w:r>
            <w:r w:rsidR="008A4B3A">
              <w:t>5</w:t>
            </w:r>
            <w:r w:rsidRPr="00D14250">
              <w:t>: 2</w:t>
            </w:r>
            <w:r w:rsidR="003234ED" w:rsidRPr="00D14250">
              <w:br/>
            </w:r>
            <w:r w:rsidRPr="00D14250">
              <w:t>Target: 201</w:t>
            </w:r>
            <w:r w:rsidR="008A4B3A">
              <w:t>6</w:t>
            </w:r>
            <w:r w:rsidRPr="00D14250">
              <w:t>–201</w:t>
            </w:r>
            <w:r w:rsidR="000C5876">
              <w:t>7</w:t>
            </w:r>
            <w:r w:rsidRPr="00D14250">
              <w:t>: 2</w:t>
            </w:r>
          </w:p>
        </w:tc>
      </w:tr>
      <w:tr w:rsidR="00811388" w:rsidRPr="00D14250" w:rsidTr="008F3198">
        <w:tc>
          <w:tcPr>
            <w:tcW w:w="3139" w:type="dxa"/>
            <w:tcBorders>
              <w:top w:val="nil"/>
              <w:left w:val="nil"/>
              <w:bottom w:val="nil"/>
              <w:right w:val="nil"/>
            </w:tcBorders>
            <w:shd w:val="clear" w:color="auto" w:fill="auto"/>
          </w:tcPr>
          <w:p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811388" w:rsidRPr="00D14250" w:rsidRDefault="00870A94" w:rsidP="0056514E">
            <w:pPr>
              <w:suppressAutoHyphens w:val="0"/>
              <w:spacing w:before="40" w:after="120"/>
              <w:ind w:left="538" w:right="113" w:hanging="425"/>
            </w:pPr>
            <w:r w:rsidRPr="00D14250">
              <w:t>5.</w:t>
            </w:r>
            <w:r w:rsidRPr="00D14250">
              <w:tab/>
            </w:r>
            <w:r w:rsidR="00811388" w:rsidRPr="00D14250">
              <w:t>Inland waterway transport</w:t>
            </w:r>
          </w:p>
        </w:tc>
        <w:tc>
          <w:tcPr>
            <w:tcW w:w="4279" w:type="dxa"/>
            <w:tcBorders>
              <w:top w:val="nil"/>
              <w:left w:val="nil"/>
              <w:bottom w:val="nil"/>
              <w:right w:val="nil"/>
            </w:tcBorders>
            <w:shd w:val="clear" w:color="auto" w:fill="auto"/>
          </w:tcPr>
          <w:p w:rsidR="00811388" w:rsidRPr="00D14250" w:rsidRDefault="00811388" w:rsidP="0056514E">
            <w:pPr>
              <w:suppressAutoHyphens w:val="0"/>
              <w:spacing w:before="40" w:after="120"/>
              <w:ind w:left="113" w:right="113"/>
            </w:pPr>
            <w:r w:rsidRPr="00D14250">
              <w:t xml:space="preserve">EA 5. An improved and updated regulatory framework for inland water transport infrastructure and vessels in the </w:t>
            </w:r>
            <w:r w:rsidR="00985FBB">
              <w:t>UN</w:t>
            </w:r>
            <w:r w:rsidRPr="00D14250">
              <w:t>ECE region</w:t>
            </w:r>
          </w:p>
        </w:tc>
      </w:tr>
      <w:tr w:rsidR="00811388" w:rsidRPr="00D14250" w:rsidTr="008F3198">
        <w:tc>
          <w:tcPr>
            <w:tcW w:w="3139" w:type="dxa"/>
            <w:tcBorders>
              <w:top w:val="nil"/>
              <w:left w:val="nil"/>
              <w:bottom w:val="nil"/>
              <w:right w:val="nil"/>
            </w:tcBorders>
            <w:shd w:val="clear" w:color="auto" w:fill="auto"/>
          </w:tcPr>
          <w:p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811388" w:rsidRPr="00D14250" w:rsidRDefault="00811388" w:rsidP="00B83E9A">
            <w:pPr>
              <w:suppressAutoHyphens w:val="0"/>
              <w:spacing w:line="240" w:lineRule="auto"/>
              <w:ind w:right="113"/>
            </w:pPr>
          </w:p>
        </w:tc>
        <w:tc>
          <w:tcPr>
            <w:tcW w:w="4279" w:type="dxa"/>
            <w:tcBorders>
              <w:top w:val="nil"/>
              <w:left w:val="nil"/>
              <w:bottom w:val="nil"/>
              <w:right w:val="nil"/>
            </w:tcBorders>
            <w:shd w:val="clear" w:color="auto" w:fill="auto"/>
          </w:tcPr>
          <w:p w:rsidR="00811388" w:rsidRPr="00D14250" w:rsidRDefault="00811388" w:rsidP="0056514E">
            <w:pPr>
              <w:suppressAutoHyphens w:val="0"/>
              <w:spacing w:before="40" w:after="120"/>
              <w:ind w:left="113" w:right="113"/>
            </w:pPr>
            <w:r w:rsidRPr="00D14250">
              <w:t xml:space="preserve">IA 5. (a) </w:t>
            </w:r>
            <w:r w:rsidR="002A4E78" w:rsidRPr="00D14250">
              <w:t>Promotion of the second edition of the UNECE Blue Book and, on this basis, updating of the AGN Agreement and other relevant UNECE instruments</w:t>
            </w:r>
          </w:p>
          <w:p w:rsidR="00E82FDA" w:rsidRPr="00985FBB" w:rsidRDefault="00811388" w:rsidP="002A4E78">
            <w:pPr>
              <w:suppressAutoHyphens w:val="0"/>
              <w:spacing w:before="40" w:after="120"/>
              <w:ind w:left="113" w:right="113"/>
            </w:pPr>
            <w:r w:rsidRPr="00D14250">
              <w:rPr>
                <w:i/>
              </w:rPr>
              <w:t>Performance measures</w:t>
            </w:r>
            <w:r w:rsidRPr="00D14250">
              <w:t>:</w:t>
            </w:r>
            <w:r w:rsidR="003234ED" w:rsidRPr="00D14250">
              <w:br/>
            </w:r>
            <w:r w:rsidR="00692160" w:rsidRPr="00D14250">
              <w:t>Baseline 201</w:t>
            </w:r>
            <w:r w:rsidR="00985FBB">
              <w:t>4</w:t>
            </w:r>
            <w:r w:rsidR="00CE6E9B" w:rsidRPr="00D14250">
              <w:t>–</w:t>
            </w:r>
            <w:r w:rsidR="00692160" w:rsidRPr="00D14250">
              <w:t>201</w:t>
            </w:r>
            <w:r w:rsidR="00985FBB">
              <w:t>5</w:t>
            </w:r>
            <w:r w:rsidRPr="00D14250">
              <w:t xml:space="preserve">: Adoption of amendments to the AGN and related UNECE legal instruments on transport infrastructure, such as Protocol on Combined Transport on Inland Waterways to the European Agreement on Important International Combined Transport Lines and Related </w:t>
            </w:r>
            <w:r w:rsidRPr="00985FBB">
              <w:t>Installations (AGTC)</w:t>
            </w:r>
          </w:p>
          <w:p w:rsidR="00985FBB" w:rsidRDefault="00985FBB" w:rsidP="00985FBB">
            <w:pPr>
              <w:suppressAutoHyphens w:val="0"/>
              <w:spacing w:before="40" w:after="120"/>
              <w:ind w:left="113" w:right="113"/>
            </w:pPr>
            <w:r>
              <w:tab/>
              <w:t>(a)</w:t>
            </w:r>
            <w:r>
              <w:tab/>
              <w:t>Amendments to AGN entered into force on 7 November 2014, and the third revised edition of AGN was available on the UNECE website in November 2014.</w:t>
            </w:r>
          </w:p>
          <w:p w:rsidR="00985FBB" w:rsidRDefault="00985FBB" w:rsidP="00985FBB">
            <w:pPr>
              <w:suppressAutoHyphens w:val="0"/>
              <w:spacing w:before="40" w:after="120"/>
              <w:ind w:left="113" w:right="113"/>
            </w:pPr>
            <w:r>
              <w:tab/>
              <w:t>(b)</w:t>
            </w:r>
            <w:r>
              <w:tab/>
              <w:t>Second addendum to the second revision of the Blue Book is available on the UNECE website.</w:t>
            </w:r>
          </w:p>
          <w:p w:rsidR="00985FBB" w:rsidRDefault="00985FBB" w:rsidP="00985FBB">
            <w:pPr>
              <w:suppressAutoHyphens w:val="0"/>
              <w:spacing w:before="40" w:after="120"/>
              <w:ind w:left="113" w:right="113"/>
            </w:pPr>
            <w:r>
              <w:tab/>
              <w:t>(c)</w:t>
            </w:r>
            <w:r>
              <w:tab/>
              <w:t>UNECE online database of the E Waterway Network was developed and supplemented with information on E ports.</w:t>
            </w:r>
          </w:p>
          <w:p w:rsidR="00985FBB" w:rsidRPr="00D14250" w:rsidRDefault="00985FBB" w:rsidP="00985FBB">
            <w:pPr>
              <w:suppressAutoHyphens w:val="0"/>
              <w:spacing w:before="40" w:after="120"/>
              <w:ind w:left="113" w:right="113"/>
            </w:pPr>
            <w:r>
              <w:tab/>
              <w:t>(d)</w:t>
            </w:r>
            <w:r>
              <w:tab/>
              <w:t>Amendments to Resolution No. 49 were adopted by SC.3 in 2014.</w:t>
            </w:r>
          </w:p>
          <w:p w:rsidR="00002E74" w:rsidRDefault="00002E74" w:rsidP="00002E74">
            <w:pPr>
              <w:suppressAutoHyphens w:val="0"/>
              <w:spacing w:before="40" w:after="120"/>
              <w:ind w:left="113" w:right="113"/>
            </w:pPr>
            <w:r>
              <w:t>Target 2016–2017:</w:t>
            </w:r>
          </w:p>
          <w:p w:rsidR="002A4E78" w:rsidRPr="00D14250" w:rsidRDefault="00002E74" w:rsidP="002A4E78">
            <w:pPr>
              <w:suppressAutoHyphens w:val="0"/>
              <w:spacing w:before="40" w:after="120"/>
              <w:ind w:left="113" w:right="113"/>
            </w:pPr>
            <w:r>
              <w:t>Adoption of amendments to the second revision of the Blue Book and preparation of the third revision of the Blue Book</w:t>
            </w:r>
          </w:p>
        </w:tc>
      </w:tr>
      <w:tr w:rsidR="00811388" w:rsidRPr="00D14250" w:rsidTr="008F3198">
        <w:trPr>
          <w:cantSplit/>
        </w:trPr>
        <w:tc>
          <w:tcPr>
            <w:tcW w:w="3139" w:type="dxa"/>
            <w:tcBorders>
              <w:top w:val="nil"/>
              <w:left w:val="nil"/>
              <w:bottom w:val="nil"/>
              <w:right w:val="nil"/>
            </w:tcBorders>
            <w:shd w:val="clear" w:color="auto" w:fill="auto"/>
          </w:tcPr>
          <w:p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811388" w:rsidRPr="00D14250" w:rsidRDefault="00811388" w:rsidP="00B83E9A">
            <w:pPr>
              <w:suppressAutoHyphens w:val="0"/>
              <w:spacing w:line="240" w:lineRule="auto"/>
              <w:ind w:right="113"/>
            </w:pPr>
          </w:p>
        </w:tc>
        <w:tc>
          <w:tcPr>
            <w:tcW w:w="4279" w:type="dxa"/>
            <w:tcBorders>
              <w:top w:val="nil"/>
              <w:left w:val="nil"/>
              <w:bottom w:val="nil"/>
              <w:right w:val="nil"/>
            </w:tcBorders>
            <w:shd w:val="clear" w:color="auto" w:fill="auto"/>
          </w:tcPr>
          <w:p w:rsidR="00811388" w:rsidRPr="00D14250" w:rsidRDefault="00811388" w:rsidP="0056514E">
            <w:pPr>
              <w:suppressAutoHyphens w:val="0"/>
              <w:spacing w:before="40" w:after="120"/>
              <w:ind w:left="113" w:right="113"/>
            </w:pPr>
            <w:r w:rsidRPr="00D14250">
              <w:t xml:space="preserve">IA 5. (b) Preparation of the next revision of CEVNI taking account of information on its application in member </w:t>
            </w:r>
            <w:r w:rsidR="003234ED" w:rsidRPr="00D14250">
              <w:t>States and by River Commissions</w:t>
            </w:r>
          </w:p>
          <w:p w:rsidR="00D55C16" w:rsidRDefault="00811388" w:rsidP="00D55C16">
            <w:pPr>
              <w:suppressAutoHyphens w:val="0"/>
              <w:spacing w:before="40" w:after="120"/>
              <w:ind w:left="113" w:right="113"/>
            </w:pPr>
            <w:r w:rsidRPr="00D14250">
              <w:rPr>
                <w:i/>
              </w:rPr>
              <w:t>Performance measures</w:t>
            </w:r>
            <w:r w:rsidRPr="00D14250">
              <w:t>:</w:t>
            </w:r>
            <w:r w:rsidR="003234ED" w:rsidRPr="00D14250">
              <w:br/>
            </w:r>
            <w:r w:rsidR="00692160" w:rsidRPr="00D14250">
              <w:t>Baseline 201</w:t>
            </w:r>
            <w:r w:rsidR="00002E74">
              <w:t>4</w:t>
            </w:r>
            <w:r w:rsidR="00CE6E9B" w:rsidRPr="00D14250">
              <w:t>–</w:t>
            </w:r>
            <w:r w:rsidR="00692160" w:rsidRPr="00D14250">
              <w:t>201</w:t>
            </w:r>
            <w:r w:rsidR="00002E74">
              <w:t>5</w:t>
            </w:r>
            <w:r w:rsidRPr="00D14250">
              <w:t xml:space="preserve">: </w:t>
            </w:r>
            <w:r w:rsidR="00002E74" w:rsidRPr="00002E74">
              <w:t>Preparation and adoption of CEVNI 5 and online publication of the code (completed</w:t>
            </w:r>
            <w:r w:rsidR="00002E74">
              <w:t>)</w:t>
            </w:r>
            <w:r w:rsidR="005C7D72" w:rsidRPr="00D14250">
              <w:t>:</w:t>
            </w:r>
            <w:r w:rsidR="00D55C16" w:rsidRPr="00D14250" w:rsidDel="00D55C16">
              <w:t xml:space="preserve"> </w:t>
            </w:r>
          </w:p>
          <w:p w:rsidR="00D55C16" w:rsidRDefault="00D55C16" w:rsidP="00D55C16">
            <w:pPr>
              <w:suppressAutoHyphens w:val="0"/>
              <w:spacing w:before="40" w:after="120"/>
              <w:ind w:left="113" w:right="113"/>
            </w:pPr>
            <w:r>
              <w:tab/>
              <w:t>(a)</w:t>
            </w:r>
            <w:r>
              <w:tab/>
              <w:t>CEVNI 5 was adopted by SC.3 in 2014 as Resolution No. 81.</w:t>
            </w:r>
          </w:p>
          <w:p w:rsidR="00D55C16" w:rsidRDefault="00D55C16" w:rsidP="00D55C16">
            <w:pPr>
              <w:suppressAutoHyphens w:val="0"/>
              <w:spacing w:before="40" w:after="120"/>
              <w:ind w:left="113" w:right="113"/>
            </w:pPr>
            <w:r>
              <w:tab/>
              <w:t>(b)</w:t>
            </w:r>
            <w:r>
              <w:tab/>
              <w:t>A paper version of CEVNI 5 in three working languages was published in September 2015.</w:t>
            </w:r>
          </w:p>
          <w:p w:rsidR="00D55C16" w:rsidRDefault="00D55C16" w:rsidP="00D55C16">
            <w:pPr>
              <w:suppressAutoHyphens w:val="0"/>
              <w:spacing w:before="40" w:after="120"/>
              <w:ind w:left="113" w:right="113"/>
            </w:pPr>
            <w:r>
              <w:tab/>
              <w:t>(c)</w:t>
            </w:r>
            <w:r>
              <w:tab/>
              <w:t>Online version and pdf version of CEVNI 5 were available on the UNECE website in June 2015.</w:t>
            </w:r>
          </w:p>
          <w:p w:rsidR="00811388" w:rsidRDefault="00D55C16" w:rsidP="001E5882">
            <w:pPr>
              <w:suppressAutoHyphens w:val="0"/>
              <w:spacing w:before="40" w:after="120"/>
              <w:ind w:left="113" w:right="113"/>
            </w:pPr>
            <w:r>
              <w:tab/>
              <w:t>(d)</w:t>
            </w:r>
            <w:r>
              <w:tab/>
              <w:t>Current CEVNI status document is published in 2015 for the fifty-ninth session of SC.3 (ECE/TRANS/SC.3/2015/7).</w:t>
            </w:r>
          </w:p>
          <w:p w:rsidR="0044360D" w:rsidRDefault="0044360D" w:rsidP="001E5882">
            <w:pPr>
              <w:suppressAutoHyphens w:val="0"/>
              <w:spacing w:before="40" w:after="120"/>
              <w:ind w:left="113" w:right="113"/>
            </w:pPr>
            <w:r w:rsidRPr="0044360D">
              <w:t xml:space="preserve">IA 5. (c) </w:t>
            </w:r>
            <w:r w:rsidRPr="0044360D">
              <w:tab/>
              <w:t>Preparation of the third edition of the White Paper on Efficient and Sustainable Inland Water Transport in Europe (2020)</w:t>
            </w:r>
          </w:p>
          <w:p w:rsidR="0044360D" w:rsidRDefault="0044360D" w:rsidP="0044360D">
            <w:pPr>
              <w:suppressAutoHyphens w:val="0"/>
              <w:spacing w:before="40" w:after="120"/>
              <w:ind w:left="113" w:right="113"/>
            </w:pPr>
            <w:r w:rsidRPr="00540CB0">
              <w:rPr>
                <w:i/>
              </w:rPr>
              <w:t>Performance measures</w:t>
            </w:r>
            <w:r>
              <w:t>:</w:t>
            </w:r>
            <w:r>
              <w:br/>
              <w:t>Baseline 2011: Adoption of the second edition of the White Paper on Efficient and Sustainable Inland Water Transport in Europe</w:t>
            </w:r>
          </w:p>
          <w:p w:rsidR="00540CB0" w:rsidRDefault="00540CB0" w:rsidP="0044360D">
            <w:pPr>
              <w:suppressAutoHyphens w:val="0"/>
              <w:spacing w:before="40" w:after="120"/>
              <w:ind w:left="113" w:right="113"/>
            </w:pPr>
            <w:r>
              <w:tab/>
            </w:r>
            <w:r w:rsidRPr="00540CB0">
              <w:t>The White Paper was published in 2011.</w:t>
            </w:r>
          </w:p>
          <w:p w:rsidR="0044360D" w:rsidRDefault="0044360D" w:rsidP="0044360D">
            <w:pPr>
              <w:suppressAutoHyphens w:val="0"/>
              <w:spacing w:before="40" w:after="120"/>
              <w:ind w:left="113" w:right="113"/>
            </w:pPr>
            <w:r>
              <w:t>Target 2016–2017:</w:t>
            </w:r>
            <w:r>
              <w:br/>
              <w:t>Preparation of a status document relating to the White Paper</w:t>
            </w:r>
          </w:p>
          <w:p w:rsidR="0044360D" w:rsidRDefault="00540CB0" w:rsidP="001E5882">
            <w:pPr>
              <w:suppressAutoHyphens w:val="0"/>
              <w:spacing w:before="40" w:after="120"/>
              <w:ind w:left="113" w:right="113"/>
            </w:pPr>
            <w:r w:rsidRPr="00540CB0">
              <w:t xml:space="preserve">IA 5. (d) </w:t>
            </w:r>
            <w:r w:rsidRPr="00540CB0">
              <w:tab/>
              <w:t>Preparation and adoption of the next revision of Resolution No. 61, Recommendations on Harmonized Europe-wide technical requirements for Inland navigation vessels</w:t>
            </w:r>
          </w:p>
          <w:p w:rsidR="00540CB0" w:rsidRDefault="00540CB0" w:rsidP="00540CB0">
            <w:pPr>
              <w:suppressAutoHyphens w:val="0"/>
              <w:spacing w:before="40" w:after="120"/>
              <w:ind w:left="113" w:right="113"/>
            </w:pPr>
            <w:r w:rsidRPr="00540CB0">
              <w:rPr>
                <w:i/>
              </w:rPr>
              <w:t>Performance measures</w:t>
            </w:r>
            <w:r>
              <w:t>:</w:t>
            </w:r>
            <w:r>
              <w:br/>
              <w:t xml:space="preserve">Baseline 2015: </w:t>
            </w:r>
            <w:r>
              <w:br/>
              <w:t>Revision 1 of Resolution No. 61 was adopted in 2011, Amendment 1 – in 2011, Amendment 2 – in 2012</w:t>
            </w:r>
          </w:p>
          <w:p w:rsidR="00540CB0" w:rsidRPr="00D14250" w:rsidRDefault="00540CB0" w:rsidP="00540CB0">
            <w:pPr>
              <w:suppressAutoHyphens w:val="0"/>
              <w:spacing w:before="40" w:after="120"/>
              <w:ind w:left="113" w:right="113"/>
            </w:pPr>
            <w:r>
              <w:t>Target 2016–2017:</w:t>
            </w:r>
            <w:r>
              <w:br/>
              <w:t>Preparation of a consolidated version of Resolution No. 61 and preparation for its second revision</w:t>
            </w:r>
          </w:p>
        </w:tc>
      </w:tr>
      <w:tr w:rsidR="00811388" w:rsidRPr="00D14250" w:rsidTr="008F3198">
        <w:tc>
          <w:tcPr>
            <w:tcW w:w="3139" w:type="dxa"/>
            <w:tcBorders>
              <w:top w:val="nil"/>
              <w:left w:val="nil"/>
              <w:bottom w:val="nil"/>
              <w:right w:val="nil"/>
            </w:tcBorders>
            <w:shd w:val="clear" w:color="auto" w:fill="auto"/>
          </w:tcPr>
          <w:p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811388" w:rsidRPr="00D14250" w:rsidRDefault="00870A94" w:rsidP="0056514E">
            <w:pPr>
              <w:suppressAutoHyphens w:val="0"/>
              <w:spacing w:before="40" w:after="120"/>
              <w:ind w:left="538" w:right="113" w:hanging="425"/>
            </w:pPr>
            <w:r w:rsidRPr="00D14250">
              <w:t>6.</w:t>
            </w:r>
            <w:r w:rsidRPr="00D14250">
              <w:tab/>
            </w:r>
            <w:r w:rsidR="00DC2380" w:rsidRPr="00D14250">
              <w:t>Intermodal transport and logistics</w:t>
            </w:r>
          </w:p>
        </w:tc>
        <w:tc>
          <w:tcPr>
            <w:tcW w:w="4279" w:type="dxa"/>
            <w:tcBorders>
              <w:top w:val="nil"/>
              <w:left w:val="nil"/>
              <w:bottom w:val="nil"/>
              <w:right w:val="nil"/>
            </w:tcBorders>
            <w:shd w:val="clear" w:color="auto" w:fill="auto"/>
          </w:tcPr>
          <w:p w:rsidR="00811388" w:rsidRPr="00D14250" w:rsidRDefault="00DC2380" w:rsidP="0056514E">
            <w:pPr>
              <w:suppressAutoHyphens w:val="0"/>
              <w:spacing w:before="40" w:after="120"/>
              <w:ind w:left="113" w:right="113"/>
            </w:pPr>
            <w:r w:rsidRPr="00D14250">
              <w:t>EA 6.</w:t>
            </w:r>
            <w:r w:rsidR="00435432">
              <w:t xml:space="preserve"> </w:t>
            </w:r>
            <w:r w:rsidR="00435432" w:rsidRPr="00435432">
              <w:t>Strengthened framework for sustainable intermodal transport and logistics operations and policies in the region and enhanced cooperation of UNECE member countries in addressing these issues through the exchange of experiences and good practices. This includes infrastructure and border crossing questions as well as the monitoring and updating of relevant legal instruments (AGTC Agreement and its Protocol on Inland Waterways).</w:t>
            </w:r>
          </w:p>
        </w:tc>
      </w:tr>
      <w:tr w:rsidR="00811388" w:rsidRPr="00D14250" w:rsidTr="008F3198">
        <w:tc>
          <w:tcPr>
            <w:tcW w:w="3139" w:type="dxa"/>
            <w:tcBorders>
              <w:top w:val="nil"/>
              <w:left w:val="nil"/>
              <w:bottom w:val="nil"/>
              <w:right w:val="nil"/>
            </w:tcBorders>
            <w:shd w:val="clear" w:color="auto" w:fill="auto"/>
          </w:tcPr>
          <w:p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811388" w:rsidRPr="00D14250" w:rsidRDefault="00811388" w:rsidP="00B83E9A">
            <w:pPr>
              <w:suppressAutoHyphens w:val="0"/>
              <w:spacing w:line="240" w:lineRule="auto"/>
              <w:ind w:right="113"/>
            </w:pPr>
          </w:p>
        </w:tc>
        <w:tc>
          <w:tcPr>
            <w:tcW w:w="4279" w:type="dxa"/>
            <w:tcBorders>
              <w:top w:val="nil"/>
              <w:left w:val="nil"/>
              <w:bottom w:val="nil"/>
              <w:right w:val="nil"/>
            </w:tcBorders>
            <w:shd w:val="clear" w:color="auto" w:fill="auto"/>
          </w:tcPr>
          <w:p w:rsidR="008F3198" w:rsidRPr="00D14250" w:rsidRDefault="00335BED" w:rsidP="00335BED">
            <w:pPr>
              <w:suppressAutoHyphens w:val="0"/>
              <w:spacing w:before="40" w:after="120"/>
              <w:ind w:left="113" w:right="113"/>
            </w:pPr>
            <w:r w:rsidRPr="00D14250">
              <w:t xml:space="preserve">IA 6 (a) </w:t>
            </w:r>
            <w:r w:rsidR="007F4504" w:rsidRPr="007F4504">
              <w:t>Number of countries, intergovernmental organizations (IGO) and non-Governmental organizations (NGO) participating in the two annual meetings of the Working Party on Intermodal Transport and Logistics (WP.24)</w:t>
            </w:r>
          </w:p>
          <w:p w:rsidR="00811388" w:rsidRPr="00D14250" w:rsidRDefault="00DC2380" w:rsidP="004252C2">
            <w:pPr>
              <w:suppressAutoHyphens w:val="0"/>
              <w:spacing w:before="40" w:after="120"/>
              <w:ind w:left="113" w:right="113"/>
            </w:pPr>
            <w:r w:rsidRPr="00D14250">
              <w:rPr>
                <w:i/>
              </w:rPr>
              <w:t>Performance measures</w:t>
            </w:r>
            <w:r w:rsidRPr="00D14250">
              <w:t>:</w:t>
            </w:r>
            <w:r w:rsidR="003234ED" w:rsidRPr="00D14250">
              <w:br/>
            </w:r>
            <w:r w:rsidR="00692160" w:rsidRPr="00D14250">
              <w:t>Baseline 201</w:t>
            </w:r>
            <w:r w:rsidR="007F4504">
              <w:t>4</w:t>
            </w:r>
            <w:r w:rsidR="00CE6E9B" w:rsidRPr="00D14250">
              <w:t>–</w:t>
            </w:r>
            <w:r w:rsidR="00692160" w:rsidRPr="00D14250">
              <w:t>201</w:t>
            </w:r>
            <w:r w:rsidR="007F4504">
              <w:t>5</w:t>
            </w:r>
            <w:r w:rsidRPr="00D14250">
              <w:t xml:space="preserve">: </w:t>
            </w:r>
            <w:r w:rsidR="007F4504">
              <w:t>24</w:t>
            </w:r>
            <w:r w:rsidRPr="00D14250">
              <w:t xml:space="preserve"> </w:t>
            </w:r>
            <w:r w:rsidR="007F4504">
              <w:t>in 2014</w:t>
            </w:r>
            <w:r w:rsidR="004252C2">
              <w:t>, 31</w:t>
            </w:r>
            <w:r w:rsidR="004252C2" w:rsidRPr="00D14250">
              <w:t xml:space="preserve"> </w:t>
            </w:r>
            <w:r w:rsidR="004252C2">
              <w:t>in 2015</w:t>
            </w:r>
            <w:r w:rsidR="003234ED" w:rsidRPr="00D14250">
              <w:br/>
            </w:r>
            <w:r w:rsidRPr="00D14250">
              <w:t>Target: 201</w:t>
            </w:r>
            <w:r w:rsidR="007F4504">
              <w:t>6</w:t>
            </w:r>
            <w:r w:rsidRPr="00D14250">
              <w:t>–201</w:t>
            </w:r>
            <w:r w:rsidR="007F4504">
              <w:t>7</w:t>
            </w:r>
            <w:r w:rsidRPr="00D14250">
              <w:t xml:space="preserve">: </w:t>
            </w:r>
            <w:r w:rsidR="00335BED" w:rsidRPr="00D14250">
              <w:t>3</w:t>
            </w:r>
            <w:r w:rsidR="004252C2">
              <w:t>0</w:t>
            </w:r>
            <w:r w:rsidRPr="00D14250">
              <w:t xml:space="preserve"> </w:t>
            </w:r>
          </w:p>
        </w:tc>
      </w:tr>
      <w:tr w:rsidR="00811388" w:rsidRPr="00D14250" w:rsidTr="008F3198">
        <w:tc>
          <w:tcPr>
            <w:tcW w:w="3139" w:type="dxa"/>
            <w:tcBorders>
              <w:top w:val="nil"/>
              <w:left w:val="nil"/>
              <w:bottom w:val="nil"/>
              <w:right w:val="nil"/>
            </w:tcBorders>
            <w:shd w:val="clear" w:color="auto" w:fill="auto"/>
          </w:tcPr>
          <w:p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811388" w:rsidRPr="00D14250" w:rsidRDefault="00811388" w:rsidP="00B83E9A">
            <w:pPr>
              <w:suppressAutoHyphens w:val="0"/>
              <w:spacing w:line="240" w:lineRule="auto"/>
              <w:ind w:right="113"/>
            </w:pPr>
          </w:p>
        </w:tc>
        <w:tc>
          <w:tcPr>
            <w:tcW w:w="4279" w:type="dxa"/>
            <w:tcBorders>
              <w:top w:val="nil"/>
              <w:left w:val="nil"/>
              <w:bottom w:val="nil"/>
              <w:right w:val="nil"/>
            </w:tcBorders>
            <w:shd w:val="clear" w:color="auto" w:fill="auto"/>
          </w:tcPr>
          <w:p w:rsidR="00732BA8" w:rsidRPr="00D14250" w:rsidRDefault="00732BA8" w:rsidP="0056514E">
            <w:pPr>
              <w:suppressAutoHyphens w:val="0"/>
              <w:spacing w:before="40" w:after="120"/>
              <w:ind w:left="113" w:right="113"/>
            </w:pPr>
            <w:r w:rsidRPr="00D14250">
              <w:t>IA 6. (b) Number of amendments as well as updated and amended lines in the AGTC Agreement and its Protocol.</w:t>
            </w:r>
          </w:p>
          <w:p w:rsidR="00732BA8" w:rsidRPr="00D14250" w:rsidRDefault="00732BA8" w:rsidP="0056514E">
            <w:pPr>
              <w:suppressAutoHyphens w:val="0"/>
              <w:spacing w:before="40" w:after="120"/>
              <w:ind w:left="113" w:right="113"/>
            </w:pPr>
            <w:r w:rsidRPr="00D14250">
              <w:rPr>
                <w:i/>
              </w:rPr>
              <w:t>Performance measures</w:t>
            </w:r>
            <w:r w:rsidRPr="00D14250">
              <w:t>:</w:t>
            </w:r>
            <w:r w:rsidR="003234ED" w:rsidRPr="00D14250">
              <w:br/>
            </w:r>
            <w:r w:rsidR="00692160" w:rsidRPr="00D14250">
              <w:t>Baseline 201</w:t>
            </w:r>
            <w:r w:rsidR="00D74F6D">
              <w:t>4</w:t>
            </w:r>
            <w:r w:rsidR="00CE6E9B" w:rsidRPr="00D14250">
              <w:t>–</w:t>
            </w:r>
            <w:r w:rsidR="00692160" w:rsidRPr="00D14250">
              <w:t>201</w:t>
            </w:r>
            <w:r w:rsidR="00D74F6D">
              <w:t>5</w:t>
            </w:r>
            <w:r w:rsidRPr="00D14250">
              <w:t xml:space="preserve">: </w:t>
            </w:r>
            <w:r w:rsidR="00E84F37" w:rsidRPr="00D14250">
              <w:t>0</w:t>
            </w:r>
            <w:r w:rsidRPr="00D14250">
              <w:t xml:space="preserve"> amendment</w:t>
            </w:r>
            <w:r w:rsidR="00D74F6D">
              <w:t xml:space="preserve"> in 2014, </w:t>
            </w:r>
            <w:r w:rsidR="00D74F6D" w:rsidRPr="00D74F6D">
              <w:t xml:space="preserve">1 depository notification sent with 3 modifications </w:t>
            </w:r>
            <w:r w:rsidR="00D74F6D">
              <w:t>in 2015</w:t>
            </w:r>
            <w:r w:rsidR="003234ED" w:rsidRPr="00D14250">
              <w:br/>
            </w:r>
            <w:r w:rsidRPr="00D14250">
              <w:t>Target 201</w:t>
            </w:r>
            <w:r w:rsidR="00D74F6D">
              <w:t>6</w:t>
            </w:r>
            <w:r w:rsidRPr="00D14250">
              <w:t>–201</w:t>
            </w:r>
            <w:r w:rsidR="00D74F6D">
              <w:t>7</w:t>
            </w:r>
            <w:r w:rsidRPr="00D14250">
              <w:t>:</w:t>
            </w:r>
            <w:r w:rsidR="00D74F6D">
              <w:t>2</w:t>
            </w:r>
            <w:r w:rsidRPr="00D14250">
              <w:t xml:space="preserve"> amendment</w:t>
            </w:r>
            <w:r w:rsidR="00D74F6D">
              <w:t>s</w:t>
            </w:r>
          </w:p>
          <w:p w:rsidR="00732BA8" w:rsidRPr="00D14250" w:rsidRDefault="00732BA8" w:rsidP="0056514E">
            <w:pPr>
              <w:suppressAutoHyphens w:val="0"/>
              <w:spacing w:before="40" w:after="120"/>
              <w:ind w:left="113" w:right="113"/>
            </w:pPr>
            <w:r w:rsidRPr="00D14250">
              <w:t>IA 6. (c) Review and update of the IMO/ILO/UNECE guidelines for packing of cargo in intermodal transport units.</w:t>
            </w:r>
          </w:p>
          <w:p w:rsidR="00811388" w:rsidRDefault="00732BA8" w:rsidP="00A6014A">
            <w:pPr>
              <w:suppressAutoHyphens w:val="0"/>
              <w:spacing w:before="40" w:after="120"/>
              <w:ind w:left="113" w:right="113"/>
            </w:pPr>
            <w:r w:rsidRPr="00D14250">
              <w:rPr>
                <w:i/>
              </w:rPr>
              <w:t xml:space="preserve">Performance measure: </w:t>
            </w:r>
            <w:r w:rsidR="003234ED" w:rsidRPr="00D14250">
              <w:rPr>
                <w:i/>
              </w:rPr>
              <w:br/>
            </w:r>
            <w:r w:rsidR="00692160" w:rsidRPr="00D14250">
              <w:t>Baseline 2012</w:t>
            </w:r>
            <w:r w:rsidR="00CE6E9B" w:rsidRPr="00D14250">
              <w:t>–</w:t>
            </w:r>
            <w:r w:rsidR="00692160" w:rsidRPr="00D14250">
              <w:t>2013</w:t>
            </w:r>
            <w:r w:rsidR="00A6014A" w:rsidRPr="00D14250">
              <w:t>: Completed</w:t>
            </w:r>
          </w:p>
          <w:p w:rsidR="00212BCC" w:rsidRDefault="00212BCC" w:rsidP="00212BCC">
            <w:pPr>
              <w:suppressAutoHyphens w:val="0"/>
              <w:spacing w:before="40" w:after="120"/>
              <w:ind w:left="113" w:right="113"/>
            </w:pPr>
            <w:r>
              <w:t xml:space="preserve">2015: Published </w:t>
            </w:r>
            <w:r w:rsidR="00BE0418">
              <w:t xml:space="preserve">official translations </w:t>
            </w:r>
            <w:r>
              <w:t>online in French, Spanish, Russian, Arabic and Chinese</w:t>
            </w:r>
            <w:r w:rsidR="00BE0418">
              <w:t xml:space="preserve">. </w:t>
            </w:r>
            <w:r w:rsidR="00BE0418" w:rsidRPr="00BE0418">
              <w:t>German language version also included (not an official translation)</w:t>
            </w:r>
          </w:p>
          <w:p w:rsidR="00212BCC" w:rsidRDefault="00212BCC" w:rsidP="00212BCC">
            <w:pPr>
              <w:suppressAutoHyphens w:val="0"/>
              <w:spacing w:before="40" w:after="120"/>
              <w:ind w:left="113" w:right="113"/>
            </w:pPr>
            <w:r>
              <w:t>2015: Web-based version created in English</w:t>
            </w:r>
          </w:p>
          <w:p w:rsidR="00212BCC" w:rsidRDefault="00212BCC" w:rsidP="00212BCC">
            <w:pPr>
              <w:suppressAutoHyphens w:val="0"/>
              <w:spacing w:before="40" w:after="120"/>
              <w:ind w:left="113" w:right="113"/>
            </w:pPr>
            <w:r>
              <w:t>Target for 2016: Web-based version in other languages</w:t>
            </w:r>
          </w:p>
          <w:p w:rsidR="00212BCC" w:rsidRPr="00D14250" w:rsidRDefault="00212BCC" w:rsidP="00212BCC">
            <w:pPr>
              <w:suppressAutoHyphens w:val="0"/>
              <w:spacing w:before="40" w:after="120"/>
              <w:ind w:left="113" w:right="113"/>
            </w:pPr>
            <w:r>
              <w:t>Target for 2017: Review of use of CTU Code</w:t>
            </w:r>
          </w:p>
        </w:tc>
      </w:tr>
      <w:tr w:rsidR="00811388" w:rsidRPr="00D14250" w:rsidTr="00A203AA">
        <w:trPr>
          <w:cantSplit/>
        </w:trPr>
        <w:tc>
          <w:tcPr>
            <w:tcW w:w="3139" w:type="dxa"/>
            <w:tcBorders>
              <w:top w:val="nil"/>
              <w:left w:val="nil"/>
              <w:bottom w:val="nil"/>
              <w:right w:val="nil"/>
            </w:tcBorders>
            <w:shd w:val="clear" w:color="auto" w:fill="auto"/>
          </w:tcPr>
          <w:p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811388" w:rsidRPr="00D14250" w:rsidRDefault="00870A94" w:rsidP="0056514E">
            <w:pPr>
              <w:suppressAutoHyphens w:val="0"/>
              <w:spacing w:before="40" w:after="120"/>
              <w:ind w:left="538" w:right="113" w:hanging="425"/>
            </w:pPr>
            <w:r w:rsidRPr="00D14250">
              <w:t>7.a.</w:t>
            </w:r>
            <w:r w:rsidRPr="00D14250">
              <w:tab/>
            </w:r>
            <w:r w:rsidR="00732BA8" w:rsidRPr="00D14250">
              <w:t>Customs questions affecting transport</w:t>
            </w:r>
          </w:p>
        </w:tc>
        <w:tc>
          <w:tcPr>
            <w:tcW w:w="4279" w:type="dxa"/>
            <w:tcBorders>
              <w:top w:val="nil"/>
              <w:left w:val="nil"/>
              <w:bottom w:val="nil"/>
              <w:right w:val="nil"/>
            </w:tcBorders>
            <w:shd w:val="clear" w:color="auto" w:fill="auto"/>
          </w:tcPr>
          <w:p w:rsidR="00811388" w:rsidRPr="00D14250" w:rsidRDefault="00732BA8" w:rsidP="0056514E">
            <w:pPr>
              <w:suppressAutoHyphens w:val="0"/>
              <w:spacing w:before="40" w:after="120"/>
              <w:ind w:left="113" w:right="113"/>
            </w:pPr>
            <w:r w:rsidRPr="00D14250">
              <w:t>EA 7.a. New accessions to and more effective implementation of international legal instruments in the area of border crossing facilitation.</w:t>
            </w:r>
          </w:p>
        </w:tc>
      </w:tr>
      <w:tr w:rsidR="00811388" w:rsidRPr="00D14250" w:rsidTr="008F3198">
        <w:tc>
          <w:tcPr>
            <w:tcW w:w="3139" w:type="dxa"/>
            <w:tcBorders>
              <w:top w:val="nil"/>
              <w:left w:val="nil"/>
              <w:bottom w:val="nil"/>
              <w:right w:val="nil"/>
            </w:tcBorders>
            <w:shd w:val="clear" w:color="auto" w:fill="auto"/>
          </w:tcPr>
          <w:p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811388" w:rsidRPr="00D14250" w:rsidRDefault="00811388" w:rsidP="00B83E9A">
            <w:pPr>
              <w:suppressAutoHyphens w:val="0"/>
              <w:spacing w:line="240" w:lineRule="auto"/>
              <w:ind w:right="113"/>
            </w:pPr>
          </w:p>
        </w:tc>
        <w:tc>
          <w:tcPr>
            <w:tcW w:w="4279" w:type="dxa"/>
            <w:tcBorders>
              <w:top w:val="nil"/>
              <w:left w:val="nil"/>
              <w:bottom w:val="nil"/>
              <w:right w:val="nil"/>
            </w:tcBorders>
            <w:shd w:val="clear" w:color="auto" w:fill="auto"/>
          </w:tcPr>
          <w:p w:rsidR="00732BA8" w:rsidRPr="00D14250" w:rsidRDefault="00732BA8" w:rsidP="0056514E">
            <w:pPr>
              <w:suppressAutoHyphens w:val="0"/>
              <w:spacing w:before="40" w:after="120"/>
              <w:ind w:left="113" w:right="113"/>
            </w:pPr>
            <w:r w:rsidRPr="00D14250">
              <w:t xml:space="preserve">IA 7.a. (a) </w:t>
            </w:r>
            <w:r w:rsidR="002B5AF2" w:rsidRPr="00D14250">
              <w:t xml:space="preserve">Cumulative number of delegations of </w:t>
            </w:r>
            <w:r w:rsidR="002B5AF2" w:rsidRPr="00D14250">
              <w:lastRenderedPageBreak/>
              <w:t>countries (Contracting Parties) and participants at the sessions of the Working Party on Customs Questions affecting Transport (WP.30), its Administrative Committees (AC.2 and AC.3) and expert group meetings</w:t>
            </w:r>
          </w:p>
          <w:p w:rsidR="00811388" w:rsidRPr="00D14250" w:rsidRDefault="00732BA8" w:rsidP="00412BBD">
            <w:pPr>
              <w:suppressAutoHyphens w:val="0"/>
              <w:spacing w:before="40" w:after="120"/>
              <w:ind w:left="113" w:right="113"/>
            </w:pPr>
            <w:r w:rsidRPr="00D14250">
              <w:rPr>
                <w:i/>
              </w:rPr>
              <w:t>Performance measures</w:t>
            </w:r>
            <w:r w:rsidRPr="00D14250">
              <w:t>:</w:t>
            </w:r>
            <w:r w:rsidR="00845302" w:rsidRPr="00D14250">
              <w:br/>
            </w:r>
            <w:r w:rsidR="00692160" w:rsidRPr="00D14250">
              <w:t>Baseline 201</w:t>
            </w:r>
            <w:r w:rsidR="00412BBD">
              <w:t>4</w:t>
            </w:r>
            <w:r w:rsidR="00CE6E9B" w:rsidRPr="00D14250">
              <w:t>–</w:t>
            </w:r>
            <w:r w:rsidR="00692160" w:rsidRPr="00D14250">
              <w:t>201</w:t>
            </w:r>
            <w:r w:rsidR="00412BBD">
              <w:t>5</w:t>
            </w:r>
            <w:r w:rsidRPr="00D14250">
              <w:t xml:space="preserve">: </w:t>
            </w:r>
            <w:r w:rsidR="00412BBD" w:rsidRPr="00412BBD">
              <w:t>410 delegations, 1,100 participants</w:t>
            </w:r>
            <w:r w:rsidR="00845302" w:rsidRPr="00D14250">
              <w:br/>
            </w:r>
            <w:r w:rsidRPr="00D14250">
              <w:t>Target 201</w:t>
            </w:r>
            <w:r w:rsidR="00412BBD">
              <w:t>6</w:t>
            </w:r>
            <w:r w:rsidRPr="00D14250">
              <w:t>–201</w:t>
            </w:r>
            <w:r w:rsidR="00412BBD">
              <w:t>7</w:t>
            </w:r>
            <w:r w:rsidR="002B5AF2" w:rsidRPr="00D14250">
              <w:t xml:space="preserve">: </w:t>
            </w:r>
            <w:r w:rsidR="00412BBD" w:rsidRPr="00412BBD">
              <w:t>400 delegations, 1,000 participants</w:t>
            </w:r>
          </w:p>
        </w:tc>
      </w:tr>
      <w:tr w:rsidR="00732BA8" w:rsidRPr="00D14250" w:rsidTr="008F3198">
        <w:tc>
          <w:tcPr>
            <w:tcW w:w="3139"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pPr>
          </w:p>
        </w:tc>
        <w:tc>
          <w:tcPr>
            <w:tcW w:w="4279" w:type="dxa"/>
            <w:tcBorders>
              <w:top w:val="nil"/>
              <w:left w:val="nil"/>
              <w:bottom w:val="nil"/>
              <w:right w:val="nil"/>
            </w:tcBorders>
            <w:shd w:val="clear" w:color="auto" w:fill="auto"/>
          </w:tcPr>
          <w:p w:rsidR="003658D9" w:rsidRPr="00D14250" w:rsidRDefault="003658D9" w:rsidP="0056514E">
            <w:pPr>
              <w:suppressAutoHyphens w:val="0"/>
              <w:spacing w:before="40" w:after="120"/>
              <w:ind w:left="113" w:right="113"/>
            </w:pPr>
            <w:r w:rsidRPr="00D14250">
              <w:t xml:space="preserve">IA 7.a. (b) </w:t>
            </w:r>
            <w:r w:rsidR="00900E3C" w:rsidRPr="00D14250">
              <w:t>Number of new amendments adopted and/or discussed, and number of new Contracting Parties</w:t>
            </w:r>
          </w:p>
          <w:p w:rsidR="00732BA8" w:rsidRPr="00D14250" w:rsidRDefault="003658D9" w:rsidP="00900E3C">
            <w:pPr>
              <w:suppressAutoHyphens w:val="0"/>
              <w:spacing w:before="40" w:after="120"/>
              <w:ind w:left="113" w:right="113"/>
            </w:pPr>
            <w:r w:rsidRPr="00D14250">
              <w:rPr>
                <w:i/>
              </w:rPr>
              <w:t>Performance measures</w:t>
            </w:r>
            <w:r w:rsidRPr="00D14250">
              <w:t>:</w:t>
            </w:r>
            <w:r w:rsidR="00845302" w:rsidRPr="00D14250">
              <w:br/>
            </w:r>
            <w:r w:rsidR="00692160" w:rsidRPr="00D14250">
              <w:t>Baseline 201</w:t>
            </w:r>
            <w:r w:rsidR="00412BBD">
              <w:t>4</w:t>
            </w:r>
            <w:r w:rsidR="00CE6E9B" w:rsidRPr="00D14250">
              <w:t>–</w:t>
            </w:r>
            <w:r w:rsidR="00692160" w:rsidRPr="00D14250">
              <w:t>201</w:t>
            </w:r>
            <w:r w:rsidR="00412BBD">
              <w:t>5</w:t>
            </w:r>
            <w:r w:rsidR="00412BBD" w:rsidRPr="00412BBD">
              <w:t>3 amendments, 0 new Contracting Parties</w:t>
            </w:r>
            <w:r w:rsidR="00845302" w:rsidRPr="00D14250">
              <w:br/>
            </w:r>
            <w:r w:rsidRPr="00D14250">
              <w:t>Target 201</w:t>
            </w:r>
            <w:r w:rsidR="00412BBD">
              <w:t>6</w:t>
            </w:r>
            <w:r w:rsidRPr="00D14250">
              <w:t>–201</w:t>
            </w:r>
            <w:r w:rsidR="00412BBD">
              <w:t>7</w:t>
            </w:r>
            <w:r w:rsidRPr="00D14250">
              <w:t xml:space="preserve">: </w:t>
            </w:r>
            <w:r w:rsidR="00412BBD" w:rsidRPr="00412BBD">
              <w:t>3 amendments, 2 new Contracting Parties</w:t>
            </w:r>
          </w:p>
        </w:tc>
      </w:tr>
      <w:tr w:rsidR="00732BA8" w:rsidRPr="00D14250" w:rsidTr="008F3198">
        <w:tc>
          <w:tcPr>
            <w:tcW w:w="3139"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732BA8" w:rsidRPr="00D14250" w:rsidRDefault="00870A94" w:rsidP="0056514E">
            <w:pPr>
              <w:suppressAutoHyphens w:val="0"/>
              <w:spacing w:before="40" w:after="120"/>
              <w:ind w:left="538" w:right="113" w:hanging="425"/>
            </w:pPr>
            <w:r w:rsidRPr="00D14250">
              <w:t>8.</w:t>
            </w:r>
            <w:r w:rsidRPr="00D14250">
              <w:tab/>
            </w:r>
            <w:r w:rsidR="0026542D" w:rsidRPr="00D14250">
              <w:t>Transport, Health and Environment Pan-European Programme (THE PEP)</w:t>
            </w:r>
          </w:p>
        </w:tc>
        <w:tc>
          <w:tcPr>
            <w:tcW w:w="4279" w:type="dxa"/>
            <w:tcBorders>
              <w:top w:val="nil"/>
              <w:left w:val="nil"/>
              <w:bottom w:val="nil"/>
              <w:right w:val="nil"/>
            </w:tcBorders>
            <w:shd w:val="clear" w:color="auto" w:fill="auto"/>
          </w:tcPr>
          <w:p w:rsidR="00732BA8" w:rsidRPr="00D14250" w:rsidRDefault="0026542D" w:rsidP="0056514E">
            <w:pPr>
              <w:suppressAutoHyphens w:val="0"/>
              <w:spacing w:before="40" w:after="120"/>
              <w:ind w:left="113" w:right="113"/>
            </w:pPr>
            <w:r w:rsidRPr="00D14250">
              <w:t xml:space="preserve">EA 8. Enhanced integration between transport, health and environment policies through exchanging experiences, good practice and capacity-building with special focus on Eastern Europe, </w:t>
            </w:r>
            <w:smartTag w:uri="urn:schemas-microsoft-com:office:smarttags" w:element="place">
              <w:r w:rsidRPr="00D14250">
                <w:t>Caucasus</w:t>
              </w:r>
            </w:smartTag>
            <w:r w:rsidRPr="00D14250">
              <w:t>, Central Asia (EECCA) and South-Eastern Europe (SEE).</w:t>
            </w:r>
          </w:p>
        </w:tc>
      </w:tr>
      <w:tr w:rsidR="00732BA8" w:rsidRPr="00D14250" w:rsidTr="008F3198">
        <w:tc>
          <w:tcPr>
            <w:tcW w:w="3139"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pPr>
          </w:p>
        </w:tc>
        <w:tc>
          <w:tcPr>
            <w:tcW w:w="4279" w:type="dxa"/>
            <w:tcBorders>
              <w:top w:val="nil"/>
              <w:left w:val="nil"/>
              <w:bottom w:val="nil"/>
              <w:right w:val="nil"/>
            </w:tcBorders>
            <w:shd w:val="clear" w:color="auto" w:fill="auto"/>
          </w:tcPr>
          <w:p w:rsidR="0026542D" w:rsidRPr="00D14250" w:rsidRDefault="0026542D" w:rsidP="0056514E">
            <w:pPr>
              <w:suppressAutoHyphens w:val="0"/>
              <w:spacing w:before="40" w:after="120"/>
              <w:ind w:left="113" w:right="113"/>
            </w:pPr>
            <w:r w:rsidRPr="00D14250">
              <w:t xml:space="preserve">IA 8. Increased engagement by </w:t>
            </w:r>
            <w:smartTag w:uri="urn:schemas-microsoft-com:office:smarttags" w:element="place">
              <w:smartTag w:uri="urn:schemas-microsoft-com:office:smarttags" w:element="PlaceName">
                <w:r w:rsidRPr="00D14250">
                  <w:t>member</w:t>
                </w:r>
              </w:smartTag>
              <w:r w:rsidRPr="00D14250">
                <w:t xml:space="preserve"> </w:t>
              </w:r>
              <w:smartTag w:uri="urn:schemas-microsoft-com:office:smarttags" w:element="PlaceType">
                <w:r w:rsidRPr="00D14250">
                  <w:t>States</w:t>
                </w:r>
              </w:smartTag>
            </w:smartTag>
            <w:r w:rsidRPr="00D14250">
              <w:t xml:space="preserve"> and THE PEP focal points across the transport, health and environment sectors in THE PEP policy framework </w:t>
            </w:r>
          </w:p>
          <w:p w:rsidR="00732BA8" w:rsidRPr="00D14250" w:rsidRDefault="0026542D" w:rsidP="00BD323F">
            <w:pPr>
              <w:suppressAutoHyphens w:val="0"/>
              <w:spacing w:before="40" w:after="120"/>
              <w:ind w:left="113" w:right="113"/>
            </w:pPr>
            <w:r w:rsidRPr="00D14250">
              <w:rPr>
                <w:i/>
              </w:rPr>
              <w:t>Performance measures</w:t>
            </w:r>
            <w:proofErr w:type="gramStart"/>
            <w:r w:rsidRPr="00D14250">
              <w:t>:</w:t>
            </w:r>
            <w:proofErr w:type="gramEnd"/>
            <w:r w:rsidR="00845302" w:rsidRPr="00D14250">
              <w:br/>
            </w:r>
            <w:r w:rsidRPr="00D14250">
              <w:t>Baseline 201</w:t>
            </w:r>
            <w:r w:rsidR="00DE52B6">
              <w:t>5</w:t>
            </w:r>
            <w:r w:rsidRPr="00D14250">
              <w:t>: 40 countries and 20 intergovernmental and non-governmental organizations; 3 capacity-building workshops and 2 sessions of the Steering Committee</w:t>
            </w:r>
            <w:r w:rsidR="00845302" w:rsidRPr="00D14250">
              <w:br/>
            </w:r>
            <w:r w:rsidRPr="00D14250">
              <w:t>Target: 201</w:t>
            </w:r>
            <w:r w:rsidR="00DE52B6">
              <w:t>6</w:t>
            </w:r>
            <w:r w:rsidRPr="00D14250">
              <w:t>–201</w:t>
            </w:r>
            <w:r w:rsidR="00DE52B6">
              <w:t>7</w:t>
            </w:r>
            <w:r w:rsidRPr="00D14250">
              <w:t>: 40 countries and 20 intergovernmental and non-governmental organizations; 3 capacity-building workshops and 2 sessions of the Steering Committee.</w:t>
            </w:r>
          </w:p>
        </w:tc>
      </w:tr>
      <w:tr w:rsidR="00732BA8" w:rsidRPr="00D14250" w:rsidTr="001E5882">
        <w:trPr>
          <w:cantSplit/>
        </w:trPr>
        <w:tc>
          <w:tcPr>
            <w:tcW w:w="3139"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732BA8" w:rsidRPr="00D14250" w:rsidRDefault="00870A94" w:rsidP="0056514E">
            <w:pPr>
              <w:suppressAutoHyphens w:val="0"/>
              <w:spacing w:before="40" w:after="120"/>
              <w:ind w:left="538" w:right="113" w:hanging="425"/>
            </w:pPr>
            <w:r w:rsidRPr="00D14250">
              <w:t>9.a.</w:t>
            </w:r>
            <w:r w:rsidRPr="00D14250">
              <w:tab/>
            </w:r>
            <w:r w:rsidR="0026542D" w:rsidRPr="00D14250">
              <w:t>Transport of dangerous goods (UNECE)</w:t>
            </w:r>
          </w:p>
        </w:tc>
        <w:tc>
          <w:tcPr>
            <w:tcW w:w="4279" w:type="dxa"/>
            <w:tcBorders>
              <w:top w:val="nil"/>
              <w:left w:val="nil"/>
              <w:bottom w:val="nil"/>
              <w:right w:val="nil"/>
            </w:tcBorders>
            <w:shd w:val="clear" w:color="auto" w:fill="auto"/>
          </w:tcPr>
          <w:p w:rsidR="00732BA8" w:rsidRPr="00D14250" w:rsidRDefault="0026542D" w:rsidP="0056514E">
            <w:pPr>
              <w:suppressAutoHyphens w:val="0"/>
              <w:spacing w:before="40" w:after="120"/>
              <w:ind w:left="113" w:right="113"/>
            </w:pPr>
            <w:r w:rsidRPr="00D14250">
              <w:t>EA 9.a. Adoption of amendments to the ADR</w:t>
            </w:r>
            <w:r w:rsidR="000069B8" w:rsidRPr="00D14250">
              <w:rPr>
                <w:rStyle w:val="FootnoteReference"/>
              </w:rPr>
              <w:footnoteReference w:id="2"/>
            </w:r>
            <w:r w:rsidRPr="00D14250">
              <w:t xml:space="preserve"> and, through joint activities, with the Intergovernmental Organization for International Carriage by Rail (OTIF) and the Central Commission for the Navigation of the Rhine (CCNR), to the RID</w:t>
            </w:r>
            <w:r w:rsidR="000069B8" w:rsidRPr="00D14250">
              <w:rPr>
                <w:rStyle w:val="FootnoteReference"/>
              </w:rPr>
              <w:footnoteReference w:id="3"/>
            </w:r>
            <w:r w:rsidRPr="00D14250">
              <w:t xml:space="preserve"> and the ADN</w:t>
            </w:r>
            <w:r w:rsidR="000069B8" w:rsidRPr="00D14250">
              <w:rPr>
                <w:rStyle w:val="FootnoteReference"/>
              </w:rPr>
              <w:footnoteReference w:id="4"/>
            </w:r>
            <w:r w:rsidRPr="00D14250">
              <w:t xml:space="preserve"> respectively, intended to maintain the necessary level of safety, security and protection of the environment in a uniform, harmonized and coherent system of transport of dangerous goods regulations based on the United Nations Recommendations on the Transport of Dangerous Goods, and effective implementation through international and national legislation.</w:t>
            </w:r>
          </w:p>
        </w:tc>
      </w:tr>
      <w:tr w:rsidR="00732BA8" w:rsidRPr="00D14250" w:rsidTr="008F3198">
        <w:tc>
          <w:tcPr>
            <w:tcW w:w="3139"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pPr>
          </w:p>
        </w:tc>
        <w:tc>
          <w:tcPr>
            <w:tcW w:w="4279" w:type="dxa"/>
            <w:tcBorders>
              <w:top w:val="nil"/>
              <w:left w:val="nil"/>
              <w:bottom w:val="nil"/>
              <w:right w:val="nil"/>
            </w:tcBorders>
            <w:shd w:val="clear" w:color="auto" w:fill="auto"/>
          </w:tcPr>
          <w:p w:rsidR="009C20CB" w:rsidRDefault="0026542D" w:rsidP="00243923">
            <w:pPr>
              <w:suppressAutoHyphens w:val="0"/>
              <w:spacing w:before="40" w:after="120"/>
              <w:ind w:left="113" w:right="113"/>
            </w:pPr>
            <w:r w:rsidRPr="00D14250">
              <w:t xml:space="preserve">IA 9.a. (a) </w:t>
            </w:r>
            <w:r w:rsidR="00243923" w:rsidRPr="00243923">
              <w:t>Amendments to ADR, RID and ADN adopted in 2015 and 2016 and entered into force by 1 January 2017 for international transport and made applicable to domestic traffic in all EU and European Economic Area (EEA) countries by 1 July 2017, reflecting, inter alia, the 2015 United Nations Recommendations on the Transport of Dangerous Goods, Model Regulations (nineteenth revised edition)</w:t>
            </w:r>
          </w:p>
          <w:p w:rsidR="00732BA8" w:rsidRPr="00D14250" w:rsidRDefault="0026542D" w:rsidP="00243923">
            <w:pPr>
              <w:suppressAutoHyphens w:val="0"/>
              <w:spacing w:before="40" w:after="120"/>
              <w:ind w:left="113" w:right="113"/>
            </w:pPr>
            <w:r w:rsidRPr="00D14250">
              <w:rPr>
                <w:i/>
              </w:rPr>
              <w:t>Performance measures</w:t>
            </w:r>
            <w:r w:rsidRPr="00D14250">
              <w:t>:</w:t>
            </w:r>
            <w:r w:rsidR="00845302" w:rsidRPr="00D14250">
              <w:br/>
            </w:r>
            <w:r w:rsidR="00243923">
              <w:t xml:space="preserve">Baseline 2014–2015: </w:t>
            </w:r>
            <w:r w:rsidR="00243923">
              <w:br/>
              <w:t>1 set of amendments to each legal instrument</w:t>
            </w:r>
            <w:r w:rsidR="009C20CB">
              <w:br/>
            </w:r>
            <w:r w:rsidR="00243923" w:rsidRPr="003A6BCB">
              <w:t xml:space="preserve">Target </w:t>
            </w:r>
            <w:r w:rsidR="00243923">
              <w:t>2016–2017</w:t>
            </w:r>
            <w:r w:rsidR="00243923" w:rsidRPr="003A6BCB">
              <w:t xml:space="preserve">: </w:t>
            </w:r>
            <w:r w:rsidR="00243923">
              <w:br/>
            </w:r>
            <w:r w:rsidR="00243923" w:rsidRPr="003A6BCB">
              <w:t>1 set of amendments to each legal instrument</w:t>
            </w:r>
          </w:p>
        </w:tc>
      </w:tr>
      <w:tr w:rsidR="00732BA8" w:rsidRPr="00D14250" w:rsidTr="008F3198">
        <w:tc>
          <w:tcPr>
            <w:tcW w:w="3139"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pPr>
          </w:p>
        </w:tc>
        <w:tc>
          <w:tcPr>
            <w:tcW w:w="4279" w:type="dxa"/>
            <w:tcBorders>
              <w:top w:val="nil"/>
              <w:left w:val="nil"/>
              <w:bottom w:val="nil"/>
              <w:right w:val="nil"/>
            </w:tcBorders>
            <w:shd w:val="clear" w:color="auto" w:fill="auto"/>
          </w:tcPr>
          <w:p w:rsidR="0026542D" w:rsidRPr="00D14250" w:rsidRDefault="0026542D" w:rsidP="0056514E">
            <w:pPr>
              <w:suppressAutoHyphens w:val="0"/>
              <w:spacing w:before="40" w:after="120"/>
              <w:ind w:left="113" w:right="113"/>
            </w:pPr>
            <w:r w:rsidRPr="00D14250">
              <w:t xml:space="preserve">IA 9.a. (b) </w:t>
            </w:r>
            <w:r w:rsidR="009C20CB" w:rsidRPr="009C20CB">
              <w:t>Publication of the consolidated 2017 revised editions of ADR and ADN before end 2016</w:t>
            </w:r>
          </w:p>
          <w:p w:rsidR="00732BA8" w:rsidRPr="00D14250" w:rsidRDefault="0026542D" w:rsidP="009C20CB">
            <w:pPr>
              <w:suppressAutoHyphens w:val="0"/>
              <w:spacing w:before="40" w:after="120"/>
              <w:ind w:left="113" w:right="113"/>
            </w:pPr>
            <w:r w:rsidRPr="00D14250">
              <w:rPr>
                <w:i/>
              </w:rPr>
              <w:t>Performance measures</w:t>
            </w:r>
            <w:r w:rsidRPr="00D14250">
              <w:t>:</w:t>
            </w:r>
            <w:r w:rsidR="00845302" w:rsidRPr="00D14250">
              <w:br/>
            </w:r>
            <w:r w:rsidR="009C20CB" w:rsidRPr="007A46CD">
              <w:rPr>
                <w:lang w:val="da-DK"/>
              </w:rPr>
              <w:t xml:space="preserve">Baseline </w:t>
            </w:r>
            <w:r w:rsidR="009C20CB">
              <w:rPr>
                <w:lang w:val="da-DK"/>
              </w:rPr>
              <w:t>2014</w:t>
            </w:r>
            <w:r w:rsidR="009C20CB" w:rsidRPr="007A46CD">
              <w:rPr>
                <w:lang w:val="da-DK"/>
              </w:rPr>
              <w:t>–</w:t>
            </w:r>
            <w:r w:rsidR="009C20CB">
              <w:rPr>
                <w:lang w:val="da-DK"/>
              </w:rPr>
              <w:t>2015</w:t>
            </w:r>
            <w:r w:rsidR="009C20CB" w:rsidRPr="007A46CD">
              <w:rPr>
                <w:lang w:val="da-DK"/>
              </w:rPr>
              <w:t>: 1 ADR, 1 ADN</w:t>
            </w:r>
            <w:r w:rsidR="009C20CB">
              <w:rPr>
                <w:lang w:val="da-DK"/>
              </w:rPr>
              <w:br/>
            </w:r>
            <w:r w:rsidR="009C20CB" w:rsidRPr="00DB2E20">
              <w:t xml:space="preserve">Target </w:t>
            </w:r>
            <w:r w:rsidR="009C20CB">
              <w:t>2016</w:t>
            </w:r>
            <w:r w:rsidR="009C20CB" w:rsidRPr="00DB2E20">
              <w:t>–</w:t>
            </w:r>
            <w:r w:rsidR="009C20CB">
              <w:t>2017</w:t>
            </w:r>
            <w:r w:rsidR="009C20CB" w:rsidRPr="00DB2E20">
              <w:t>: 1 ADR, 1 ADN</w:t>
            </w:r>
          </w:p>
        </w:tc>
      </w:tr>
      <w:tr w:rsidR="00732BA8" w:rsidRPr="00D14250" w:rsidTr="008F3198">
        <w:tc>
          <w:tcPr>
            <w:tcW w:w="3139"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732BA8" w:rsidRPr="00D14250" w:rsidRDefault="00870A94" w:rsidP="0056514E">
            <w:pPr>
              <w:suppressAutoHyphens w:val="0"/>
              <w:spacing w:before="40" w:after="120"/>
              <w:ind w:left="538" w:right="113" w:hanging="425"/>
            </w:pPr>
            <w:r w:rsidRPr="00D14250">
              <w:t>10.a.</w:t>
            </w:r>
            <w:r w:rsidRPr="00D14250">
              <w:tab/>
            </w:r>
            <w:r w:rsidR="0026542D" w:rsidRPr="00D14250">
              <w:t>Transport of dangerous goods (ECOSOC)</w:t>
            </w:r>
          </w:p>
        </w:tc>
        <w:tc>
          <w:tcPr>
            <w:tcW w:w="4279" w:type="dxa"/>
            <w:tcBorders>
              <w:top w:val="nil"/>
              <w:left w:val="nil"/>
              <w:bottom w:val="nil"/>
              <w:right w:val="nil"/>
            </w:tcBorders>
            <w:shd w:val="clear" w:color="auto" w:fill="auto"/>
          </w:tcPr>
          <w:p w:rsidR="00732BA8" w:rsidRPr="00D14250" w:rsidRDefault="0026542D" w:rsidP="000D79BF">
            <w:pPr>
              <w:suppressAutoHyphens w:val="0"/>
              <w:spacing w:before="40" w:after="120"/>
              <w:ind w:left="113" w:right="113"/>
            </w:pPr>
            <w:r w:rsidRPr="00D14250">
              <w:t>EA 10.a. Adoption of amendments to the United Nations Recommendations on the Transport of Dangerous Goods, Model Regulations and to the Manual of Tests and Criteria and issuance of new recommendations in 201</w:t>
            </w:r>
            <w:r w:rsidR="000D79BF">
              <w:t>4</w:t>
            </w:r>
            <w:r w:rsidRPr="00D14250">
              <w:t>, and publication in 201</w:t>
            </w:r>
            <w:r w:rsidR="000D79BF">
              <w:t>5</w:t>
            </w:r>
            <w:r w:rsidRPr="00D14250">
              <w:t xml:space="preserve"> of new consolidated versions of the Model Regulations and of the Manual of Tests and </w:t>
            </w:r>
            <w:r w:rsidRPr="00D14250">
              <w:lastRenderedPageBreak/>
              <w:t>Criteria incorporating amendments and new recommendations.</w:t>
            </w:r>
          </w:p>
        </w:tc>
      </w:tr>
      <w:tr w:rsidR="00732BA8" w:rsidRPr="00D14250" w:rsidTr="008F3198">
        <w:tc>
          <w:tcPr>
            <w:tcW w:w="3139"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pPr>
          </w:p>
        </w:tc>
        <w:tc>
          <w:tcPr>
            <w:tcW w:w="4279" w:type="dxa"/>
            <w:tcBorders>
              <w:top w:val="nil"/>
              <w:left w:val="nil"/>
              <w:bottom w:val="nil"/>
              <w:right w:val="nil"/>
            </w:tcBorders>
            <w:shd w:val="clear" w:color="auto" w:fill="auto"/>
          </w:tcPr>
          <w:p w:rsidR="0026542D" w:rsidRPr="00D14250" w:rsidRDefault="0026542D" w:rsidP="0056514E">
            <w:pPr>
              <w:suppressAutoHyphens w:val="0"/>
              <w:spacing w:before="40" w:after="120"/>
              <w:ind w:left="113" w:right="113"/>
            </w:pPr>
            <w:r w:rsidRPr="00D14250">
              <w:t>IA 10.a. (a)</w:t>
            </w:r>
            <w:r w:rsidR="00845302" w:rsidRPr="00D14250">
              <w:t xml:space="preserve"> </w:t>
            </w:r>
            <w:r w:rsidRPr="00D14250">
              <w:t>Amendments to the 1</w:t>
            </w:r>
            <w:r w:rsidR="000D79BF">
              <w:t>9</w:t>
            </w:r>
            <w:r w:rsidRPr="00D14250">
              <w:t xml:space="preserve">th revised edition of the Model Regulations and the </w:t>
            </w:r>
            <w:r w:rsidR="000D79BF">
              <w:t>6</w:t>
            </w:r>
            <w:r w:rsidRPr="00D14250">
              <w:t>th revised edition of the Manual of Tests and Criteria adopted in 201</w:t>
            </w:r>
            <w:r w:rsidR="000D79BF">
              <w:t>6</w:t>
            </w:r>
            <w:r w:rsidRPr="00D14250">
              <w:t>.</w:t>
            </w:r>
          </w:p>
          <w:p w:rsidR="00732BA8" w:rsidRPr="00D14250" w:rsidRDefault="0026542D" w:rsidP="000D79BF">
            <w:pPr>
              <w:suppressAutoHyphens w:val="0"/>
              <w:spacing w:before="40" w:after="120"/>
              <w:ind w:left="113" w:right="113"/>
            </w:pPr>
            <w:r w:rsidRPr="00D14250">
              <w:rPr>
                <w:i/>
              </w:rPr>
              <w:t>Performance measures</w:t>
            </w:r>
            <w:r w:rsidRPr="00D14250">
              <w:t>:</w:t>
            </w:r>
            <w:r w:rsidR="00845302" w:rsidRPr="00D14250">
              <w:br/>
            </w:r>
            <w:r w:rsidRPr="00D14250">
              <w:t xml:space="preserve">Baseline </w:t>
            </w:r>
            <w:r w:rsidR="000D79BF" w:rsidRPr="00D14250">
              <w:t>201</w:t>
            </w:r>
            <w:r w:rsidR="000D79BF">
              <w:t>4–2015</w:t>
            </w:r>
            <w:r w:rsidRPr="00D14250">
              <w:t xml:space="preserve">: 2 sets of amendments </w:t>
            </w:r>
            <w:r w:rsidR="00845302" w:rsidRPr="00D14250">
              <w:br/>
            </w:r>
            <w:r w:rsidRPr="00D14250">
              <w:t>Target: 201</w:t>
            </w:r>
            <w:r w:rsidR="000D79BF">
              <w:t>6</w:t>
            </w:r>
            <w:r w:rsidRPr="00D14250">
              <w:t>–201</w:t>
            </w:r>
            <w:r w:rsidR="000D79BF">
              <w:t>7</w:t>
            </w:r>
            <w:r w:rsidRPr="00D14250">
              <w:t>: 2 sets of amendments</w:t>
            </w:r>
          </w:p>
        </w:tc>
      </w:tr>
      <w:tr w:rsidR="00732BA8" w:rsidRPr="00D14250" w:rsidTr="008F3198">
        <w:tc>
          <w:tcPr>
            <w:tcW w:w="3139"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pPr>
          </w:p>
        </w:tc>
        <w:tc>
          <w:tcPr>
            <w:tcW w:w="4279" w:type="dxa"/>
            <w:tcBorders>
              <w:top w:val="nil"/>
              <w:left w:val="nil"/>
              <w:bottom w:val="nil"/>
              <w:right w:val="nil"/>
            </w:tcBorders>
            <w:shd w:val="clear" w:color="auto" w:fill="auto"/>
          </w:tcPr>
          <w:p w:rsidR="0026542D" w:rsidRPr="00D14250" w:rsidRDefault="0026542D" w:rsidP="0056514E">
            <w:pPr>
              <w:suppressAutoHyphens w:val="0"/>
              <w:spacing w:before="40" w:after="120"/>
              <w:ind w:left="113" w:right="113"/>
            </w:pPr>
            <w:r w:rsidRPr="00D14250">
              <w:t xml:space="preserve">IA 10.a. (b) Publication of the </w:t>
            </w:r>
            <w:r w:rsidR="000D79BF">
              <w:t>20</w:t>
            </w:r>
            <w:r w:rsidRPr="00D14250">
              <w:t xml:space="preserve">th revised editions of the Model Regulations and of the </w:t>
            </w:r>
            <w:r w:rsidR="000D79BF">
              <w:t>7</w:t>
            </w:r>
            <w:r w:rsidRPr="00D14250">
              <w:rPr>
                <w:vertAlign w:val="superscript"/>
              </w:rPr>
              <w:t>th</w:t>
            </w:r>
            <w:r w:rsidRPr="00D14250">
              <w:t xml:space="preserve"> revised edition of the Manual (or Amendment</w:t>
            </w:r>
            <w:r w:rsidR="00114CB4">
              <w:t xml:space="preserve"> </w:t>
            </w:r>
            <w:r w:rsidRPr="00D14250">
              <w:t xml:space="preserve">to the </w:t>
            </w:r>
            <w:r w:rsidR="000D79BF">
              <w:t>six</w:t>
            </w:r>
            <w:r w:rsidRPr="00D14250">
              <w:t>th revised edition) before the end 201</w:t>
            </w:r>
            <w:r w:rsidR="000D79BF">
              <w:t>7</w:t>
            </w:r>
          </w:p>
          <w:p w:rsidR="00732BA8" w:rsidRPr="00D14250" w:rsidRDefault="0026542D" w:rsidP="0056514E">
            <w:pPr>
              <w:suppressAutoHyphens w:val="0"/>
              <w:spacing w:before="40" w:after="120"/>
              <w:ind w:left="113" w:right="113"/>
            </w:pPr>
            <w:r w:rsidRPr="00D14250">
              <w:rPr>
                <w:i/>
              </w:rPr>
              <w:t>Performance measures</w:t>
            </w:r>
            <w:r w:rsidRPr="00D14250">
              <w:t>:</w:t>
            </w:r>
            <w:r w:rsidR="00845302" w:rsidRPr="00D14250">
              <w:br/>
            </w:r>
            <w:r w:rsidRPr="00D14250">
              <w:t>Baseline 201</w:t>
            </w:r>
            <w:r w:rsidR="000D79BF">
              <w:t>4</w:t>
            </w:r>
            <w:r w:rsidRPr="00D14250">
              <w:t>–201</w:t>
            </w:r>
            <w:r w:rsidR="000D79BF">
              <w:t>5</w:t>
            </w:r>
            <w:r w:rsidRPr="00D14250">
              <w:t>: 1 Model Regulation, 1 Manual</w:t>
            </w:r>
            <w:r w:rsidR="00845302" w:rsidRPr="00D14250">
              <w:br/>
            </w:r>
            <w:r w:rsidRPr="00D14250">
              <w:t>Target 201</w:t>
            </w:r>
            <w:r w:rsidR="000D79BF">
              <w:t>6</w:t>
            </w:r>
            <w:r w:rsidRPr="00D14250">
              <w:t>–201</w:t>
            </w:r>
            <w:r w:rsidR="000D79BF">
              <w:t>7</w:t>
            </w:r>
            <w:r w:rsidRPr="00D14250">
              <w:t>: 1 Model Regulation, 1 Manual</w:t>
            </w:r>
          </w:p>
        </w:tc>
      </w:tr>
      <w:tr w:rsidR="00732BA8" w:rsidRPr="00D14250" w:rsidTr="008F3198">
        <w:tc>
          <w:tcPr>
            <w:tcW w:w="3139"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732BA8" w:rsidRPr="00D14250" w:rsidRDefault="0026542D" w:rsidP="0056514E">
            <w:pPr>
              <w:suppressAutoHyphens w:val="0"/>
              <w:spacing w:before="40" w:after="120"/>
              <w:ind w:left="538" w:right="113" w:hanging="425"/>
            </w:pPr>
            <w:r w:rsidRPr="00D14250">
              <w:t>1</w:t>
            </w:r>
            <w:r w:rsidR="00870A94" w:rsidRPr="00D14250">
              <w:t>1.a.</w:t>
            </w:r>
            <w:r w:rsidR="00870A94" w:rsidRPr="00D14250">
              <w:tab/>
            </w:r>
            <w:r w:rsidRPr="00D14250">
              <w:t>Globally Harmonized System for the classification and labelling of chemical (GHS)</w:t>
            </w:r>
          </w:p>
        </w:tc>
        <w:tc>
          <w:tcPr>
            <w:tcW w:w="4279" w:type="dxa"/>
            <w:tcBorders>
              <w:top w:val="nil"/>
              <w:left w:val="nil"/>
              <w:bottom w:val="nil"/>
              <w:right w:val="nil"/>
            </w:tcBorders>
            <w:shd w:val="clear" w:color="auto" w:fill="auto"/>
          </w:tcPr>
          <w:p w:rsidR="00732BA8" w:rsidRPr="00D14250" w:rsidRDefault="0026542D" w:rsidP="00B05900">
            <w:pPr>
              <w:suppressAutoHyphens w:val="0"/>
              <w:spacing w:before="40" w:after="120"/>
              <w:ind w:left="113" w:right="113"/>
            </w:pPr>
            <w:r w:rsidRPr="00D14250">
              <w:t xml:space="preserve">EA 11.a. Adoption of amendments to the Globally Harmonized System intended to further clarify or harmonize the existing classification and </w:t>
            </w:r>
            <w:proofErr w:type="spellStart"/>
            <w:r w:rsidRPr="00D14250">
              <w:t>labeling</w:t>
            </w:r>
            <w:proofErr w:type="spellEnd"/>
            <w:r w:rsidRPr="00D14250">
              <w:t xml:space="preserve"> criteria or to introduce new criteria, in order to maintain or increase the level of protection offered to the environment and to those producing, handling, transporting or using hazardous chemicals, in a uniform, harmonized and coherent way and facilitating its effective implementation through international and national legislation, and publication in 201</w:t>
            </w:r>
            <w:r w:rsidR="00B05900">
              <w:t>7</w:t>
            </w:r>
            <w:r w:rsidRPr="00D14250">
              <w:t xml:space="preserve"> of the </w:t>
            </w:r>
            <w:r w:rsidR="00B05900">
              <w:t xml:space="preserve">seventh </w:t>
            </w:r>
            <w:r w:rsidRPr="00D14250">
              <w:t>revised edition of GHS</w:t>
            </w:r>
          </w:p>
        </w:tc>
      </w:tr>
      <w:tr w:rsidR="00732BA8" w:rsidRPr="00D14250" w:rsidTr="008F3198">
        <w:tc>
          <w:tcPr>
            <w:tcW w:w="3139"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pPr>
          </w:p>
        </w:tc>
        <w:tc>
          <w:tcPr>
            <w:tcW w:w="4279" w:type="dxa"/>
            <w:tcBorders>
              <w:top w:val="nil"/>
              <w:left w:val="nil"/>
              <w:bottom w:val="nil"/>
              <w:right w:val="nil"/>
            </w:tcBorders>
            <w:shd w:val="clear" w:color="auto" w:fill="auto"/>
          </w:tcPr>
          <w:p w:rsidR="0026542D" w:rsidRPr="00D14250" w:rsidRDefault="0026542D" w:rsidP="0056514E">
            <w:pPr>
              <w:suppressAutoHyphens w:val="0"/>
              <w:spacing w:before="40" w:after="120"/>
              <w:ind w:left="113" w:right="113"/>
            </w:pPr>
            <w:r w:rsidRPr="00D14250">
              <w:t>IA 11.a (a) One set of amendments to the GHS adopted in 201</w:t>
            </w:r>
            <w:r w:rsidR="00B05900">
              <w:t>6</w:t>
            </w:r>
            <w:r w:rsidRPr="00D14250">
              <w:t>.</w:t>
            </w:r>
          </w:p>
          <w:p w:rsidR="00732BA8" w:rsidRPr="00D14250" w:rsidRDefault="0026542D" w:rsidP="0056514E">
            <w:pPr>
              <w:suppressAutoHyphens w:val="0"/>
              <w:spacing w:before="40" w:after="120"/>
              <w:ind w:left="113" w:right="113"/>
            </w:pPr>
            <w:r w:rsidRPr="00D14250">
              <w:rPr>
                <w:i/>
              </w:rPr>
              <w:t>Performance measures</w:t>
            </w:r>
            <w:r w:rsidRPr="00D14250">
              <w:t>:</w:t>
            </w:r>
            <w:r w:rsidR="00845302" w:rsidRPr="00D14250">
              <w:br/>
            </w:r>
            <w:r w:rsidRPr="00D14250">
              <w:t>Baseline 201</w:t>
            </w:r>
            <w:r w:rsidR="00B05900">
              <w:t>4–2015</w:t>
            </w:r>
            <w:r w:rsidRPr="00D14250">
              <w:t>: 1 set of amendments</w:t>
            </w:r>
            <w:r w:rsidR="00845302" w:rsidRPr="00D14250">
              <w:br/>
            </w:r>
            <w:r w:rsidRPr="00D14250">
              <w:t>Target: 201</w:t>
            </w:r>
            <w:r w:rsidR="00B05900">
              <w:t>6</w:t>
            </w:r>
            <w:r w:rsidRPr="00D14250">
              <w:t>–201</w:t>
            </w:r>
            <w:r w:rsidR="00B05900">
              <w:t>7</w:t>
            </w:r>
            <w:r w:rsidRPr="00D14250">
              <w:t>: 1 set of amendments</w:t>
            </w:r>
          </w:p>
        </w:tc>
      </w:tr>
      <w:tr w:rsidR="00732BA8" w:rsidRPr="00D14250" w:rsidTr="008F3198">
        <w:tc>
          <w:tcPr>
            <w:tcW w:w="3139"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pPr>
          </w:p>
        </w:tc>
        <w:tc>
          <w:tcPr>
            <w:tcW w:w="4279" w:type="dxa"/>
            <w:tcBorders>
              <w:top w:val="nil"/>
              <w:left w:val="nil"/>
              <w:bottom w:val="nil"/>
              <w:right w:val="nil"/>
            </w:tcBorders>
            <w:shd w:val="clear" w:color="auto" w:fill="auto"/>
          </w:tcPr>
          <w:p w:rsidR="00E35679" w:rsidRPr="00D14250" w:rsidRDefault="00E35679" w:rsidP="0056514E">
            <w:pPr>
              <w:suppressAutoHyphens w:val="0"/>
              <w:spacing w:before="40" w:after="120"/>
              <w:ind w:left="113" w:right="113"/>
            </w:pPr>
            <w:r w:rsidRPr="00D14250">
              <w:t xml:space="preserve">IA 11.a (b) Publication of the </w:t>
            </w:r>
            <w:r w:rsidR="00B05900">
              <w:t>7</w:t>
            </w:r>
            <w:r w:rsidRPr="00D14250">
              <w:t>th revised edition of the GHS before end 201</w:t>
            </w:r>
            <w:r w:rsidR="00B05900">
              <w:t>7</w:t>
            </w:r>
          </w:p>
          <w:p w:rsidR="00732BA8" w:rsidRPr="00D14250" w:rsidRDefault="00E35679" w:rsidP="0056514E">
            <w:pPr>
              <w:suppressAutoHyphens w:val="0"/>
              <w:spacing w:before="40" w:after="120"/>
              <w:ind w:left="113" w:right="113"/>
            </w:pPr>
            <w:r w:rsidRPr="00D14250">
              <w:rPr>
                <w:i/>
              </w:rPr>
              <w:t>Performance measures</w:t>
            </w:r>
            <w:r w:rsidRPr="00D14250">
              <w:t>:</w:t>
            </w:r>
            <w:r w:rsidR="00845302" w:rsidRPr="00D14250">
              <w:br/>
            </w:r>
            <w:r w:rsidRPr="00D14250">
              <w:t>Baseline 201</w:t>
            </w:r>
            <w:r w:rsidR="00B05900">
              <w:t>4</w:t>
            </w:r>
            <w:r w:rsidRPr="00D14250">
              <w:t>–201</w:t>
            </w:r>
            <w:r w:rsidR="00B05900">
              <w:t>5</w:t>
            </w:r>
            <w:r w:rsidRPr="00D14250">
              <w:t>: 1 GHS</w:t>
            </w:r>
            <w:r w:rsidR="00845302" w:rsidRPr="00D14250">
              <w:br/>
            </w:r>
            <w:r w:rsidRPr="00D14250">
              <w:t>Target 201</w:t>
            </w:r>
            <w:r w:rsidR="00B05900">
              <w:t>6</w:t>
            </w:r>
            <w:r w:rsidRPr="00D14250">
              <w:t>–201</w:t>
            </w:r>
            <w:r w:rsidR="00B05900">
              <w:t>7</w:t>
            </w:r>
            <w:r w:rsidRPr="00D14250">
              <w:t>: 1 GHS</w:t>
            </w:r>
          </w:p>
        </w:tc>
      </w:tr>
      <w:tr w:rsidR="00732BA8" w:rsidRPr="00D14250" w:rsidTr="008F3198">
        <w:tc>
          <w:tcPr>
            <w:tcW w:w="3139"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732BA8" w:rsidRPr="00D14250" w:rsidRDefault="00870A94" w:rsidP="0056514E">
            <w:pPr>
              <w:suppressAutoHyphens w:val="0"/>
              <w:spacing w:before="40" w:after="120"/>
              <w:ind w:left="538" w:right="113" w:hanging="425"/>
            </w:pPr>
            <w:r w:rsidRPr="00D14250">
              <w:t>12.a.</w:t>
            </w:r>
            <w:r w:rsidRPr="00D14250">
              <w:tab/>
            </w:r>
            <w:r w:rsidR="004B2F96" w:rsidRPr="00D14250">
              <w:t>Transport of perishable foodstuffs</w:t>
            </w:r>
          </w:p>
        </w:tc>
        <w:tc>
          <w:tcPr>
            <w:tcW w:w="4279" w:type="dxa"/>
            <w:tcBorders>
              <w:top w:val="nil"/>
              <w:left w:val="nil"/>
              <w:bottom w:val="nil"/>
              <w:right w:val="nil"/>
            </w:tcBorders>
            <w:shd w:val="clear" w:color="auto" w:fill="auto"/>
          </w:tcPr>
          <w:p w:rsidR="00732BA8" w:rsidRPr="00D14250" w:rsidRDefault="004B2F96" w:rsidP="0056514E">
            <w:pPr>
              <w:suppressAutoHyphens w:val="0"/>
              <w:spacing w:before="40" w:after="120"/>
              <w:ind w:left="113" w:right="113"/>
            </w:pPr>
            <w:r w:rsidRPr="00D14250">
              <w:t>EA 12.a. Enhanced and updated international requirements for the transport of perishable foodstuffs</w:t>
            </w:r>
          </w:p>
        </w:tc>
      </w:tr>
      <w:tr w:rsidR="00732BA8" w:rsidRPr="00D14250" w:rsidTr="00A203AA">
        <w:trPr>
          <w:cantSplit/>
        </w:trPr>
        <w:tc>
          <w:tcPr>
            <w:tcW w:w="3139"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732BA8" w:rsidRPr="00D14250" w:rsidRDefault="00732BA8" w:rsidP="00B83E9A">
            <w:pPr>
              <w:suppressAutoHyphens w:val="0"/>
              <w:spacing w:line="240" w:lineRule="auto"/>
              <w:ind w:right="113"/>
            </w:pPr>
          </w:p>
        </w:tc>
        <w:tc>
          <w:tcPr>
            <w:tcW w:w="4279" w:type="dxa"/>
            <w:tcBorders>
              <w:top w:val="nil"/>
              <w:left w:val="nil"/>
              <w:bottom w:val="nil"/>
              <w:right w:val="nil"/>
            </w:tcBorders>
            <w:shd w:val="clear" w:color="auto" w:fill="auto"/>
          </w:tcPr>
          <w:p w:rsidR="004B2F96" w:rsidRPr="00D14250" w:rsidRDefault="004B2F96" w:rsidP="0056514E">
            <w:pPr>
              <w:suppressAutoHyphens w:val="0"/>
              <w:spacing w:before="40" w:after="120"/>
              <w:ind w:left="113" w:right="113"/>
            </w:pPr>
            <w:r w:rsidRPr="00D14250">
              <w:t xml:space="preserve">IA 12.a. (a) </w:t>
            </w:r>
            <w:r w:rsidR="00386D31" w:rsidRPr="00D14250">
              <w:t>Percentage of total of non-editorial amendment proposals adopted by WP.11</w:t>
            </w:r>
          </w:p>
          <w:p w:rsidR="00732BA8" w:rsidRPr="00D14250" w:rsidRDefault="004B2F96" w:rsidP="00386D31">
            <w:pPr>
              <w:suppressAutoHyphens w:val="0"/>
              <w:spacing w:before="40" w:after="120"/>
              <w:ind w:left="113" w:right="113"/>
            </w:pPr>
            <w:r w:rsidRPr="00D14250">
              <w:rPr>
                <w:i/>
              </w:rPr>
              <w:t>Performance measures</w:t>
            </w:r>
            <w:r w:rsidRPr="00D14250">
              <w:t>:</w:t>
            </w:r>
            <w:r w:rsidR="008C0D79" w:rsidRPr="00D14250">
              <w:br/>
            </w:r>
            <w:r w:rsidR="006351C9">
              <w:rPr>
                <w:lang w:val="fr-CH"/>
              </w:rPr>
              <w:t>Baseline: 2014-2015: 50</w:t>
            </w:r>
            <w:r w:rsidR="006351C9" w:rsidRPr="00916DC5">
              <w:rPr>
                <w:lang w:val="fr-CH"/>
              </w:rPr>
              <w:t>%</w:t>
            </w:r>
            <w:r w:rsidR="006351C9" w:rsidRPr="00916DC5">
              <w:rPr>
                <w:lang w:val="en-US"/>
              </w:rPr>
              <w:br/>
            </w:r>
            <w:r w:rsidR="006351C9">
              <w:rPr>
                <w:lang w:val="fr-CH"/>
              </w:rPr>
              <w:t>Target: 2016-2017: 6</w:t>
            </w:r>
            <w:r w:rsidR="006351C9" w:rsidRPr="00916DC5">
              <w:rPr>
                <w:lang w:val="fr-CH"/>
              </w:rPr>
              <w:t>0%</w:t>
            </w:r>
          </w:p>
        </w:tc>
      </w:tr>
      <w:tr w:rsidR="0026542D" w:rsidRPr="00D14250" w:rsidTr="008F3198">
        <w:tc>
          <w:tcPr>
            <w:tcW w:w="3139" w:type="dxa"/>
            <w:tcBorders>
              <w:top w:val="nil"/>
              <w:left w:val="nil"/>
              <w:bottom w:val="nil"/>
              <w:right w:val="nil"/>
            </w:tcBorders>
            <w:shd w:val="clear" w:color="auto" w:fill="auto"/>
          </w:tcPr>
          <w:p w:rsidR="0026542D" w:rsidRPr="00D14250" w:rsidRDefault="0026542D"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26542D" w:rsidRPr="00D14250" w:rsidRDefault="0026542D" w:rsidP="00B83E9A">
            <w:pPr>
              <w:suppressAutoHyphens w:val="0"/>
              <w:spacing w:line="240" w:lineRule="auto"/>
              <w:ind w:right="113"/>
            </w:pPr>
          </w:p>
        </w:tc>
        <w:tc>
          <w:tcPr>
            <w:tcW w:w="4279" w:type="dxa"/>
            <w:tcBorders>
              <w:top w:val="nil"/>
              <w:left w:val="nil"/>
              <w:bottom w:val="nil"/>
              <w:right w:val="nil"/>
            </w:tcBorders>
            <w:shd w:val="clear" w:color="auto" w:fill="auto"/>
          </w:tcPr>
          <w:p w:rsidR="004B2F96" w:rsidRPr="00D14250" w:rsidRDefault="004B2F96" w:rsidP="0056514E">
            <w:pPr>
              <w:suppressAutoHyphens w:val="0"/>
              <w:spacing w:before="40" w:after="120"/>
              <w:ind w:left="113" w:right="113"/>
            </w:pPr>
            <w:r w:rsidRPr="00D14250">
              <w:t>IA 12.a. (b) Number of countries replying to the questionnaire on the implementation of the ATP</w:t>
            </w:r>
          </w:p>
          <w:p w:rsidR="0026542D" w:rsidRPr="00D14250" w:rsidRDefault="004B2F96" w:rsidP="00386D31">
            <w:pPr>
              <w:suppressAutoHyphens w:val="0"/>
              <w:spacing w:before="40" w:after="120"/>
              <w:ind w:left="113" w:right="113"/>
            </w:pPr>
            <w:r w:rsidRPr="00D14250">
              <w:rPr>
                <w:i/>
              </w:rPr>
              <w:t>Performance measures</w:t>
            </w:r>
            <w:r w:rsidRPr="00D14250">
              <w:t>:</w:t>
            </w:r>
            <w:r w:rsidR="008C0D79" w:rsidRPr="00D14250">
              <w:br/>
            </w:r>
            <w:r w:rsidR="006351C9" w:rsidRPr="00916DC5">
              <w:rPr>
                <w:lang w:val="fr-CH"/>
              </w:rPr>
              <w:t>Baseline: 2014-2015: 21</w:t>
            </w:r>
            <w:r w:rsidR="006351C9" w:rsidRPr="00916DC5">
              <w:rPr>
                <w:lang w:val="en-US"/>
              </w:rPr>
              <w:br/>
            </w:r>
            <w:r w:rsidR="006351C9" w:rsidRPr="00916DC5">
              <w:rPr>
                <w:lang w:val="fr-CH"/>
              </w:rPr>
              <w:t>Target: 2016-2017: 24</w:t>
            </w:r>
          </w:p>
        </w:tc>
      </w:tr>
      <w:tr w:rsidR="0026542D" w:rsidRPr="00D14250" w:rsidTr="008F3198">
        <w:tc>
          <w:tcPr>
            <w:tcW w:w="3139" w:type="dxa"/>
            <w:tcBorders>
              <w:top w:val="nil"/>
              <w:left w:val="nil"/>
              <w:bottom w:val="nil"/>
              <w:right w:val="nil"/>
            </w:tcBorders>
            <w:shd w:val="clear" w:color="auto" w:fill="auto"/>
          </w:tcPr>
          <w:p w:rsidR="0026542D" w:rsidRPr="00D14250" w:rsidRDefault="0026542D"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26542D" w:rsidRPr="00D14250" w:rsidRDefault="00870A94" w:rsidP="0056514E">
            <w:pPr>
              <w:suppressAutoHyphens w:val="0"/>
              <w:spacing w:before="40" w:after="120"/>
              <w:ind w:left="538" w:right="113" w:hanging="425"/>
            </w:pPr>
            <w:r w:rsidRPr="00D14250">
              <w:t>13.</w:t>
            </w:r>
            <w:r w:rsidRPr="00D14250">
              <w:tab/>
            </w:r>
            <w:r w:rsidR="004B2F96" w:rsidRPr="00D14250">
              <w:t>Transport Statistics</w:t>
            </w:r>
          </w:p>
        </w:tc>
        <w:tc>
          <w:tcPr>
            <w:tcW w:w="4279" w:type="dxa"/>
            <w:tcBorders>
              <w:top w:val="nil"/>
              <w:left w:val="nil"/>
              <w:bottom w:val="nil"/>
              <w:right w:val="nil"/>
            </w:tcBorders>
            <w:shd w:val="clear" w:color="auto" w:fill="auto"/>
          </w:tcPr>
          <w:p w:rsidR="0026542D" w:rsidRPr="00D14250" w:rsidRDefault="004B2F96" w:rsidP="0056514E">
            <w:pPr>
              <w:suppressAutoHyphens w:val="0"/>
              <w:spacing w:before="40" w:after="120"/>
              <w:ind w:left="113" w:right="113"/>
            </w:pPr>
            <w:r w:rsidRPr="00D14250">
              <w:t>EA 13. Improved availability and scope of transport statistical data</w:t>
            </w:r>
          </w:p>
        </w:tc>
      </w:tr>
      <w:tr w:rsidR="0026542D" w:rsidRPr="00D14250" w:rsidTr="008F3198">
        <w:tc>
          <w:tcPr>
            <w:tcW w:w="3139" w:type="dxa"/>
            <w:tcBorders>
              <w:top w:val="nil"/>
              <w:left w:val="nil"/>
              <w:bottom w:val="nil"/>
              <w:right w:val="nil"/>
            </w:tcBorders>
            <w:shd w:val="clear" w:color="auto" w:fill="auto"/>
          </w:tcPr>
          <w:p w:rsidR="0026542D" w:rsidRPr="00D14250" w:rsidRDefault="0026542D"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26542D" w:rsidRPr="00D14250" w:rsidRDefault="0026542D" w:rsidP="00B83E9A">
            <w:pPr>
              <w:suppressAutoHyphens w:val="0"/>
              <w:spacing w:line="240" w:lineRule="auto"/>
              <w:ind w:right="113"/>
            </w:pPr>
          </w:p>
        </w:tc>
        <w:tc>
          <w:tcPr>
            <w:tcW w:w="4279" w:type="dxa"/>
            <w:tcBorders>
              <w:top w:val="nil"/>
              <w:left w:val="nil"/>
              <w:bottom w:val="nil"/>
              <w:right w:val="nil"/>
            </w:tcBorders>
            <w:shd w:val="clear" w:color="auto" w:fill="auto"/>
          </w:tcPr>
          <w:p w:rsidR="004B2F96" w:rsidRPr="00D14250" w:rsidRDefault="004B2F96" w:rsidP="0056514E">
            <w:pPr>
              <w:suppressAutoHyphens w:val="0"/>
              <w:spacing w:before="40" w:after="120"/>
              <w:ind w:left="113" w:right="113"/>
            </w:pPr>
            <w:r w:rsidRPr="00D14250">
              <w:t>IA 13. (a) Number of reliable statistical products available on the Internet</w:t>
            </w:r>
          </w:p>
          <w:p w:rsidR="0026542D" w:rsidRPr="00D14250" w:rsidRDefault="004B2F96" w:rsidP="00E94AB4">
            <w:pPr>
              <w:suppressAutoHyphens w:val="0"/>
              <w:spacing w:before="40" w:after="120"/>
              <w:ind w:left="113" w:right="113"/>
            </w:pPr>
            <w:r w:rsidRPr="00D14250">
              <w:rPr>
                <w:i/>
              </w:rPr>
              <w:t>Performance measures</w:t>
            </w:r>
            <w:r w:rsidRPr="00D14250">
              <w:t>:</w:t>
            </w:r>
            <w:r w:rsidR="008C0D79" w:rsidRPr="00D14250">
              <w:br/>
            </w:r>
            <w:r w:rsidR="00692160" w:rsidRPr="00D14250">
              <w:t>Baseline 201</w:t>
            </w:r>
            <w:r w:rsidR="006A247A">
              <w:t>4</w:t>
            </w:r>
            <w:r w:rsidR="00CE6E9B" w:rsidRPr="00D14250">
              <w:t>–</w:t>
            </w:r>
            <w:r w:rsidR="00692160" w:rsidRPr="00D14250">
              <w:t>201</w:t>
            </w:r>
            <w:r w:rsidR="006A247A">
              <w:t>5</w:t>
            </w:r>
            <w:r w:rsidRPr="00D14250">
              <w:t xml:space="preserve">: </w:t>
            </w:r>
            <w:r w:rsidR="00E94AB4" w:rsidRPr="00D14250">
              <w:t>Complete statistical database online</w:t>
            </w:r>
            <w:r w:rsidR="008C0D79" w:rsidRPr="00D14250">
              <w:br/>
            </w:r>
            <w:r w:rsidR="00E94AB4" w:rsidRPr="00D14250">
              <w:t>Target 201</w:t>
            </w:r>
            <w:r w:rsidR="006A247A">
              <w:t>6</w:t>
            </w:r>
            <w:r w:rsidR="00E94AB4" w:rsidRPr="00D14250">
              <w:t>–201</w:t>
            </w:r>
            <w:r w:rsidR="006A247A">
              <w:t>7</w:t>
            </w:r>
            <w:r w:rsidR="00E94AB4" w:rsidRPr="00D14250">
              <w:t>: Maintenance of online statistical database</w:t>
            </w:r>
          </w:p>
        </w:tc>
      </w:tr>
      <w:tr w:rsidR="0026542D" w:rsidRPr="00D14250" w:rsidTr="008F3198">
        <w:tc>
          <w:tcPr>
            <w:tcW w:w="3139" w:type="dxa"/>
            <w:tcBorders>
              <w:top w:val="nil"/>
              <w:left w:val="nil"/>
              <w:bottom w:val="nil"/>
              <w:right w:val="nil"/>
            </w:tcBorders>
            <w:shd w:val="clear" w:color="auto" w:fill="auto"/>
          </w:tcPr>
          <w:p w:rsidR="0026542D" w:rsidRPr="00D14250" w:rsidRDefault="0026542D"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26542D" w:rsidRPr="00D14250" w:rsidRDefault="0026542D" w:rsidP="00B83E9A">
            <w:pPr>
              <w:suppressAutoHyphens w:val="0"/>
              <w:spacing w:line="240" w:lineRule="auto"/>
              <w:ind w:right="113"/>
            </w:pPr>
          </w:p>
        </w:tc>
        <w:tc>
          <w:tcPr>
            <w:tcW w:w="4279" w:type="dxa"/>
            <w:tcBorders>
              <w:top w:val="nil"/>
              <w:left w:val="nil"/>
              <w:bottom w:val="nil"/>
              <w:right w:val="nil"/>
            </w:tcBorders>
            <w:shd w:val="clear" w:color="auto" w:fill="auto"/>
          </w:tcPr>
          <w:p w:rsidR="004B2F96" w:rsidRPr="00D14250" w:rsidRDefault="004B2F96" w:rsidP="0056514E">
            <w:pPr>
              <w:suppressAutoHyphens w:val="0"/>
              <w:spacing w:before="40" w:after="120"/>
              <w:ind w:left="113" w:right="113"/>
            </w:pPr>
            <w:r w:rsidRPr="00D14250">
              <w:t>IA 13. (b) Use of data as measured by website downloads</w:t>
            </w:r>
          </w:p>
          <w:p w:rsidR="0026542D" w:rsidRPr="00D14250" w:rsidRDefault="004B2F96" w:rsidP="00E94AB4">
            <w:pPr>
              <w:suppressAutoHyphens w:val="0"/>
              <w:spacing w:before="40" w:after="120"/>
              <w:ind w:left="113" w:right="113"/>
            </w:pPr>
            <w:r w:rsidRPr="00D14250">
              <w:rPr>
                <w:i/>
              </w:rPr>
              <w:t>Performance measures</w:t>
            </w:r>
            <w:r w:rsidRPr="00D14250">
              <w:t>:</w:t>
            </w:r>
            <w:r w:rsidR="008C0D79" w:rsidRPr="00D14250">
              <w:br/>
            </w:r>
            <w:r w:rsidR="00692160" w:rsidRPr="00D14250">
              <w:t>Baseline 201</w:t>
            </w:r>
            <w:r w:rsidR="00B34BF7">
              <w:t>4</w:t>
            </w:r>
            <w:r w:rsidR="00CE6E9B" w:rsidRPr="00D14250">
              <w:t>–</w:t>
            </w:r>
            <w:r w:rsidR="00692160" w:rsidRPr="00D14250">
              <w:t>201</w:t>
            </w:r>
            <w:r w:rsidR="00B34BF7">
              <w:t>5</w:t>
            </w:r>
            <w:r w:rsidRPr="00D14250">
              <w:t>: 8</w:t>
            </w:r>
            <w:r w:rsidR="00B34BF7">
              <w:t>8</w:t>
            </w:r>
            <w:r w:rsidRPr="00D14250">
              <w:t>,000 downloads</w:t>
            </w:r>
            <w:r w:rsidR="008C0D79" w:rsidRPr="00D14250">
              <w:br/>
            </w:r>
            <w:r w:rsidR="00E94AB4" w:rsidRPr="00D14250">
              <w:t>Target 201</w:t>
            </w:r>
            <w:r w:rsidR="00B34BF7">
              <w:t>6</w:t>
            </w:r>
            <w:r w:rsidR="00E94AB4" w:rsidRPr="00D14250">
              <w:t>–201</w:t>
            </w:r>
            <w:r w:rsidR="00B34BF7">
              <w:t>7</w:t>
            </w:r>
            <w:r w:rsidR="00E94AB4" w:rsidRPr="00D14250">
              <w:t xml:space="preserve">: </w:t>
            </w:r>
            <w:r w:rsidR="00B34BF7">
              <w:t>90</w:t>
            </w:r>
            <w:r w:rsidR="00E94AB4" w:rsidRPr="00D14250">
              <w:t xml:space="preserve"> 000 downloads</w:t>
            </w:r>
          </w:p>
        </w:tc>
      </w:tr>
      <w:tr w:rsidR="00E97025" w:rsidRPr="00D14250" w:rsidTr="008F3198">
        <w:tc>
          <w:tcPr>
            <w:tcW w:w="3139" w:type="dxa"/>
            <w:tcBorders>
              <w:top w:val="nil"/>
              <w:left w:val="nil"/>
              <w:bottom w:val="nil"/>
              <w:right w:val="nil"/>
            </w:tcBorders>
            <w:shd w:val="clear" w:color="auto" w:fill="auto"/>
          </w:tcPr>
          <w:p w:rsidR="00E97025" w:rsidRPr="00D14250" w:rsidRDefault="00E97025" w:rsidP="0056514E">
            <w:pPr>
              <w:suppressAutoHyphens w:val="0"/>
              <w:spacing w:before="40" w:after="120"/>
              <w:ind w:right="113"/>
              <w:rPr>
                <w:b/>
              </w:rPr>
            </w:pPr>
            <w:r w:rsidRPr="00D14250">
              <w:rPr>
                <w:b/>
              </w:rPr>
              <w:t xml:space="preserve">2. EA (b). </w:t>
            </w:r>
            <w:r w:rsidR="001A35D6" w:rsidRPr="001A35D6">
              <w:rPr>
                <w:b/>
              </w:rPr>
              <w:t>Greater geographical coverage and more effective implementation of United Nations legal instruments and recommendations on transport administered by ECE</w:t>
            </w:r>
            <w:r w:rsidRPr="00D14250">
              <w:rPr>
                <w:b/>
              </w:rPr>
              <w:t>.</w:t>
            </w:r>
          </w:p>
        </w:tc>
        <w:tc>
          <w:tcPr>
            <w:tcW w:w="2282" w:type="dxa"/>
            <w:tcBorders>
              <w:top w:val="nil"/>
              <w:left w:val="nil"/>
              <w:bottom w:val="nil"/>
              <w:right w:val="nil"/>
            </w:tcBorders>
            <w:shd w:val="clear" w:color="auto" w:fill="auto"/>
          </w:tcPr>
          <w:p w:rsidR="00E97025" w:rsidRPr="00D14250" w:rsidRDefault="00E97025" w:rsidP="00870A94">
            <w:pPr>
              <w:suppressAutoHyphens w:val="0"/>
              <w:spacing w:before="40" w:after="120" w:line="240" w:lineRule="auto"/>
              <w:ind w:left="340" w:right="113" w:hanging="340"/>
            </w:pPr>
            <w:r w:rsidRPr="00D14250">
              <w:t>7.b.</w:t>
            </w:r>
            <w:r w:rsidRPr="00D14250">
              <w:tab/>
              <w:t>Customs questions affecting transport</w:t>
            </w:r>
          </w:p>
        </w:tc>
        <w:tc>
          <w:tcPr>
            <w:tcW w:w="4279" w:type="dxa"/>
            <w:vMerge w:val="restart"/>
            <w:tcBorders>
              <w:top w:val="nil"/>
              <w:left w:val="nil"/>
              <w:bottom w:val="nil"/>
              <w:right w:val="nil"/>
            </w:tcBorders>
            <w:shd w:val="clear" w:color="auto" w:fill="auto"/>
          </w:tcPr>
          <w:p w:rsidR="00E97025" w:rsidRPr="00D14250" w:rsidRDefault="00E97025" w:rsidP="00603F2F">
            <w:pPr>
              <w:suppressAutoHyphens w:val="0"/>
              <w:spacing w:before="40" w:after="120"/>
              <w:ind w:left="113" w:right="113"/>
            </w:pPr>
            <w:r w:rsidRPr="00D14250">
              <w:t>EA 7.b. New accessions to and more effective implementation of international legal instruments in the area of border crossing facilitation</w:t>
            </w:r>
          </w:p>
          <w:p w:rsidR="00E97025" w:rsidRPr="00D14250" w:rsidRDefault="00E97025" w:rsidP="00C73363">
            <w:pPr>
              <w:suppressAutoHyphens w:val="0"/>
              <w:spacing w:before="40" w:after="120"/>
              <w:ind w:left="113" w:right="113"/>
            </w:pPr>
            <w:r w:rsidRPr="00D14250">
              <w:t xml:space="preserve">IA 7.b. Number of surveys on the implementation of border crossing legal instruments </w:t>
            </w:r>
          </w:p>
          <w:p w:rsidR="00E97025" w:rsidRPr="00D14250" w:rsidRDefault="00E97025" w:rsidP="00603F2F">
            <w:pPr>
              <w:suppressAutoHyphens w:val="0"/>
              <w:spacing w:before="40" w:after="120"/>
              <w:ind w:left="113" w:right="113"/>
            </w:pPr>
            <w:r w:rsidRPr="00D14250">
              <w:rPr>
                <w:i/>
              </w:rPr>
              <w:t>Performance measures</w:t>
            </w:r>
            <w:r w:rsidRPr="00D14250">
              <w:t>:</w:t>
            </w:r>
            <w:r w:rsidRPr="00D14250">
              <w:br/>
            </w:r>
            <w:r w:rsidR="00692160" w:rsidRPr="00D14250">
              <w:t>Baseline 201</w:t>
            </w:r>
            <w:r w:rsidR="00412BBD">
              <w:t>4</w:t>
            </w:r>
            <w:r w:rsidR="00CE6E9B" w:rsidRPr="00D14250">
              <w:t>–</w:t>
            </w:r>
            <w:r w:rsidR="00692160" w:rsidRPr="00D14250">
              <w:t>201</w:t>
            </w:r>
            <w:r w:rsidR="00412BBD">
              <w:t>5</w:t>
            </w:r>
            <w:r w:rsidRPr="00D14250">
              <w:t xml:space="preserve">: 2 </w:t>
            </w:r>
            <w:r w:rsidRPr="00D14250">
              <w:br/>
              <w:t>Target 2014–2015: 2</w:t>
            </w:r>
          </w:p>
          <w:p w:rsidR="00E97025" w:rsidRPr="00D14250" w:rsidRDefault="00E97025" w:rsidP="00603F2F">
            <w:pPr>
              <w:suppressAutoHyphens w:val="0"/>
              <w:spacing w:before="40" w:after="120"/>
              <w:ind w:left="113" w:right="113"/>
            </w:pPr>
            <w:r w:rsidRPr="00D14250">
              <w:t>EA 9.b. Adoption of a road map on how to set up the administrative structures required for implementation of ADR. Development of recommendations and/or guidelines based on this road map.</w:t>
            </w:r>
          </w:p>
        </w:tc>
      </w:tr>
      <w:tr w:rsidR="00E97025" w:rsidRPr="00D14250" w:rsidTr="008F3198">
        <w:tc>
          <w:tcPr>
            <w:tcW w:w="3139" w:type="dxa"/>
            <w:tcBorders>
              <w:top w:val="nil"/>
              <w:left w:val="nil"/>
              <w:bottom w:val="nil"/>
              <w:right w:val="nil"/>
            </w:tcBorders>
            <w:shd w:val="clear" w:color="auto" w:fill="auto"/>
          </w:tcPr>
          <w:p w:rsidR="00E97025" w:rsidRPr="00D14250" w:rsidRDefault="00E97025" w:rsidP="00F9165B">
            <w:pPr>
              <w:suppressAutoHyphens w:val="0"/>
              <w:spacing w:before="40" w:after="120"/>
              <w:ind w:right="113"/>
            </w:pPr>
            <w:r w:rsidRPr="00D14250">
              <w:t>IA (b) (</w:t>
            </w:r>
            <w:proofErr w:type="spellStart"/>
            <w:r w:rsidRPr="00D14250">
              <w:t>i</w:t>
            </w:r>
            <w:proofErr w:type="spellEnd"/>
            <w:r w:rsidRPr="00D14250">
              <w:t xml:space="preserve">) </w:t>
            </w:r>
            <w:r w:rsidR="001A35D6" w:rsidRPr="001A35D6">
              <w:t>Increased number of Contracting Parties, including from outside the region, to United Nations legal instruments and recommendations on transport administered by ECE</w:t>
            </w:r>
          </w:p>
          <w:p w:rsidR="00E97025" w:rsidRPr="00D14250" w:rsidRDefault="00E97025" w:rsidP="00BD323F">
            <w:pPr>
              <w:suppressAutoHyphens w:val="0"/>
              <w:spacing w:before="40" w:after="120"/>
              <w:ind w:right="113"/>
              <w:rPr>
                <w:b/>
              </w:rPr>
            </w:pPr>
            <w:r w:rsidRPr="00D14250">
              <w:rPr>
                <w:i/>
              </w:rPr>
              <w:t>Performance measures</w:t>
            </w:r>
            <w:r w:rsidRPr="00D14250">
              <w:br/>
              <w:t>Baseline 201</w:t>
            </w:r>
            <w:r w:rsidR="001A35D6">
              <w:t>5</w:t>
            </w:r>
            <w:r w:rsidRPr="00D14250">
              <w:t>: 1,</w:t>
            </w:r>
            <w:r w:rsidR="001A35D6">
              <w:t>700</w:t>
            </w:r>
            <w:r w:rsidRPr="00D14250">
              <w:t xml:space="preserve"> participations by states</w:t>
            </w:r>
            <w:r w:rsidRPr="00D14250">
              <w:br/>
              <w:t>Target 201</w:t>
            </w:r>
            <w:r w:rsidR="001A35D6">
              <w:t>6</w:t>
            </w:r>
            <w:r w:rsidRPr="00D14250">
              <w:t>–201</w:t>
            </w:r>
            <w:r w:rsidR="001A35D6">
              <w:t>7</w:t>
            </w:r>
            <w:r w:rsidRPr="00D14250">
              <w:t>: 1,7</w:t>
            </w:r>
            <w:r w:rsidR="001A35D6">
              <w:t>1</w:t>
            </w:r>
            <w:r w:rsidRPr="00D14250">
              <w:t>0 participations by states</w:t>
            </w:r>
          </w:p>
        </w:tc>
        <w:tc>
          <w:tcPr>
            <w:tcW w:w="2282"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pPr>
          </w:p>
        </w:tc>
        <w:tc>
          <w:tcPr>
            <w:tcW w:w="4279" w:type="dxa"/>
            <w:vMerge/>
            <w:tcBorders>
              <w:top w:val="nil"/>
              <w:left w:val="nil"/>
              <w:bottom w:val="nil"/>
              <w:right w:val="nil"/>
            </w:tcBorders>
            <w:shd w:val="clear" w:color="auto" w:fill="auto"/>
          </w:tcPr>
          <w:p w:rsidR="00E97025" w:rsidRPr="00D14250" w:rsidRDefault="00E97025" w:rsidP="00811388">
            <w:pPr>
              <w:spacing w:before="40" w:after="120" w:line="240" w:lineRule="auto"/>
              <w:ind w:left="386" w:right="113"/>
            </w:pPr>
          </w:p>
        </w:tc>
      </w:tr>
      <w:tr w:rsidR="00E97025" w:rsidRPr="00D14250" w:rsidTr="008F3198">
        <w:trPr>
          <w:trHeight w:val="1840"/>
        </w:trPr>
        <w:tc>
          <w:tcPr>
            <w:tcW w:w="3139" w:type="dxa"/>
            <w:tcBorders>
              <w:top w:val="nil"/>
              <w:left w:val="nil"/>
              <w:bottom w:val="nil"/>
              <w:right w:val="nil"/>
            </w:tcBorders>
            <w:shd w:val="clear" w:color="auto" w:fill="auto"/>
          </w:tcPr>
          <w:p w:rsidR="00E97025" w:rsidRPr="00D14250" w:rsidRDefault="00E97025" w:rsidP="0056514E">
            <w:pPr>
              <w:suppressAutoHyphens w:val="0"/>
              <w:spacing w:before="40" w:after="120"/>
              <w:ind w:right="113"/>
            </w:pPr>
            <w:r w:rsidRPr="00D14250">
              <w:lastRenderedPageBreak/>
              <w:t xml:space="preserve">IA (b) (ii) </w:t>
            </w:r>
            <w:r w:rsidR="001A35D6" w:rsidRPr="001A35D6">
              <w:t>Increased number of mechanisms in place for monitoring the implementation of United Nations legal instruments and recommendations administered by ECE</w:t>
            </w:r>
          </w:p>
          <w:p w:rsidR="00E97025" w:rsidRPr="00D14250" w:rsidRDefault="00E97025" w:rsidP="00BD323F">
            <w:pPr>
              <w:suppressAutoHyphens w:val="0"/>
              <w:spacing w:before="40" w:after="120"/>
              <w:ind w:right="113"/>
              <w:rPr>
                <w:b/>
              </w:rPr>
            </w:pPr>
            <w:r w:rsidRPr="00D14250">
              <w:rPr>
                <w:i/>
              </w:rPr>
              <w:t>Performance measures</w:t>
            </w:r>
            <w:r w:rsidRPr="00D14250">
              <w:t xml:space="preserve">: </w:t>
            </w:r>
            <w:r w:rsidRPr="00D14250">
              <w:br/>
              <w:t>Baseline 201</w:t>
            </w:r>
            <w:r w:rsidR="001A35D6">
              <w:t>5</w:t>
            </w:r>
            <w:r w:rsidRPr="00D14250">
              <w:t xml:space="preserve">: </w:t>
            </w:r>
            <w:r w:rsidR="001A35D6">
              <w:t>7</w:t>
            </w:r>
            <w:r w:rsidRPr="00D14250">
              <w:t xml:space="preserve"> mechanisms</w:t>
            </w:r>
            <w:r w:rsidRPr="00D14250">
              <w:br/>
              <w:t>Target 201</w:t>
            </w:r>
            <w:r w:rsidR="001A35D6">
              <w:t>6</w:t>
            </w:r>
            <w:r w:rsidRPr="00D14250">
              <w:t>–201</w:t>
            </w:r>
            <w:r w:rsidR="001A35D6">
              <w:t>7</w:t>
            </w:r>
            <w:r w:rsidRPr="00D14250">
              <w:t xml:space="preserve">: </w:t>
            </w:r>
            <w:r w:rsidR="001A35D6">
              <w:t>8</w:t>
            </w:r>
            <w:r w:rsidRPr="00D14250">
              <w:t xml:space="preserve"> mechanisms</w:t>
            </w:r>
          </w:p>
        </w:tc>
        <w:tc>
          <w:tcPr>
            <w:tcW w:w="2282"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pPr>
          </w:p>
        </w:tc>
        <w:tc>
          <w:tcPr>
            <w:tcW w:w="4279" w:type="dxa"/>
            <w:vMerge/>
            <w:tcBorders>
              <w:top w:val="nil"/>
              <w:left w:val="nil"/>
              <w:bottom w:val="nil"/>
              <w:right w:val="nil"/>
            </w:tcBorders>
            <w:shd w:val="clear" w:color="auto" w:fill="auto"/>
          </w:tcPr>
          <w:p w:rsidR="00E97025" w:rsidRPr="00D14250" w:rsidRDefault="00E97025" w:rsidP="00811388">
            <w:pPr>
              <w:spacing w:before="40" w:after="120" w:line="240" w:lineRule="auto"/>
              <w:ind w:left="386" w:right="113"/>
            </w:pPr>
          </w:p>
        </w:tc>
      </w:tr>
      <w:tr w:rsidR="00E97025" w:rsidRPr="00D14250" w:rsidTr="008F3198">
        <w:tc>
          <w:tcPr>
            <w:tcW w:w="3139"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E97025" w:rsidRPr="00D14250" w:rsidRDefault="00E97025" w:rsidP="0056514E">
            <w:pPr>
              <w:suppressAutoHyphens w:val="0"/>
              <w:spacing w:before="40" w:after="120"/>
              <w:ind w:left="538" w:right="113" w:hanging="425"/>
            </w:pPr>
            <w:r w:rsidRPr="00D14250">
              <w:t>9.b.</w:t>
            </w:r>
            <w:r w:rsidRPr="00D14250">
              <w:tab/>
              <w:t>Transport of Dangerous Goods (UNECE)</w:t>
            </w:r>
          </w:p>
        </w:tc>
        <w:tc>
          <w:tcPr>
            <w:tcW w:w="4279" w:type="dxa"/>
            <w:tcBorders>
              <w:top w:val="nil"/>
              <w:left w:val="nil"/>
              <w:bottom w:val="nil"/>
              <w:right w:val="nil"/>
            </w:tcBorders>
            <w:shd w:val="clear" w:color="auto" w:fill="auto"/>
          </w:tcPr>
          <w:p w:rsidR="00E97025" w:rsidRPr="00D14250" w:rsidRDefault="00E97025" w:rsidP="0056514E">
            <w:pPr>
              <w:suppressAutoHyphens w:val="0"/>
              <w:spacing w:before="40" w:after="120"/>
              <w:ind w:left="113" w:right="113"/>
            </w:pPr>
          </w:p>
        </w:tc>
      </w:tr>
      <w:tr w:rsidR="00E97025" w:rsidRPr="00D14250" w:rsidTr="008F3198">
        <w:tc>
          <w:tcPr>
            <w:tcW w:w="3139"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pPr>
          </w:p>
        </w:tc>
        <w:tc>
          <w:tcPr>
            <w:tcW w:w="4279" w:type="dxa"/>
            <w:tcBorders>
              <w:top w:val="nil"/>
              <w:left w:val="nil"/>
              <w:bottom w:val="nil"/>
              <w:right w:val="nil"/>
            </w:tcBorders>
            <w:shd w:val="clear" w:color="auto" w:fill="auto"/>
          </w:tcPr>
          <w:p w:rsidR="00E97025" w:rsidRPr="00D14250" w:rsidRDefault="00E97025" w:rsidP="00C62B72">
            <w:pPr>
              <w:suppressAutoHyphens w:val="0"/>
              <w:spacing w:before="40" w:after="120"/>
              <w:ind w:left="113" w:right="113"/>
            </w:pPr>
            <w:r w:rsidRPr="00D14250">
              <w:t xml:space="preserve">EA 9.c. </w:t>
            </w:r>
            <w:r w:rsidR="009C20CB" w:rsidRPr="00730393">
              <w:t>Follow-up of the implementation of the</w:t>
            </w:r>
            <w:r w:rsidR="009C20CB">
              <w:t xml:space="preserve"> ADR</w:t>
            </w:r>
            <w:r w:rsidR="009C20CB" w:rsidRPr="00730393">
              <w:t xml:space="preserve"> road map </w:t>
            </w:r>
            <w:r w:rsidR="009C20CB">
              <w:t>on accession and implementation</w:t>
            </w:r>
            <w:r w:rsidR="009C20CB" w:rsidRPr="00730393">
              <w:t xml:space="preserve"> </w:t>
            </w:r>
            <w:r w:rsidR="009C20CB">
              <w:t xml:space="preserve">(ECE/TRANS/238) </w:t>
            </w:r>
            <w:r w:rsidR="009C20CB" w:rsidRPr="00730393">
              <w:t xml:space="preserve">for new and existing ADR </w:t>
            </w:r>
            <w:r w:rsidR="009C20CB">
              <w:t>Contracting Parties</w:t>
            </w:r>
            <w:r w:rsidR="009C20CB" w:rsidRPr="00730393">
              <w:t>.</w:t>
            </w:r>
          </w:p>
        </w:tc>
      </w:tr>
      <w:tr w:rsidR="00E97025" w:rsidRPr="00D14250" w:rsidTr="008F3198">
        <w:tc>
          <w:tcPr>
            <w:tcW w:w="3139"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pPr>
          </w:p>
        </w:tc>
        <w:tc>
          <w:tcPr>
            <w:tcW w:w="4279" w:type="dxa"/>
            <w:tcBorders>
              <w:top w:val="nil"/>
              <w:left w:val="nil"/>
              <w:bottom w:val="nil"/>
              <w:right w:val="nil"/>
            </w:tcBorders>
            <w:shd w:val="clear" w:color="auto" w:fill="auto"/>
          </w:tcPr>
          <w:p w:rsidR="00E97025" w:rsidRPr="00D14250" w:rsidRDefault="00E97025" w:rsidP="00C73363">
            <w:pPr>
              <w:suppressAutoHyphens w:val="0"/>
              <w:spacing w:before="40" w:after="120"/>
              <w:ind w:left="113" w:right="113"/>
            </w:pPr>
            <w:r w:rsidRPr="00D14250">
              <w:t xml:space="preserve">IA 9.c. </w:t>
            </w:r>
            <w:r w:rsidR="009C20CB" w:rsidRPr="00730393">
              <w:t>ADR country information and obligatory reporting information (information on driver training certificates and information as indicated in Annex I of the road map) completed and published on ECE website</w:t>
            </w:r>
          </w:p>
          <w:p w:rsidR="00E97025" w:rsidRDefault="00E97025" w:rsidP="009C20CB">
            <w:pPr>
              <w:suppressAutoHyphens w:val="0"/>
              <w:spacing w:before="40" w:after="120"/>
              <w:ind w:left="113" w:right="113"/>
            </w:pPr>
            <w:r w:rsidRPr="00D14250">
              <w:rPr>
                <w:i/>
              </w:rPr>
              <w:t>Performance measures</w:t>
            </w:r>
            <w:r w:rsidRPr="00D14250">
              <w:t>:</w:t>
            </w:r>
            <w:r w:rsidRPr="00D14250">
              <w:br/>
            </w:r>
          </w:p>
          <w:p w:rsidR="009C20CB" w:rsidRPr="00D14250" w:rsidRDefault="009C20CB" w:rsidP="009C20CB">
            <w:pPr>
              <w:suppressAutoHyphens w:val="0"/>
              <w:spacing w:before="40" w:after="120"/>
              <w:ind w:left="113" w:right="113"/>
            </w:pPr>
            <w:r w:rsidRPr="009C20CB">
              <w:t>Baseline 2014–2015: Information available for 75% of</w:t>
            </w:r>
            <w:r>
              <w:t xml:space="preserve"> the Contracting parties to ADR</w:t>
            </w:r>
            <w:r>
              <w:br/>
            </w:r>
            <w:r w:rsidRPr="00730393">
              <w:t xml:space="preserve">Target: Information available </w:t>
            </w:r>
            <w:r>
              <w:t xml:space="preserve">and updated </w:t>
            </w:r>
            <w:r w:rsidRPr="00730393">
              <w:t>for 75% of the Contracting parties to ADR</w:t>
            </w:r>
          </w:p>
        </w:tc>
      </w:tr>
      <w:tr w:rsidR="00E97025" w:rsidRPr="00D14250" w:rsidTr="008F3198">
        <w:tc>
          <w:tcPr>
            <w:tcW w:w="3139"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pPr>
            <w:r w:rsidRPr="00D14250">
              <w:t>10.b.</w:t>
            </w:r>
            <w:r w:rsidRPr="00D14250">
              <w:tab/>
              <w:t>Transport of Dangerous Goods (ECOSOC)</w:t>
            </w:r>
          </w:p>
        </w:tc>
        <w:tc>
          <w:tcPr>
            <w:tcW w:w="4279" w:type="dxa"/>
            <w:tcBorders>
              <w:top w:val="nil"/>
              <w:left w:val="nil"/>
              <w:bottom w:val="nil"/>
              <w:right w:val="nil"/>
            </w:tcBorders>
            <w:shd w:val="clear" w:color="auto" w:fill="auto"/>
          </w:tcPr>
          <w:p w:rsidR="00E97025" w:rsidRPr="00D14250" w:rsidRDefault="00E97025" w:rsidP="009238BE">
            <w:pPr>
              <w:suppressAutoHyphens w:val="0"/>
              <w:spacing w:before="40" w:after="120"/>
              <w:ind w:left="113" w:right="113"/>
            </w:pPr>
            <w:r w:rsidRPr="00D14250">
              <w:t>EA 10.b Effective implementation of the recommendations through national and international legal instruments.</w:t>
            </w:r>
          </w:p>
        </w:tc>
      </w:tr>
      <w:tr w:rsidR="00E97025" w:rsidRPr="00D14250" w:rsidTr="008F3198">
        <w:tc>
          <w:tcPr>
            <w:tcW w:w="3139"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E97025" w:rsidRPr="00D14250" w:rsidRDefault="00E97025" w:rsidP="0056514E">
            <w:pPr>
              <w:suppressAutoHyphens w:val="0"/>
              <w:spacing w:before="40" w:after="120"/>
              <w:ind w:left="538" w:right="113" w:hanging="425"/>
            </w:pPr>
          </w:p>
        </w:tc>
        <w:tc>
          <w:tcPr>
            <w:tcW w:w="4279" w:type="dxa"/>
            <w:tcBorders>
              <w:top w:val="nil"/>
              <w:left w:val="nil"/>
              <w:bottom w:val="nil"/>
              <w:right w:val="nil"/>
            </w:tcBorders>
            <w:shd w:val="clear" w:color="auto" w:fill="auto"/>
          </w:tcPr>
          <w:p w:rsidR="00E97025" w:rsidRPr="00D14250" w:rsidRDefault="00E97025" w:rsidP="00C73363">
            <w:pPr>
              <w:suppressAutoHyphens w:val="0"/>
              <w:spacing w:before="40" w:after="120"/>
              <w:ind w:left="113" w:right="113"/>
            </w:pPr>
            <w:r w:rsidRPr="00D14250">
              <w:t>IA 10.b (a) Number of international legal instruments amended to reflect the 201</w:t>
            </w:r>
            <w:r w:rsidR="00B05900">
              <w:t>5</w:t>
            </w:r>
            <w:r w:rsidRPr="00D14250">
              <w:t xml:space="preserve"> United Nations Recommendations on the Transport of Dangerous Goods, Model Regulations (1</w:t>
            </w:r>
            <w:r w:rsidR="00B05900">
              <w:t>9</w:t>
            </w:r>
            <w:r w:rsidRPr="00D14250">
              <w:t>th revised edition)</w:t>
            </w:r>
          </w:p>
          <w:p w:rsidR="00E97025" w:rsidRPr="00D14250" w:rsidRDefault="00E97025" w:rsidP="00B6555A">
            <w:pPr>
              <w:suppressAutoHyphens w:val="0"/>
              <w:spacing w:before="40" w:after="120"/>
              <w:ind w:left="113" w:right="113"/>
            </w:pPr>
            <w:r w:rsidRPr="00D14250">
              <w:rPr>
                <w:i/>
              </w:rPr>
              <w:t>Performance measures</w:t>
            </w:r>
            <w:r w:rsidRPr="00D14250">
              <w:t>:</w:t>
            </w:r>
            <w:r w:rsidRPr="00D14250">
              <w:br/>
              <w:t>Baseline 201</w:t>
            </w:r>
            <w:r w:rsidR="00B05900">
              <w:t>5</w:t>
            </w:r>
            <w:r w:rsidRPr="00D14250">
              <w:t>: 6</w:t>
            </w:r>
            <w:r w:rsidRPr="00D14250">
              <w:br/>
              <w:t>Target: 201</w:t>
            </w:r>
            <w:r w:rsidR="00B05900">
              <w:t>6</w:t>
            </w:r>
            <w:r w:rsidRPr="00D14250">
              <w:t>–201</w:t>
            </w:r>
            <w:r w:rsidR="00B05900">
              <w:t>7</w:t>
            </w:r>
            <w:r w:rsidRPr="00D14250">
              <w:t>: 6</w:t>
            </w:r>
          </w:p>
        </w:tc>
      </w:tr>
      <w:tr w:rsidR="00E97025" w:rsidRPr="00D14250" w:rsidTr="008F3198">
        <w:tc>
          <w:tcPr>
            <w:tcW w:w="3139"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E97025" w:rsidRPr="00D14250" w:rsidRDefault="00E97025" w:rsidP="0056514E">
            <w:pPr>
              <w:suppressAutoHyphens w:val="0"/>
              <w:spacing w:before="40" w:after="120"/>
              <w:ind w:left="538" w:right="113" w:hanging="425"/>
            </w:pPr>
          </w:p>
        </w:tc>
        <w:tc>
          <w:tcPr>
            <w:tcW w:w="4279" w:type="dxa"/>
            <w:tcBorders>
              <w:top w:val="nil"/>
              <w:left w:val="nil"/>
              <w:bottom w:val="nil"/>
              <w:right w:val="nil"/>
            </w:tcBorders>
            <w:shd w:val="clear" w:color="auto" w:fill="auto"/>
          </w:tcPr>
          <w:p w:rsidR="00E97025" w:rsidRPr="00D14250" w:rsidRDefault="00E97025" w:rsidP="00C73363">
            <w:pPr>
              <w:suppressAutoHyphens w:val="0"/>
              <w:spacing w:before="40" w:after="120"/>
              <w:ind w:left="113" w:right="113"/>
            </w:pPr>
            <w:r w:rsidRPr="00D14250">
              <w:t xml:space="preserve">IA 10.b. (b) Number of governments having adopted the requirements of the latest revised edition of the United Nations Recommendations on the Transport of Dangerous Goods, Model Regulations for regulating domestic inland </w:t>
            </w:r>
            <w:r w:rsidRPr="00D14250">
              <w:lastRenderedPageBreak/>
              <w:t>transport</w:t>
            </w:r>
          </w:p>
          <w:p w:rsidR="00E97025" w:rsidRPr="00D14250" w:rsidRDefault="00E97025" w:rsidP="0056514E">
            <w:pPr>
              <w:suppressAutoHyphens w:val="0"/>
              <w:spacing w:before="40" w:after="120"/>
              <w:ind w:left="113" w:right="113"/>
            </w:pPr>
            <w:r w:rsidRPr="00D14250">
              <w:rPr>
                <w:i/>
              </w:rPr>
              <w:t>Performance measures</w:t>
            </w:r>
            <w:r w:rsidRPr="00D14250">
              <w:t>:</w:t>
            </w:r>
            <w:r w:rsidRPr="00D14250">
              <w:br/>
              <w:t>Baseline 201</w:t>
            </w:r>
            <w:r w:rsidR="00B05900">
              <w:t>5</w:t>
            </w:r>
            <w:r w:rsidRPr="00D14250">
              <w:t>: 38</w:t>
            </w:r>
            <w:r w:rsidRPr="00D14250">
              <w:br/>
              <w:t>Target: 201</w:t>
            </w:r>
            <w:r w:rsidR="00B05900">
              <w:t>6</w:t>
            </w:r>
            <w:r w:rsidRPr="00D14250">
              <w:t>–201</w:t>
            </w:r>
            <w:r w:rsidR="00B05900">
              <w:t>7</w:t>
            </w:r>
            <w:r w:rsidRPr="00D14250">
              <w:t>: 38</w:t>
            </w:r>
          </w:p>
        </w:tc>
      </w:tr>
      <w:tr w:rsidR="00E97025" w:rsidRPr="00D14250" w:rsidTr="008F3198">
        <w:tc>
          <w:tcPr>
            <w:tcW w:w="3139"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pPr>
            <w:r w:rsidRPr="00D14250">
              <w:t>11.b.</w:t>
            </w:r>
            <w:r w:rsidRPr="00D14250">
              <w:tab/>
              <w:t>Globally Harmonized System for the classification and labelling of chemical (GHS)</w:t>
            </w:r>
          </w:p>
        </w:tc>
        <w:tc>
          <w:tcPr>
            <w:tcW w:w="4279" w:type="dxa"/>
            <w:tcBorders>
              <w:top w:val="nil"/>
              <w:left w:val="nil"/>
              <w:bottom w:val="nil"/>
              <w:right w:val="nil"/>
            </w:tcBorders>
            <w:shd w:val="clear" w:color="auto" w:fill="auto"/>
          </w:tcPr>
          <w:p w:rsidR="00E97025" w:rsidRPr="00D14250" w:rsidRDefault="00E97025" w:rsidP="00137145">
            <w:pPr>
              <w:suppressAutoHyphens w:val="0"/>
              <w:spacing w:before="40" w:after="120"/>
              <w:ind w:left="113" w:right="113"/>
            </w:pPr>
            <w:r w:rsidRPr="00D14250">
              <w:t>EA 11.b. Effective implementation of GHS through national and international instruments</w:t>
            </w:r>
          </w:p>
        </w:tc>
      </w:tr>
      <w:tr w:rsidR="00E97025" w:rsidRPr="00D14250" w:rsidTr="008F3198">
        <w:tc>
          <w:tcPr>
            <w:tcW w:w="3139"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E97025" w:rsidRPr="00D14250" w:rsidRDefault="00E97025" w:rsidP="0056514E">
            <w:pPr>
              <w:suppressAutoHyphens w:val="0"/>
              <w:spacing w:before="40" w:after="120"/>
              <w:ind w:left="538" w:right="113" w:hanging="425"/>
            </w:pPr>
          </w:p>
        </w:tc>
        <w:tc>
          <w:tcPr>
            <w:tcW w:w="4279" w:type="dxa"/>
            <w:tcBorders>
              <w:top w:val="nil"/>
              <w:left w:val="nil"/>
              <w:bottom w:val="nil"/>
              <w:right w:val="nil"/>
            </w:tcBorders>
            <w:shd w:val="clear" w:color="auto" w:fill="auto"/>
          </w:tcPr>
          <w:p w:rsidR="00E97025" w:rsidRPr="00D14250" w:rsidRDefault="00E97025" w:rsidP="00C73363">
            <w:pPr>
              <w:suppressAutoHyphens w:val="0"/>
              <w:spacing w:before="40" w:after="120"/>
              <w:ind w:left="113" w:right="113"/>
            </w:pPr>
            <w:r w:rsidRPr="00D14250">
              <w:t>IA 11.b. (a) Number of international legal instruments, codes, guidelines or standards that have been adopted or amended to reflect provisions of the GHS</w:t>
            </w:r>
          </w:p>
          <w:p w:rsidR="00E97025" w:rsidRPr="00D14250" w:rsidRDefault="00E97025" w:rsidP="0056514E">
            <w:pPr>
              <w:suppressAutoHyphens w:val="0"/>
              <w:spacing w:before="40" w:after="120"/>
              <w:ind w:left="113" w:right="113"/>
            </w:pPr>
            <w:r w:rsidRPr="00D14250">
              <w:rPr>
                <w:i/>
              </w:rPr>
              <w:t>Performance measures</w:t>
            </w:r>
            <w:r w:rsidRPr="00D14250">
              <w:t>:</w:t>
            </w:r>
            <w:r w:rsidRPr="00D14250">
              <w:br/>
              <w:t>Baseline 201</w:t>
            </w:r>
            <w:r w:rsidR="00B05900">
              <w:t>5</w:t>
            </w:r>
            <w:r w:rsidRPr="00D14250">
              <w:t>: 16</w:t>
            </w:r>
            <w:r w:rsidRPr="00D14250">
              <w:br/>
              <w:t>Target: 201</w:t>
            </w:r>
            <w:r w:rsidR="00B05900">
              <w:t>6</w:t>
            </w:r>
            <w:r w:rsidRPr="00D14250">
              <w:t>–201</w:t>
            </w:r>
            <w:r w:rsidR="00B05900">
              <w:t>7</w:t>
            </w:r>
            <w:r w:rsidRPr="00D14250">
              <w:t>: 16</w:t>
            </w:r>
          </w:p>
        </w:tc>
      </w:tr>
      <w:tr w:rsidR="00E97025" w:rsidRPr="00D14250" w:rsidTr="008F3198">
        <w:tc>
          <w:tcPr>
            <w:tcW w:w="3139"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pPr>
          </w:p>
        </w:tc>
        <w:tc>
          <w:tcPr>
            <w:tcW w:w="4279" w:type="dxa"/>
            <w:tcBorders>
              <w:top w:val="nil"/>
              <w:left w:val="nil"/>
              <w:bottom w:val="nil"/>
              <w:right w:val="nil"/>
            </w:tcBorders>
            <w:shd w:val="clear" w:color="auto" w:fill="auto"/>
          </w:tcPr>
          <w:p w:rsidR="00E97025" w:rsidRPr="00D14250" w:rsidRDefault="00E97025" w:rsidP="00C73363">
            <w:pPr>
              <w:suppressAutoHyphens w:val="0"/>
              <w:spacing w:before="40" w:after="120"/>
              <w:ind w:left="113" w:right="113"/>
            </w:pPr>
            <w:r w:rsidRPr="00D14250">
              <w:t>IA 11.b. (b) Number of governments having reflected the provisions of the GHS or amendments thereto in their national regulatory systems applicable to the classification and labelling of chemicals in sectors other than transport</w:t>
            </w:r>
          </w:p>
          <w:p w:rsidR="00E97025" w:rsidRPr="00D14250" w:rsidRDefault="00E97025" w:rsidP="00B05900">
            <w:pPr>
              <w:suppressAutoHyphens w:val="0"/>
              <w:spacing w:before="40" w:after="120"/>
              <w:ind w:left="113" w:right="113"/>
            </w:pPr>
            <w:r w:rsidRPr="00D14250">
              <w:rPr>
                <w:i/>
              </w:rPr>
              <w:t>Performance measures</w:t>
            </w:r>
            <w:r w:rsidRPr="00D14250">
              <w:t>:</w:t>
            </w:r>
            <w:r w:rsidRPr="00D14250">
              <w:br/>
              <w:t>Baseline 201</w:t>
            </w:r>
            <w:r w:rsidR="00B05900">
              <w:t>5</w:t>
            </w:r>
            <w:r w:rsidRPr="00D14250">
              <w:t xml:space="preserve">: </w:t>
            </w:r>
            <w:r w:rsidR="00B05900">
              <w:t>55</w:t>
            </w:r>
            <w:r w:rsidRPr="00D14250">
              <w:br/>
              <w:t>Target: 201</w:t>
            </w:r>
            <w:r w:rsidR="00B05900">
              <w:t>6</w:t>
            </w:r>
            <w:r w:rsidRPr="00D14250">
              <w:t>–201</w:t>
            </w:r>
            <w:r w:rsidR="00B05900">
              <w:t>7</w:t>
            </w:r>
            <w:r w:rsidRPr="00D14250">
              <w:t xml:space="preserve">: </w:t>
            </w:r>
            <w:r w:rsidR="00B05900">
              <w:t>6</w:t>
            </w:r>
            <w:r w:rsidRPr="00D14250">
              <w:t>0</w:t>
            </w:r>
          </w:p>
        </w:tc>
      </w:tr>
      <w:tr w:rsidR="00E97025" w:rsidRPr="00D14250" w:rsidTr="008F3198">
        <w:tc>
          <w:tcPr>
            <w:tcW w:w="3139"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E97025" w:rsidRPr="00D14250" w:rsidRDefault="00E97025" w:rsidP="0056514E">
            <w:pPr>
              <w:suppressAutoHyphens w:val="0"/>
              <w:spacing w:before="40" w:after="120"/>
              <w:ind w:left="538" w:right="113" w:hanging="425"/>
            </w:pPr>
            <w:r w:rsidRPr="00D14250">
              <w:t>12.b.</w:t>
            </w:r>
            <w:r w:rsidRPr="00D14250">
              <w:tab/>
              <w:t>Transport of perishable foodstuffs</w:t>
            </w:r>
          </w:p>
        </w:tc>
        <w:tc>
          <w:tcPr>
            <w:tcW w:w="4279" w:type="dxa"/>
            <w:tcBorders>
              <w:top w:val="nil"/>
              <w:left w:val="nil"/>
              <w:bottom w:val="nil"/>
              <w:right w:val="nil"/>
            </w:tcBorders>
            <w:shd w:val="clear" w:color="auto" w:fill="auto"/>
          </w:tcPr>
          <w:p w:rsidR="00E97025" w:rsidRPr="00D14250" w:rsidRDefault="00E97025" w:rsidP="00CE29EC">
            <w:pPr>
              <w:suppressAutoHyphens w:val="0"/>
              <w:spacing w:before="40" w:after="120"/>
              <w:ind w:left="113" w:right="113"/>
            </w:pPr>
            <w:r w:rsidRPr="00D14250">
              <w:t>EA 12.b. Enhanced and updated international requirements for the transport of perishable foodstuffs</w:t>
            </w:r>
          </w:p>
        </w:tc>
      </w:tr>
      <w:tr w:rsidR="00E97025" w:rsidRPr="00D14250" w:rsidTr="008F3198">
        <w:tc>
          <w:tcPr>
            <w:tcW w:w="3139"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E97025" w:rsidRPr="00D14250" w:rsidRDefault="00E97025" w:rsidP="0056514E">
            <w:pPr>
              <w:suppressAutoHyphens w:val="0"/>
              <w:spacing w:before="40" w:after="120"/>
              <w:ind w:left="538" w:right="113" w:hanging="425"/>
            </w:pPr>
          </w:p>
        </w:tc>
        <w:tc>
          <w:tcPr>
            <w:tcW w:w="4279" w:type="dxa"/>
            <w:tcBorders>
              <w:top w:val="nil"/>
              <w:left w:val="nil"/>
              <w:bottom w:val="nil"/>
              <w:right w:val="nil"/>
            </w:tcBorders>
            <w:shd w:val="clear" w:color="auto" w:fill="auto"/>
          </w:tcPr>
          <w:p w:rsidR="00E97025" w:rsidRPr="00D14250" w:rsidRDefault="00E97025" w:rsidP="00C73363">
            <w:pPr>
              <w:suppressAutoHyphens w:val="0"/>
              <w:spacing w:before="40" w:after="120"/>
              <w:ind w:left="113" w:right="113"/>
            </w:pPr>
            <w:r w:rsidRPr="00D14250">
              <w:t>IA 12.b. Total number of Contracting Parties to the ATP Agreement</w:t>
            </w:r>
          </w:p>
          <w:p w:rsidR="00E97025" w:rsidRPr="00D14250" w:rsidRDefault="00E97025" w:rsidP="00CE29EC">
            <w:pPr>
              <w:suppressAutoHyphens w:val="0"/>
              <w:spacing w:before="40" w:after="120"/>
              <w:ind w:left="113" w:right="113"/>
            </w:pPr>
            <w:r w:rsidRPr="00D14250">
              <w:rPr>
                <w:i/>
              </w:rPr>
              <w:t>Performance measures</w:t>
            </w:r>
            <w:r w:rsidRPr="00D14250">
              <w:t>:</w:t>
            </w:r>
            <w:r w:rsidRPr="00D14250">
              <w:br/>
            </w:r>
            <w:r w:rsidR="00913DF4">
              <w:rPr>
                <w:lang w:val="fr-CH"/>
              </w:rPr>
              <w:t>Baseline: 2014–2015: 49</w:t>
            </w:r>
            <w:r w:rsidR="00913DF4">
              <w:rPr>
                <w:lang w:val="fr-CH"/>
              </w:rPr>
              <w:br/>
              <w:t>Target: 2016–</w:t>
            </w:r>
            <w:r w:rsidR="006351C9" w:rsidRPr="00916DC5">
              <w:rPr>
                <w:lang w:val="fr-CH"/>
              </w:rPr>
              <w:t>2017: 51</w:t>
            </w:r>
          </w:p>
        </w:tc>
      </w:tr>
      <w:tr w:rsidR="00E97025" w:rsidRPr="00D14250" w:rsidTr="008F3198">
        <w:tc>
          <w:tcPr>
            <w:tcW w:w="3139"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pPr>
            <w:r w:rsidRPr="00D14250">
              <w:t>14.a.</w:t>
            </w:r>
            <w:r w:rsidRPr="00D14250">
              <w:tab/>
              <w:t>Road transport</w:t>
            </w:r>
          </w:p>
        </w:tc>
        <w:tc>
          <w:tcPr>
            <w:tcW w:w="4279" w:type="dxa"/>
            <w:tcBorders>
              <w:top w:val="nil"/>
              <w:left w:val="nil"/>
              <w:bottom w:val="nil"/>
              <w:right w:val="nil"/>
            </w:tcBorders>
            <w:shd w:val="clear" w:color="auto" w:fill="auto"/>
          </w:tcPr>
          <w:p w:rsidR="00E97025" w:rsidRPr="00D14250" w:rsidRDefault="00E97025" w:rsidP="00C73363">
            <w:pPr>
              <w:suppressAutoHyphens w:val="0"/>
              <w:spacing w:before="40" w:after="120"/>
              <w:ind w:left="113" w:right="113"/>
            </w:pPr>
            <w:r w:rsidRPr="00D14250">
              <w:t>EA 14.a. Enhanced implementation of the European Agreement Concerning the Work of Crews of Vehicles Engaged in International Road Transport (AETR).</w:t>
            </w:r>
          </w:p>
          <w:p w:rsidR="00E97025" w:rsidRPr="00D14250" w:rsidRDefault="00E97025" w:rsidP="00C73363">
            <w:pPr>
              <w:suppressAutoHyphens w:val="0"/>
              <w:spacing w:before="40" w:after="120"/>
              <w:ind w:left="113" w:right="113"/>
            </w:pPr>
            <w:r w:rsidRPr="00D14250">
              <w:t>IA 14.a. (a) Number of problem areas identified and of proposals to address them</w:t>
            </w:r>
          </w:p>
          <w:p w:rsidR="00C01A33" w:rsidRDefault="00C01A33" w:rsidP="00C01A33">
            <w:pPr>
              <w:suppressAutoHyphens w:val="0"/>
              <w:spacing w:before="40" w:after="120"/>
              <w:ind w:left="113" w:right="113"/>
            </w:pPr>
            <w:r>
              <w:t>Problem areas identified:</w:t>
            </w:r>
          </w:p>
          <w:p w:rsidR="00C01A33" w:rsidRDefault="00C01A33" w:rsidP="00C01A33">
            <w:pPr>
              <w:suppressAutoHyphens w:val="0"/>
              <w:spacing w:before="40" w:after="120"/>
              <w:ind w:left="113" w:right="113"/>
            </w:pPr>
            <w:r>
              <w:t>1. The question of the prevailing legal instrument in view of parallel/coinciding legislative framework within the EU.</w:t>
            </w:r>
          </w:p>
          <w:p w:rsidR="00C01A33" w:rsidRDefault="00C01A33" w:rsidP="00C01A33">
            <w:pPr>
              <w:suppressAutoHyphens w:val="0"/>
              <w:spacing w:before="40" w:after="120"/>
              <w:ind w:left="113" w:right="113"/>
            </w:pPr>
            <w:r>
              <w:lastRenderedPageBreak/>
              <w:t>2. The question of the applicable law on combined routes passing through the territories of both non-contracting parties and EU and non-EU contracting parties in view of the reservations entered by EU States upon ratification of the Agreement, considering that the EU is not a contracting party to the AETR.</w:t>
            </w:r>
          </w:p>
          <w:p w:rsidR="00C01A33" w:rsidRDefault="00C01A33" w:rsidP="00C01A33">
            <w:pPr>
              <w:suppressAutoHyphens w:val="0"/>
              <w:spacing w:before="40" w:after="120"/>
              <w:ind w:left="113" w:right="113"/>
            </w:pPr>
            <w:r>
              <w:t xml:space="preserve">3. The question of article 22bis and the decision-making centre for amendments on technical parameters as contained in Appendix 1b. </w:t>
            </w:r>
          </w:p>
          <w:p w:rsidR="00C01A33" w:rsidRDefault="00C01A33" w:rsidP="00C01A33">
            <w:pPr>
              <w:suppressAutoHyphens w:val="0"/>
              <w:spacing w:before="40" w:after="120"/>
              <w:ind w:left="113" w:right="113"/>
            </w:pPr>
            <w:r>
              <w:t>4. The difficulties of some AETR Contracting Parties in implementing the digital tachograph and in particular the issuance of the digital tachograph cards.</w:t>
            </w:r>
          </w:p>
          <w:p w:rsidR="00C01A33" w:rsidRDefault="00C01A33" w:rsidP="00C01A33">
            <w:pPr>
              <w:suppressAutoHyphens w:val="0"/>
              <w:spacing w:before="40" w:after="120"/>
              <w:ind w:left="113" w:right="113"/>
            </w:pPr>
            <w:r>
              <w:t>Proposals to address</w:t>
            </w:r>
            <w:r w:rsidR="00913DF4">
              <w:t xml:space="preserve"> them and progress made in 2014–</w:t>
            </w:r>
            <w:r>
              <w:t>2015:</w:t>
            </w:r>
          </w:p>
          <w:p w:rsidR="00C01A33" w:rsidRDefault="00C01A33" w:rsidP="00C01A33">
            <w:pPr>
              <w:suppressAutoHyphens w:val="0"/>
              <w:spacing w:before="40" w:after="120"/>
              <w:ind w:left="113" w:right="113"/>
            </w:pPr>
            <w:r>
              <w:t>The question of prevailing legal instrument is still under discussion.</w:t>
            </w:r>
          </w:p>
          <w:p w:rsidR="00C01A33" w:rsidRDefault="00C01A33" w:rsidP="00C01A33">
            <w:pPr>
              <w:suppressAutoHyphens w:val="0"/>
              <w:spacing w:before="40" w:after="120"/>
              <w:ind w:left="113" w:right="113"/>
            </w:pPr>
            <w:r>
              <w:t>The question of the applicable law on combined routes is still under discussion. As at the date of this document, only nine Contracting Parties had responded to a questionnaire by the International Road Transport Union (IRU) on this matter. IRU delivered a presentation at the sixth session of the Group of Experts in order to facilitate a conclusion and agreement by the Group of the prevailing legal instrument in the different transport scenarios.</w:t>
            </w:r>
          </w:p>
          <w:p w:rsidR="00C01A33" w:rsidRDefault="00C01A33" w:rsidP="00C01A33">
            <w:pPr>
              <w:suppressAutoHyphens w:val="0"/>
              <w:spacing w:before="40" w:after="120"/>
              <w:ind w:left="113" w:right="113"/>
            </w:pPr>
            <w:r>
              <w:t>The question of amending article 22bis has been extensively discussed at the meetings of AETR Group of Experts. As at the date of this document, the Group had not been able to agree on the wording of a revised text of Article 22bis.</w:t>
            </w:r>
          </w:p>
          <w:p w:rsidR="00E97025" w:rsidRPr="00D14250" w:rsidRDefault="00C01A33" w:rsidP="00C73363">
            <w:pPr>
              <w:suppressAutoHyphens w:val="0"/>
              <w:spacing w:before="40" w:after="120"/>
              <w:ind w:left="113" w:right="113"/>
            </w:pPr>
            <w:r>
              <w:t xml:space="preserve">In 2014-2015, further progress had been made in implementing the digital tachograph in non-EU AETR Contracting Parties. Virtually all countries had fully implemented the measures necessary for the use of the digital tachograph. Only one country had yet to commence </w:t>
            </w:r>
            <w:proofErr w:type="spellStart"/>
            <w:r>
              <w:t>it.</w:t>
            </w:r>
            <w:r w:rsidR="00E97025" w:rsidRPr="00D14250">
              <w:rPr>
                <w:i/>
              </w:rPr>
              <w:t>Performance</w:t>
            </w:r>
            <w:proofErr w:type="spellEnd"/>
            <w:r w:rsidR="00E97025" w:rsidRPr="00D14250">
              <w:rPr>
                <w:i/>
              </w:rPr>
              <w:t xml:space="preserve"> measures</w:t>
            </w:r>
            <w:r w:rsidR="00E97025" w:rsidRPr="00D14250">
              <w:t>:</w:t>
            </w:r>
            <w:r w:rsidR="00E97025" w:rsidRPr="00D14250">
              <w:br/>
            </w:r>
            <w:r w:rsidR="00692160" w:rsidRPr="00D14250">
              <w:t>Baseline 201</w:t>
            </w:r>
            <w:r>
              <w:t>4</w:t>
            </w:r>
            <w:r w:rsidR="00CE6E9B" w:rsidRPr="00D14250">
              <w:t>–</w:t>
            </w:r>
            <w:r w:rsidR="00692160" w:rsidRPr="00D14250">
              <w:t>201</w:t>
            </w:r>
            <w:r>
              <w:t>5</w:t>
            </w:r>
            <w:r w:rsidR="00E97025" w:rsidRPr="00D14250">
              <w:t>: 4</w:t>
            </w:r>
            <w:r w:rsidR="00E97025" w:rsidRPr="00D14250">
              <w:br/>
            </w:r>
            <w:r w:rsidR="00913DF4">
              <w:t>Target 2016–</w:t>
            </w:r>
            <w:r w:rsidRPr="00C01A33">
              <w:t>2017: 3 (Resolution of the outstanding three proposals to the problem areas 1, 2 and 3 identified above</w:t>
            </w:r>
          </w:p>
          <w:p w:rsidR="00E97025" w:rsidRPr="00D14250" w:rsidRDefault="00E97025" w:rsidP="00C73363">
            <w:pPr>
              <w:suppressAutoHyphens w:val="0"/>
              <w:spacing w:before="40" w:after="120"/>
              <w:ind w:left="113" w:right="113"/>
            </w:pPr>
            <w:r w:rsidRPr="00D14250">
              <w:t>IA 14.a. (b) Number of seminars and workshops</w:t>
            </w:r>
          </w:p>
          <w:p w:rsidR="00763B65" w:rsidRDefault="00E97025" w:rsidP="00763B65">
            <w:pPr>
              <w:suppressAutoHyphens w:val="0"/>
              <w:spacing w:before="40" w:after="120"/>
              <w:ind w:left="113" w:right="113"/>
            </w:pPr>
            <w:r w:rsidRPr="00D14250">
              <w:rPr>
                <w:i/>
              </w:rPr>
              <w:lastRenderedPageBreak/>
              <w:t>Performance measures</w:t>
            </w:r>
            <w:r w:rsidRPr="00D14250">
              <w:t>:</w:t>
            </w:r>
            <w:r w:rsidRPr="00D14250">
              <w:br/>
            </w:r>
            <w:r w:rsidR="00692160" w:rsidRPr="00D14250">
              <w:t>Baseline 201</w:t>
            </w:r>
            <w:r w:rsidR="00763B65">
              <w:t>4</w:t>
            </w:r>
            <w:r w:rsidR="00CE6E9B" w:rsidRPr="00D14250">
              <w:t>–</w:t>
            </w:r>
            <w:r w:rsidR="00692160" w:rsidRPr="00D14250">
              <w:t>201</w:t>
            </w:r>
            <w:r w:rsidR="00763B65">
              <w:t>5</w:t>
            </w:r>
            <w:r w:rsidRPr="00D14250">
              <w:t xml:space="preserve">: </w:t>
            </w:r>
            <w:r w:rsidRPr="00D14250">
              <w:br/>
            </w:r>
            <w:r w:rsidR="00763B65">
              <w:t>Target 2014–2015: 3</w:t>
            </w:r>
            <w:r w:rsidR="00763B65">
              <w:br/>
              <w:t>Actual 2014–2015: 4</w:t>
            </w:r>
          </w:p>
          <w:p w:rsidR="00763B65" w:rsidRDefault="00763B65" w:rsidP="00763B65">
            <w:pPr>
              <w:suppressAutoHyphens w:val="0"/>
              <w:spacing w:before="40" w:after="120"/>
              <w:ind w:left="113" w:right="113"/>
            </w:pPr>
            <w:r w:rsidRPr="00763B65">
              <w:t>7-10th sessions of AETR Expert Group</w:t>
            </w:r>
          </w:p>
          <w:p w:rsidR="00E97025" w:rsidRPr="00D14250" w:rsidRDefault="00E97025" w:rsidP="00C73363">
            <w:pPr>
              <w:suppressAutoHyphens w:val="0"/>
              <w:spacing w:before="40" w:after="120"/>
              <w:ind w:left="113" w:right="113"/>
            </w:pPr>
            <w:r w:rsidRPr="00D14250">
              <w:t>Target: 201</w:t>
            </w:r>
            <w:r w:rsidR="00763B65">
              <w:t>6</w:t>
            </w:r>
            <w:r w:rsidRPr="00D14250">
              <w:t>–201</w:t>
            </w:r>
            <w:r w:rsidR="00763B65">
              <w:t>7</w:t>
            </w:r>
            <w:r w:rsidRPr="00D14250">
              <w:t>: 3 (24 February 2014, 23 June 2014, 30 October 2014)</w:t>
            </w:r>
          </w:p>
          <w:p w:rsidR="00E97025" w:rsidRPr="00D14250" w:rsidRDefault="00E97025" w:rsidP="00C73363">
            <w:pPr>
              <w:suppressAutoHyphens w:val="0"/>
              <w:spacing w:before="40" w:after="120"/>
              <w:ind w:left="113" w:right="113"/>
            </w:pPr>
            <w:r w:rsidRPr="00D14250">
              <w:t xml:space="preserve">IA 14.a. (c) Number of participants per seminar and workshop </w:t>
            </w:r>
          </w:p>
          <w:p w:rsidR="00E97025" w:rsidRPr="00D14250" w:rsidRDefault="00E97025" w:rsidP="001252F5">
            <w:pPr>
              <w:suppressAutoHyphens w:val="0"/>
              <w:spacing w:before="40" w:after="120"/>
              <w:ind w:left="113" w:right="113"/>
            </w:pPr>
            <w:r w:rsidRPr="00D14250">
              <w:rPr>
                <w:i/>
              </w:rPr>
              <w:t>Performance measures</w:t>
            </w:r>
            <w:r w:rsidRPr="00D14250">
              <w:t>:</w:t>
            </w:r>
            <w:r w:rsidRPr="00D14250">
              <w:br/>
            </w:r>
            <w:r w:rsidR="001252F5">
              <w:t>Target 2014–2015: 65</w:t>
            </w:r>
            <w:r w:rsidR="001252F5">
              <w:br/>
              <w:t>Actual 2014–2015: 73 (excludin</w:t>
            </w:r>
            <w:r w:rsidR="00913DF4">
              <w:t>g the 10th session)</w:t>
            </w:r>
            <w:r w:rsidR="00913DF4">
              <w:br/>
              <w:t>Target 2016–</w:t>
            </w:r>
            <w:r w:rsidR="001252F5">
              <w:t>2017: 65</w:t>
            </w:r>
          </w:p>
        </w:tc>
      </w:tr>
      <w:tr w:rsidR="00E97025" w:rsidRPr="00D14250" w:rsidTr="008F3198">
        <w:tc>
          <w:tcPr>
            <w:tcW w:w="3139"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pPr>
            <w:r w:rsidRPr="00D14250">
              <w:t>15.</w:t>
            </w:r>
            <w:r w:rsidRPr="00D14250">
              <w:tab/>
              <w:t>Road traffic safety</w:t>
            </w:r>
          </w:p>
        </w:tc>
        <w:tc>
          <w:tcPr>
            <w:tcW w:w="4279" w:type="dxa"/>
            <w:tcBorders>
              <w:top w:val="nil"/>
              <w:left w:val="nil"/>
              <w:bottom w:val="nil"/>
              <w:right w:val="nil"/>
            </w:tcBorders>
            <w:shd w:val="clear" w:color="auto" w:fill="auto"/>
          </w:tcPr>
          <w:p w:rsidR="00E97025" w:rsidRPr="00D14250" w:rsidRDefault="00E97025" w:rsidP="0056514E">
            <w:pPr>
              <w:suppressAutoHyphens w:val="0"/>
              <w:spacing w:before="40" w:after="120"/>
              <w:ind w:left="113" w:right="113"/>
            </w:pPr>
            <w:r w:rsidRPr="00D14250">
              <w:t>EA 15. A more effective implementation of the Conventions on Road Traffic and Road Signs and Signals of 1968, the European Agreements of 1971 supplementing them, and the Consolidated Resolutions on Road Traffic and Road Signs and Signals.</w:t>
            </w:r>
          </w:p>
        </w:tc>
      </w:tr>
      <w:tr w:rsidR="00E97025" w:rsidRPr="00D14250" w:rsidTr="008F3198">
        <w:tc>
          <w:tcPr>
            <w:tcW w:w="3139"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pPr>
          </w:p>
        </w:tc>
        <w:tc>
          <w:tcPr>
            <w:tcW w:w="4279" w:type="dxa"/>
            <w:tcBorders>
              <w:top w:val="nil"/>
              <w:left w:val="nil"/>
              <w:bottom w:val="nil"/>
              <w:right w:val="nil"/>
            </w:tcBorders>
            <w:shd w:val="clear" w:color="auto" w:fill="auto"/>
          </w:tcPr>
          <w:p w:rsidR="00E97025" w:rsidRPr="00D14250" w:rsidRDefault="00E97025" w:rsidP="00C73363">
            <w:pPr>
              <w:suppressAutoHyphens w:val="0"/>
              <w:spacing w:before="40" w:after="120"/>
              <w:ind w:left="113" w:right="113"/>
            </w:pPr>
            <w:r w:rsidRPr="00D14250">
              <w:t>IA 15. (a) Number of new Contracting Parties to the Conventions and European Agreements</w:t>
            </w:r>
          </w:p>
          <w:p w:rsidR="003B6C12" w:rsidRDefault="00E97025" w:rsidP="003B6C12">
            <w:pPr>
              <w:suppressAutoHyphens w:val="0"/>
              <w:spacing w:before="40" w:after="120"/>
              <w:ind w:left="113" w:right="113"/>
            </w:pPr>
            <w:r w:rsidRPr="00D14250">
              <w:rPr>
                <w:i/>
              </w:rPr>
              <w:t>Performance measures</w:t>
            </w:r>
            <w:r w:rsidRPr="00D14250">
              <w:t>:</w:t>
            </w:r>
            <w:r w:rsidRPr="00D14250">
              <w:br/>
            </w:r>
            <w:r w:rsidR="00913DF4">
              <w:t>Target 2014–2015: 3</w:t>
            </w:r>
            <w:r w:rsidR="00913DF4">
              <w:br/>
              <w:t>Actual 2014–</w:t>
            </w:r>
            <w:r w:rsidR="003B6C12">
              <w:t>2015: 2 (see below)</w:t>
            </w:r>
            <w:r w:rsidR="003B6C12">
              <w:br/>
              <w:t xml:space="preserve">1968 Convention on Road Traffic: 1 </w:t>
            </w:r>
            <w:r w:rsidR="003B6C12">
              <w:br/>
              <w:t>(Viet Nam, 20 August 2014)</w:t>
            </w:r>
            <w:r w:rsidR="003B6C12">
              <w:br/>
              <w:t xml:space="preserve">1968 Convention on Road Signs and Signals: 1 </w:t>
            </w:r>
            <w:r w:rsidR="003B6C12">
              <w:br/>
              <w:t>(Viet Nam, 20 August 2014)</w:t>
            </w:r>
          </w:p>
          <w:p w:rsidR="00E97025" w:rsidRPr="00D14250" w:rsidRDefault="00913DF4" w:rsidP="003B6C12">
            <w:pPr>
              <w:suppressAutoHyphens w:val="0"/>
              <w:spacing w:before="40" w:after="120"/>
              <w:ind w:left="113" w:right="113"/>
            </w:pPr>
            <w:r>
              <w:t>Target for 2016–</w:t>
            </w:r>
            <w:r w:rsidR="003B6C12">
              <w:t>2017: 2</w:t>
            </w:r>
          </w:p>
        </w:tc>
      </w:tr>
      <w:tr w:rsidR="00E97025" w:rsidRPr="00D14250" w:rsidTr="001E5882">
        <w:trPr>
          <w:cantSplit/>
        </w:trPr>
        <w:tc>
          <w:tcPr>
            <w:tcW w:w="3139"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E97025" w:rsidRPr="00D14250" w:rsidRDefault="00E97025" w:rsidP="0056514E">
            <w:pPr>
              <w:suppressAutoHyphens w:val="0"/>
              <w:spacing w:before="40" w:after="120"/>
              <w:ind w:left="538" w:right="113" w:hanging="425"/>
            </w:pPr>
          </w:p>
        </w:tc>
        <w:tc>
          <w:tcPr>
            <w:tcW w:w="4279" w:type="dxa"/>
            <w:tcBorders>
              <w:top w:val="nil"/>
              <w:left w:val="nil"/>
              <w:bottom w:val="nil"/>
              <w:right w:val="nil"/>
            </w:tcBorders>
            <w:shd w:val="clear" w:color="auto" w:fill="auto"/>
          </w:tcPr>
          <w:p w:rsidR="00E97025" w:rsidRPr="00D14250" w:rsidRDefault="00E97025" w:rsidP="00C73363">
            <w:pPr>
              <w:suppressAutoHyphens w:val="0"/>
              <w:spacing w:before="40" w:after="120"/>
              <w:ind w:left="113" w:right="113"/>
            </w:pPr>
            <w:r w:rsidRPr="00D14250">
              <w:t>IA 15. (b) Number of road safety seminars, workshops, conferences, campaigns and events organized</w:t>
            </w:r>
          </w:p>
          <w:p w:rsidR="00C67159" w:rsidRDefault="00E97025" w:rsidP="00C67159">
            <w:pPr>
              <w:keepNext/>
              <w:keepLines/>
              <w:suppressAutoHyphens w:val="0"/>
              <w:spacing w:before="40" w:after="120"/>
              <w:ind w:left="113" w:right="113"/>
            </w:pPr>
            <w:r w:rsidRPr="00D14250">
              <w:rPr>
                <w:i/>
              </w:rPr>
              <w:t>Performance measures</w:t>
            </w:r>
            <w:r w:rsidRPr="00D14250">
              <w:t>:</w:t>
            </w:r>
            <w:r w:rsidRPr="00D14250">
              <w:br/>
            </w:r>
            <w:r w:rsidR="00913DF4">
              <w:t>Target 2014–2015: 2</w:t>
            </w:r>
            <w:r w:rsidR="00913DF4">
              <w:br/>
              <w:t>Actual 2014–</w:t>
            </w:r>
            <w:r w:rsidR="00C67159">
              <w:t>2015: 7 (see below)</w:t>
            </w:r>
          </w:p>
          <w:p w:rsidR="00C67159" w:rsidRDefault="00C67159" w:rsidP="00C67159">
            <w:pPr>
              <w:keepNext/>
              <w:keepLines/>
              <w:suppressAutoHyphens w:val="0"/>
              <w:spacing w:before="40" w:after="120"/>
              <w:ind w:left="113" w:right="113"/>
            </w:pPr>
            <w:r>
              <w:t>1. Launch of the ECE-International Union of Railways-Swiss Federal Office of Transport "Saving lives at level crossings" film on the occasion of ILCAD 2014 (3 June 2014)</w:t>
            </w:r>
          </w:p>
          <w:p w:rsidR="00C67159" w:rsidRDefault="00C67159" w:rsidP="00C67159">
            <w:pPr>
              <w:keepNext/>
              <w:keepLines/>
              <w:suppressAutoHyphens w:val="0"/>
              <w:spacing w:before="40" w:after="120"/>
              <w:ind w:left="113" w:right="113"/>
            </w:pPr>
            <w:r>
              <w:t xml:space="preserve">2. UN Road Safety Treaty Day in New York, USA (5 June 2014) </w:t>
            </w:r>
          </w:p>
          <w:p w:rsidR="00C67159" w:rsidRDefault="00C67159" w:rsidP="00C67159">
            <w:pPr>
              <w:keepNext/>
              <w:keepLines/>
              <w:suppressAutoHyphens w:val="0"/>
              <w:spacing w:before="40" w:after="120"/>
              <w:ind w:left="113" w:right="113"/>
            </w:pPr>
            <w:r>
              <w:t xml:space="preserve">3. Regional Road Safety Capacity-Building Workshop in Belgrade, Serbia (October 2014) </w:t>
            </w:r>
          </w:p>
          <w:p w:rsidR="00C67159" w:rsidRDefault="00C67159" w:rsidP="00C67159">
            <w:pPr>
              <w:keepNext/>
              <w:keepLines/>
              <w:suppressAutoHyphens w:val="0"/>
              <w:spacing w:before="40" w:after="120"/>
              <w:ind w:left="113" w:right="113"/>
            </w:pPr>
            <w:r>
              <w:t xml:space="preserve">4. ECE-Economic Commission for Africa-International Alliance for Responsible Drinking Road Safety Workshop for English-speaking African countries in Addis Ababa, Ethiopia (12-13 November 2014) </w:t>
            </w:r>
          </w:p>
          <w:p w:rsidR="00C67159" w:rsidRDefault="00C67159" w:rsidP="00C67159">
            <w:pPr>
              <w:keepNext/>
              <w:keepLines/>
              <w:suppressAutoHyphens w:val="0"/>
              <w:spacing w:before="40" w:after="120"/>
              <w:ind w:left="113" w:right="113"/>
            </w:pPr>
            <w:r>
              <w:t>5. Special WP.1 one-day round table in Geneva, Switzerland, on exploring the use of road safety legal instruments to address powered two-wheeled vehicles safety policies in low and middle income countries (23 March 2015)</w:t>
            </w:r>
          </w:p>
          <w:p w:rsidR="00C67159" w:rsidRDefault="00C67159" w:rsidP="00C67159">
            <w:pPr>
              <w:keepNext/>
              <w:keepLines/>
              <w:suppressAutoHyphens w:val="0"/>
              <w:spacing w:before="40" w:after="120"/>
              <w:ind w:left="113" w:right="113"/>
            </w:pPr>
            <w:r>
              <w:t>6. Launch of joint ECE-ECA-IARD e-book "Preventing Drink Driving in Africa" with new survey results on road safety issues across the African continent, updates on the implementation of the African Road Safety Action Plan, and recommendations and international good practices to improve road safety in Geneva, Switzerland (23 March 2015)</w:t>
            </w:r>
          </w:p>
          <w:p w:rsidR="00C67159" w:rsidRDefault="00C67159" w:rsidP="00C67159">
            <w:pPr>
              <w:keepNext/>
              <w:keepLines/>
              <w:suppressAutoHyphens w:val="0"/>
              <w:spacing w:before="40" w:after="120"/>
              <w:ind w:left="113" w:right="113"/>
            </w:pPr>
            <w:r>
              <w:t>7. ECE-ECA-IARD Road Safety Workshop for French-speaking African countries in Addis Ababa, Ethiopia (7-8 July 2015)</w:t>
            </w:r>
          </w:p>
          <w:p w:rsidR="00E97025" w:rsidRPr="00D14250" w:rsidRDefault="00C67159" w:rsidP="00C67159">
            <w:pPr>
              <w:keepNext/>
              <w:keepLines/>
              <w:suppressAutoHyphens w:val="0"/>
              <w:spacing w:before="40" w:after="120"/>
              <w:ind w:left="113" w:right="113"/>
            </w:pPr>
            <w:r>
              <w:t>Target for</w:t>
            </w:r>
            <w:r w:rsidR="00913DF4">
              <w:t xml:space="preserve"> 2016–</w:t>
            </w:r>
            <w:r>
              <w:t>2017: 2</w:t>
            </w:r>
          </w:p>
        </w:tc>
      </w:tr>
      <w:tr w:rsidR="00E97025" w:rsidRPr="00D14250" w:rsidTr="008F3198">
        <w:tc>
          <w:tcPr>
            <w:tcW w:w="3139"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pPr>
          </w:p>
        </w:tc>
        <w:tc>
          <w:tcPr>
            <w:tcW w:w="4279" w:type="dxa"/>
            <w:tcBorders>
              <w:top w:val="nil"/>
              <w:left w:val="nil"/>
              <w:bottom w:val="nil"/>
              <w:right w:val="nil"/>
            </w:tcBorders>
            <w:shd w:val="clear" w:color="auto" w:fill="auto"/>
          </w:tcPr>
          <w:p w:rsidR="00E97025" w:rsidRPr="00D14250" w:rsidRDefault="00E97025" w:rsidP="00C73363">
            <w:pPr>
              <w:suppressAutoHyphens w:val="0"/>
              <w:spacing w:before="40" w:after="120"/>
              <w:ind w:left="113" w:right="113"/>
            </w:pPr>
            <w:r w:rsidRPr="00D14250">
              <w:t>IA 15. (c) Number of total participants per seminar, workshop conferences and events, including those from Contracting Parties</w:t>
            </w:r>
          </w:p>
          <w:p w:rsidR="002D7B77" w:rsidRDefault="00E97025" w:rsidP="002D7B77">
            <w:pPr>
              <w:suppressAutoHyphens w:val="0"/>
              <w:spacing w:before="40" w:after="120"/>
              <w:ind w:left="113" w:right="113"/>
            </w:pPr>
            <w:r w:rsidRPr="00D14250">
              <w:rPr>
                <w:i/>
              </w:rPr>
              <w:t>Performance measures</w:t>
            </w:r>
            <w:r w:rsidRPr="00D14250">
              <w:t>:</w:t>
            </w:r>
            <w:r w:rsidRPr="00D14250">
              <w:br/>
            </w:r>
            <w:r w:rsidR="00913DF4">
              <w:t>Target 2014–2015: 60</w:t>
            </w:r>
            <w:r w:rsidR="00913DF4">
              <w:br/>
              <w:t>Actual 2014–</w:t>
            </w:r>
            <w:r w:rsidR="002D7B77">
              <w:t xml:space="preserve">2015: 300 </w:t>
            </w:r>
          </w:p>
          <w:p w:rsidR="00E97025" w:rsidRPr="00D14250" w:rsidRDefault="00913DF4" w:rsidP="002D7B77">
            <w:pPr>
              <w:suppressAutoHyphens w:val="0"/>
              <w:spacing w:before="40" w:after="120"/>
              <w:ind w:left="113" w:right="113"/>
            </w:pPr>
            <w:r>
              <w:t>Target for 2016–</w:t>
            </w:r>
            <w:r w:rsidR="002D7B77">
              <w:t>2017: 60</w:t>
            </w:r>
          </w:p>
        </w:tc>
      </w:tr>
      <w:tr w:rsidR="00E97025" w:rsidRPr="00D14250" w:rsidTr="008F3198">
        <w:tc>
          <w:tcPr>
            <w:tcW w:w="3139"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pPr>
          </w:p>
        </w:tc>
        <w:tc>
          <w:tcPr>
            <w:tcW w:w="4279" w:type="dxa"/>
            <w:tcBorders>
              <w:top w:val="nil"/>
              <w:left w:val="nil"/>
              <w:bottom w:val="nil"/>
              <w:right w:val="nil"/>
            </w:tcBorders>
            <w:shd w:val="clear" w:color="auto" w:fill="auto"/>
          </w:tcPr>
          <w:p w:rsidR="00E97025" w:rsidRPr="00D14250" w:rsidRDefault="00E97025" w:rsidP="00C73363">
            <w:pPr>
              <w:suppressAutoHyphens w:val="0"/>
              <w:spacing w:before="40" w:after="120"/>
              <w:ind w:left="113" w:right="113"/>
            </w:pPr>
            <w:r w:rsidRPr="00D14250">
              <w:t>IA 15. (d) Feedback from participants of the seminars, workshops, conferences and events</w:t>
            </w:r>
          </w:p>
          <w:p w:rsidR="002D7B77" w:rsidRDefault="00E97025" w:rsidP="002D7B77">
            <w:pPr>
              <w:suppressAutoHyphens w:val="0"/>
              <w:spacing w:before="40" w:after="120"/>
              <w:ind w:left="113" w:right="113"/>
            </w:pPr>
            <w:r w:rsidRPr="00D14250">
              <w:rPr>
                <w:i/>
              </w:rPr>
              <w:t>Performance measures</w:t>
            </w:r>
            <w:proofErr w:type="gramStart"/>
            <w:r w:rsidRPr="00D14250">
              <w:t>:</w:t>
            </w:r>
            <w:proofErr w:type="gramEnd"/>
            <w:r w:rsidRPr="00D14250">
              <w:br/>
            </w:r>
            <w:r w:rsidR="002D7B77">
              <w:t xml:space="preserve">Target 2014-2015: Positive feedback (based on the majority of responses provided) is received from the participants of the seminars, workshops, conferences and events regarding the organization of the event, networking opportunities and the value of the technical information provided and presentations given. </w:t>
            </w:r>
          </w:p>
          <w:p w:rsidR="002D7B77" w:rsidRDefault="002D7B77" w:rsidP="002D7B77">
            <w:pPr>
              <w:suppressAutoHyphens w:val="0"/>
              <w:spacing w:before="40" w:after="120"/>
              <w:ind w:left="113" w:right="113"/>
            </w:pPr>
            <w:r>
              <w:t>Actual 2014-2015:</w:t>
            </w:r>
            <w:r w:rsidR="00114CB4">
              <w:t xml:space="preserve"> </w:t>
            </w:r>
            <w:r>
              <w:t>Positive feedback was received based on formal (survey) and informal feedback to the six events arranged above. In addition, the "Saving lives at level crossings" film has been viewed nearly 15,000 times in the 13 months since it was launched.</w:t>
            </w:r>
          </w:p>
          <w:p w:rsidR="00E97025" w:rsidRPr="00D14250" w:rsidRDefault="002D7B77" w:rsidP="002D7B77">
            <w:pPr>
              <w:suppressAutoHyphens w:val="0"/>
              <w:spacing w:before="40" w:after="120"/>
              <w:ind w:left="113" w:right="113"/>
            </w:pPr>
            <w:r>
              <w:t>Target for 2016-2017: Positive feedback (based on the majority of responses provided) is received from the participants of the seminars, workshops, conferences and events regarding the organization of the event, networking opportunities and the value of the technical information provided and presentations given.</w:t>
            </w:r>
          </w:p>
        </w:tc>
      </w:tr>
      <w:tr w:rsidR="00E97025" w:rsidRPr="00D14250" w:rsidTr="008F3198">
        <w:tc>
          <w:tcPr>
            <w:tcW w:w="3139" w:type="dxa"/>
            <w:tcBorders>
              <w:top w:val="nil"/>
              <w:left w:val="nil"/>
              <w:bottom w:val="nil"/>
              <w:right w:val="nil"/>
            </w:tcBorders>
            <w:shd w:val="clear" w:color="auto" w:fill="auto"/>
          </w:tcPr>
          <w:p w:rsidR="00E97025" w:rsidRPr="00D14250" w:rsidRDefault="00E97025" w:rsidP="0056514E">
            <w:pPr>
              <w:suppressAutoHyphens w:val="0"/>
              <w:spacing w:before="40" w:after="120"/>
              <w:ind w:right="113"/>
              <w:rPr>
                <w:b/>
              </w:rPr>
            </w:pPr>
            <w:r w:rsidRPr="00D14250">
              <w:rPr>
                <w:b/>
              </w:rPr>
              <w:t xml:space="preserve">3. EA (c). </w:t>
            </w:r>
            <w:r w:rsidR="001A35D6" w:rsidRPr="001A35D6">
              <w:rPr>
                <w:b/>
              </w:rPr>
              <w:t>Enhanced capacity in ECE member States, particularly in landlocked developing countries, for the development of the pan-European and transcontinental transport infrastructure and transport facilitation measures</w:t>
            </w:r>
          </w:p>
        </w:tc>
        <w:tc>
          <w:tcPr>
            <w:tcW w:w="2282"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pPr>
          </w:p>
        </w:tc>
        <w:tc>
          <w:tcPr>
            <w:tcW w:w="4279" w:type="dxa"/>
            <w:vMerge w:val="restart"/>
            <w:tcBorders>
              <w:top w:val="nil"/>
              <w:left w:val="nil"/>
              <w:bottom w:val="nil"/>
              <w:right w:val="nil"/>
            </w:tcBorders>
            <w:shd w:val="clear" w:color="auto" w:fill="auto"/>
          </w:tcPr>
          <w:p w:rsidR="00E97025" w:rsidRPr="00D14250" w:rsidRDefault="00E97025" w:rsidP="0056514E">
            <w:pPr>
              <w:suppressAutoHyphens w:val="0"/>
              <w:spacing w:before="40" w:after="120"/>
              <w:ind w:left="113" w:right="113"/>
            </w:pPr>
          </w:p>
        </w:tc>
      </w:tr>
      <w:tr w:rsidR="00E97025" w:rsidRPr="00D14250" w:rsidTr="008F3198">
        <w:tc>
          <w:tcPr>
            <w:tcW w:w="3139" w:type="dxa"/>
            <w:tcBorders>
              <w:top w:val="nil"/>
              <w:left w:val="nil"/>
              <w:bottom w:val="nil"/>
              <w:right w:val="nil"/>
            </w:tcBorders>
            <w:shd w:val="clear" w:color="auto" w:fill="auto"/>
          </w:tcPr>
          <w:p w:rsidR="00E97025" w:rsidRPr="00D14250" w:rsidRDefault="00E97025" w:rsidP="00B3388F">
            <w:pPr>
              <w:suppressAutoHyphens w:val="0"/>
              <w:spacing w:before="40" w:after="120"/>
              <w:ind w:right="113"/>
            </w:pPr>
            <w:r w:rsidRPr="00D14250">
              <w:t>IA (c) (</w:t>
            </w:r>
            <w:proofErr w:type="spellStart"/>
            <w:r w:rsidRPr="00D14250">
              <w:t>i</w:t>
            </w:r>
            <w:proofErr w:type="spellEnd"/>
            <w:r w:rsidRPr="00D14250">
              <w:t xml:space="preserve">) </w:t>
            </w:r>
            <w:r w:rsidR="001A35D6" w:rsidRPr="001A35D6">
              <w:t>Increased number of Contracting Parties to four key transport infrastructure agreements</w:t>
            </w:r>
          </w:p>
          <w:p w:rsidR="00E97025" w:rsidRPr="00D14250" w:rsidRDefault="00E97025" w:rsidP="00BD323F">
            <w:pPr>
              <w:suppressAutoHyphens w:val="0"/>
              <w:spacing w:before="40" w:after="120"/>
              <w:ind w:right="113"/>
              <w:rPr>
                <w:b/>
              </w:rPr>
            </w:pPr>
            <w:r w:rsidRPr="00D14250">
              <w:rPr>
                <w:i/>
              </w:rPr>
              <w:t>Performance measures</w:t>
            </w:r>
            <w:r w:rsidRPr="00D14250">
              <w:br/>
              <w:t>Baseline 201</w:t>
            </w:r>
            <w:r w:rsidR="001A35D6">
              <w:t>5</w:t>
            </w:r>
            <w:r w:rsidRPr="00D14250">
              <w:t>: 11</w:t>
            </w:r>
            <w:r w:rsidR="001A35D6">
              <w:t>5</w:t>
            </w:r>
            <w:r w:rsidRPr="00D14250">
              <w:t xml:space="preserve"> States parties</w:t>
            </w:r>
            <w:r w:rsidRPr="00D14250">
              <w:br/>
              <w:t>Target 201</w:t>
            </w:r>
            <w:r w:rsidR="001A35D6">
              <w:t>6</w:t>
            </w:r>
            <w:r w:rsidRPr="00D14250">
              <w:t>–201</w:t>
            </w:r>
            <w:r w:rsidR="001A35D6">
              <w:t>7</w:t>
            </w:r>
            <w:r w:rsidRPr="00D14250">
              <w:t>: 11</w:t>
            </w:r>
            <w:r w:rsidR="001A35D6">
              <w:t>6</w:t>
            </w:r>
            <w:r w:rsidRPr="00D14250">
              <w:t xml:space="preserve"> State parties</w:t>
            </w:r>
          </w:p>
        </w:tc>
        <w:tc>
          <w:tcPr>
            <w:tcW w:w="2282"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pPr>
          </w:p>
        </w:tc>
        <w:tc>
          <w:tcPr>
            <w:tcW w:w="4279" w:type="dxa"/>
            <w:vMerge/>
            <w:tcBorders>
              <w:top w:val="nil"/>
              <w:left w:val="nil"/>
              <w:bottom w:val="nil"/>
              <w:right w:val="nil"/>
            </w:tcBorders>
            <w:shd w:val="clear" w:color="auto" w:fill="auto"/>
          </w:tcPr>
          <w:p w:rsidR="00E97025" w:rsidRPr="00D14250" w:rsidRDefault="00E97025" w:rsidP="00811388">
            <w:pPr>
              <w:suppressAutoHyphens w:val="0"/>
              <w:spacing w:before="40" w:after="120" w:line="240" w:lineRule="auto"/>
              <w:ind w:left="386" w:right="113"/>
            </w:pPr>
          </w:p>
        </w:tc>
      </w:tr>
      <w:tr w:rsidR="00E97025" w:rsidRPr="00D14250" w:rsidTr="00D072E0">
        <w:trPr>
          <w:cantSplit/>
        </w:trPr>
        <w:tc>
          <w:tcPr>
            <w:tcW w:w="3139" w:type="dxa"/>
            <w:tcBorders>
              <w:top w:val="nil"/>
              <w:left w:val="nil"/>
              <w:bottom w:val="nil"/>
              <w:right w:val="nil"/>
            </w:tcBorders>
            <w:shd w:val="clear" w:color="auto" w:fill="auto"/>
          </w:tcPr>
          <w:p w:rsidR="00E97025" w:rsidRPr="00D14250" w:rsidRDefault="00E97025" w:rsidP="00BB48A0">
            <w:pPr>
              <w:suppressAutoHyphens w:val="0"/>
              <w:spacing w:before="40" w:after="120"/>
              <w:ind w:right="113"/>
            </w:pPr>
            <w:r w:rsidRPr="00D14250">
              <w:t xml:space="preserve">IA (c) (ii) </w:t>
            </w:r>
            <w:r w:rsidR="001A35D6" w:rsidRPr="001A35D6">
              <w:t>Increased number of United Nations Member States participating in ECE subregional transport infrastructure projects</w:t>
            </w:r>
          </w:p>
          <w:p w:rsidR="00E97025" w:rsidRPr="00D14250" w:rsidRDefault="00E97025" w:rsidP="00BD323F">
            <w:pPr>
              <w:tabs>
                <w:tab w:val="left" w:pos="840"/>
              </w:tabs>
              <w:suppressAutoHyphens w:val="0"/>
              <w:spacing w:before="40" w:after="120"/>
              <w:ind w:right="113"/>
              <w:rPr>
                <w:b/>
              </w:rPr>
            </w:pPr>
            <w:r w:rsidRPr="00D14250">
              <w:rPr>
                <w:i/>
              </w:rPr>
              <w:t>Performance measures</w:t>
            </w:r>
            <w:r w:rsidRPr="00D14250">
              <w:br/>
              <w:t>Baseline 201</w:t>
            </w:r>
            <w:r w:rsidR="001A35D6">
              <w:t>5</w:t>
            </w:r>
            <w:r w:rsidRPr="00D14250">
              <w:t>: 5</w:t>
            </w:r>
            <w:r w:rsidR="001A35D6">
              <w:t>3</w:t>
            </w:r>
            <w:r w:rsidRPr="00D14250">
              <w:t xml:space="preserve"> countries</w:t>
            </w:r>
            <w:r w:rsidRPr="00D14250">
              <w:br/>
              <w:t>Target 201</w:t>
            </w:r>
            <w:r w:rsidR="001A35D6">
              <w:t>6</w:t>
            </w:r>
            <w:r w:rsidRPr="00D14250">
              <w:t>–201</w:t>
            </w:r>
            <w:r w:rsidR="001A35D6">
              <w:t>7</w:t>
            </w:r>
            <w:r w:rsidRPr="00D14250">
              <w:t>: 5</w:t>
            </w:r>
            <w:r w:rsidR="001A35D6">
              <w:t>5</w:t>
            </w:r>
            <w:r w:rsidRPr="00D14250">
              <w:t xml:space="preserve"> countries</w:t>
            </w:r>
          </w:p>
        </w:tc>
        <w:tc>
          <w:tcPr>
            <w:tcW w:w="2282" w:type="dxa"/>
            <w:tcBorders>
              <w:top w:val="nil"/>
              <w:left w:val="nil"/>
              <w:bottom w:val="nil"/>
              <w:right w:val="nil"/>
            </w:tcBorders>
            <w:shd w:val="clear" w:color="auto" w:fill="auto"/>
          </w:tcPr>
          <w:p w:rsidR="00E97025" w:rsidRPr="00D14250" w:rsidRDefault="00E97025" w:rsidP="0056514E">
            <w:pPr>
              <w:suppressAutoHyphens w:val="0"/>
              <w:spacing w:before="40" w:after="120"/>
              <w:ind w:left="538" w:right="113" w:hanging="425"/>
            </w:pPr>
            <w:r w:rsidRPr="00D14250">
              <w:t>2.b.</w:t>
            </w:r>
            <w:r w:rsidRPr="00D14250">
              <w:tab/>
              <w:t>Transport trends and economics - Euro-Asian transport links</w:t>
            </w:r>
          </w:p>
          <w:p w:rsidR="00E97025" w:rsidRPr="00D14250" w:rsidRDefault="00E97025" w:rsidP="00B83E9A">
            <w:pPr>
              <w:suppressAutoHyphens w:val="0"/>
              <w:spacing w:line="240" w:lineRule="auto"/>
              <w:ind w:right="113"/>
            </w:pPr>
          </w:p>
        </w:tc>
        <w:tc>
          <w:tcPr>
            <w:tcW w:w="4279" w:type="dxa"/>
            <w:tcBorders>
              <w:top w:val="nil"/>
              <w:left w:val="nil"/>
              <w:bottom w:val="nil"/>
              <w:right w:val="nil"/>
            </w:tcBorders>
            <w:shd w:val="clear" w:color="auto" w:fill="auto"/>
          </w:tcPr>
          <w:p w:rsidR="00E97025" w:rsidRPr="00D14250" w:rsidRDefault="00E97025" w:rsidP="0056514E">
            <w:pPr>
              <w:suppressAutoHyphens w:val="0"/>
              <w:spacing w:before="40" w:after="120"/>
              <w:ind w:left="113" w:right="113"/>
            </w:pPr>
            <w:r w:rsidRPr="00D14250">
              <w:t>EA 2.b. Strengthened cooperation on the development of Euro-Asian transport links.</w:t>
            </w:r>
          </w:p>
          <w:p w:rsidR="00E97025" w:rsidRPr="00D14250" w:rsidRDefault="00E97025" w:rsidP="0056514E">
            <w:pPr>
              <w:suppressAutoHyphens w:val="0"/>
              <w:spacing w:before="40" w:after="120"/>
              <w:ind w:left="113" w:right="113"/>
            </w:pPr>
            <w:r w:rsidRPr="00D14250">
              <w:t>IA 2.b. (a) Progress made in the establishment of a mechanism for cooperation for development of Euro-Asian Transport Links (EATL)</w:t>
            </w:r>
          </w:p>
          <w:p w:rsidR="00E97025" w:rsidRPr="00D14250" w:rsidRDefault="00E97025" w:rsidP="00804492">
            <w:pPr>
              <w:suppressAutoHyphens w:val="0"/>
              <w:spacing w:before="40" w:after="120"/>
              <w:ind w:left="113" w:right="113"/>
            </w:pPr>
          </w:p>
        </w:tc>
      </w:tr>
      <w:tr w:rsidR="00E97025" w:rsidRPr="00D14250" w:rsidTr="00865438">
        <w:trPr>
          <w:cantSplit/>
        </w:trPr>
        <w:tc>
          <w:tcPr>
            <w:tcW w:w="3139"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rsidR="008A4B3A" w:rsidRDefault="00E97025" w:rsidP="0056514E">
            <w:pPr>
              <w:suppressAutoHyphens w:val="0"/>
              <w:spacing w:before="40" w:after="120"/>
              <w:ind w:left="538" w:right="113" w:hanging="425"/>
            </w:pPr>
            <w:r w:rsidRPr="00D14250">
              <w:t>4.b.</w:t>
            </w:r>
            <w:r w:rsidRPr="00D14250">
              <w:tab/>
              <w:t>Rail transport and</w:t>
            </w:r>
          </w:p>
          <w:p w:rsidR="00E97025" w:rsidRPr="00D14250" w:rsidRDefault="00E97025" w:rsidP="003E636D">
            <w:pPr>
              <w:suppressAutoHyphens w:val="0"/>
              <w:spacing w:before="40" w:after="120"/>
              <w:ind w:left="538" w:right="113" w:hanging="425"/>
            </w:pPr>
            <w:r w:rsidRPr="00D14250">
              <w:t>14.b. Road transport (TEM and TER projects)</w:t>
            </w:r>
          </w:p>
        </w:tc>
        <w:tc>
          <w:tcPr>
            <w:tcW w:w="4279" w:type="dxa"/>
            <w:tcBorders>
              <w:top w:val="nil"/>
              <w:left w:val="nil"/>
              <w:bottom w:val="nil"/>
              <w:right w:val="nil"/>
            </w:tcBorders>
            <w:shd w:val="clear" w:color="auto" w:fill="auto"/>
          </w:tcPr>
          <w:p w:rsidR="00E97025" w:rsidRPr="00D14250" w:rsidRDefault="00E97025" w:rsidP="0056514E">
            <w:pPr>
              <w:suppressAutoHyphens w:val="0"/>
              <w:spacing w:before="40" w:after="120"/>
              <w:ind w:left="113" w:right="113"/>
            </w:pPr>
            <w:r w:rsidRPr="00D14250">
              <w:t>EA 4.b</w:t>
            </w:r>
            <w:proofErr w:type="gramStart"/>
            <w:r w:rsidRPr="00D14250">
              <w:t>./</w:t>
            </w:r>
            <w:proofErr w:type="gramEnd"/>
            <w:r w:rsidRPr="00D14250">
              <w:t xml:space="preserve">14.b. Increased capacity of ECE countries participating in the TEM and TER projects. </w:t>
            </w:r>
          </w:p>
          <w:p w:rsidR="00E97025" w:rsidRPr="00D14250" w:rsidRDefault="00E97025" w:rsidP="0056514E">
            <w:pPr>
              <w:suppressAutoHyphens w:val="0"/>
              <w:spacing w:before="40" w:after="120"/>
              <w:ind w:left="113" w:right="113"/>
            </w:pPr>
            <w:r w:rsidRPr="00D14250">
              <w:t>IA 3/6 (a) Number of ECE countries participating in TEM and TER projects.</w:t>
            </w:r>
          </w:p>
          <w:p w:rsidR="00E97025" w:rsidRPr="00D14250" w:rsidRDefault="00E97025" w:rsidP="0056514E">
            <w:pPr>
              <w:suppressAutoHyphens w:val="0"/>
              <w:spacing w:before="40" w:after="120"/>
              <w:ind w:left="113" w:right="113"/>
            </w:pPr>
            <w:r w:rsidRPr="00D14250">
              <w:rPr>
                <w:i/>
              </w:rPr>
              <w:t>Performance measures</w:t>
            </w:r>
            <w:r w:rsidRPr="00D14250">
              <w:t>:</w:t>
            </w:r>
            <w:r w:rsidRPr="00D14250">
              <w:br/>
              <w:t>Baseline 201</w:t>
            </w:r>
            <w:r w:rsidR="00DC6910">
              <w:t>4–2015</w:t>
            </w:r>
            <w:r w:rsidRPr="00D14250">
              <w:t xml:space="preserve">: </w:t>
            </w:r>
            <w:r w:rsidR="00DC6910">
              <w:t>12 (TEM)</w:t>
            </w:r>
            <w:r w:rsidRPr="00D14250">
              <w:t xml:space="preserve"> + </w:t>
            </w:r>
            <w:r w:rsidR="00DC6910">
              <w:t>14 (TER)</w:t>
            </w:r>
            <w:r w:rsidRPr="00D14250">
              <w:t xml:space="preserve"> countries</w:t>
            </w:r>
            <w:r w:rsidRPr="00D14250">
              <w:br/>
              <w:t>Target 201</w:t>
            </w:r>
            <w:r w:rsidR="00DC6910">
              <w:t>6</w:t>
            </w:r>
            <w:r w:rsidRPr="00D14250">
              <w:t>–201</w:t>
            </w:r>
            <w:r w:rsidR="00DC6910">
              <w:t>7</w:t>
            </w:r>
            <w:r w:rsidRPr="00D14250">
              <w:t xml:space="preserve">: </w:t>
            </w:r>
            <w:r w:rsidR="00DC6910">
              <w:t>12 (TEM)</w:t>
            </w:r>
            <w:r w:rsidRPr="00D14250">
              <w:t xml:space="preserve"> + </w:t>
            </w:r>
            <w:r w:rsidR="00DC6910">
              <w:t>15 (TER)</w:t>
            </w:r>
            <w:r w:rsidR="00114CB4">
              <w:t xml:space="preserve"> </w:t>
            </w:r>
            <w:r w:rsidRPr="00D14250">
              <w:t>countries</w:t>
            </w:r>
          </w:p>
        </w:tc>
      </w:tr>
      <w:tr w:rsidR="00E97025" w:rsidRPr="00D14250" w:rsidTr="008F3198">
        <w:tc>
          <w:tcPr>
            <w:tcW w:w="3139" w:type="dxa"/>
            <w:tcBorders>
              <w:top w:val="nil"/>
              <w:left w:val="nil"/>
              <w:bottom w:val="nil"/>
              <w:right w:val="nil"/>
            </w:tcBorders>
            <w:shd w:val="clear" w:color="auto" w:fill="auto"/>
          </w:tcPr>
          <w:p w:rsidR="00E97025" w:rsidRPr="00D14250" w:rsidRDefault="00E97025" w:rsidP="0056514E">
            <w:pPr>
              <w:suppressAutoHyphens w:val="0"/>
              <w:spacing w:before="40" w:after="120"/>
              <w:ind w:right="113"/>
              <w:rPr>
                <w:b/>
              </w:rPr>
            </w:pPr>
            <w:r w:rsidRPr="00D14250">
              <w:rPr>
                <w:b/>
              </w:rPr>
              <w:t xml:space="preserve">4. EA (d). </w:t>
            </w:r>
            <w:r w:rsidR="00DE52B6" w:rsidRPr="00DE52B6">
              <w:t>Strengthened capacity to implement relevant ECE legal instruments, norms and standards, in particular in the countries of Eastern and South-Eastern Europe, the Caucasus and Central Asia</w:t>
            </w:r>
            <w:r w:rsidRPr="00D14250">
              <w:rPr>
                <w:b/>
              </w:rPr>
              <w:t>.</w:t>
            </w:r>
          </w:p>
        </w:tc>
        <w:tc>
          <w:tcPr>
            <w:tcW w:w="2282" w:type="dxa"/>
            <w:tcBorders>
              <w:top w:val="nil"/>
              <w:left w:val="nil"/>
              <w:bottom w:val="nil"/>
              <w:right w:val="nil"/>
            </w:tcBorders>
            <w:shd w:val="clear" w:color="auto" w:fill="auto"/>
          </w:tcPr>
          <w:p w:rsidR="00E97025" w:rsidRPr="00D14250" w:rsidRDefault="00E97025" w:rsidP="0056514E">
            <w:pPr>
              <w:suppressAutoHyphens w:val="0"/>
              <w:spacing w:before="40" w:after="120"/>
              <w:ind w:left="538" w:right="113" w:hanging="425"/>
            </w:pPr>
            <w:r w:rsidRPr="00D14250">
              <w:t>All clusters</w:t>
            </w:r>
          </w:p>
        </w:tc>
        <w:tc>
          <w:tcPr>
            <w:tcW w:w="4279" w:type="dxa"/>
            <w:tcBorders>
              <w:top w:val="nil"/>
              <w:left w:val="nil"/>
              <w:bottom w:val="nil"/>
              <w:right w:val="nil"/>
            </w:tcBorders>
            <w:shd w:val="clear" w:color="auto" w:fill="auto"/>
          </w:tcPr>
          <w:p w:rsidR="00E97025" w:rsidRPr="00D14250" w:rsidRDefault="00E97025" w:rsidP="0056514E">
            <w:pPr>
              <w:suppressAutoHyphens w:val="0"/>
              <w:spacing w:before="40" w:after="120"/>
              <w:ind w:left="113" w:right="113"/>
            </w:pPr>
            <w:r w:rsidRPr="00D14250">
              <w:t>EA (d) Increased impact of ECE transport related capacity-building activities.</w:t>
            </w:r>
          </w:p>
          <w:p w:rsidR="00E97025" w:rsidRPr="00D14250" w:rsidRDefault="00E97025" w:rsidP="0056514E">
            <w:pPr>
              <w:suppressAutoHyphens w:val="0"/>
              <w:spacing w:before="40" w:after="120"/>
              <w:ind w:left="113" w:right="113"/>
            </w:pPr>
            <w:r w:rsidRPr="00D14250">
              <w:t>IA (d) Percentage of positive ranking (“useful” and “very useful”) of organized capacity-building activities by all participants</w:t>
            </w:r>
          </w:p>
          <w:p w:rsidR="00E97025" w:rsidRPr="00D14250" w:rsidRDefault="00E97025" w:rsidP="00804492">
            <w:pPr>
              <w:suppressAutoHyphens w:val="0"/>
              <w:spacing w:before="40" w:after="120"/>
              <w:ind w:left="113" w:right="113"/>
            </w:pPr>
            <w:r w:rsidRPr="00D14250">
              <w:rPr>
                <w:i/>
              </w:rPr>
              <w:t>Performance measures</w:t>
            </w:r>
            <w:r w:rsidRPr="00D14250">
              <w:t>:</w:t>
            </w:r>
            <w:r w:rsidRPr="00D14250">
              <w:br/>
            </w:r>
            <w:r w:rsidR="00692160" w:rsidRPr="00D14250">
              <w:t>Baseline 201</w:t>
            </w:r>
            <w:r w:rsidR="00804492">
              <w:t>4</w:t>
            </w:r>
            <w:r w:rsidR="00CE6E9B" w:rsidRPr="00D14250">
              <w:t>–</w:t>
            </w:r>
            <w:r w:rsidR="00692160" w:rsidRPr="00D14250">
              <w:t>201</w:t>
            </w:r>
            <w:r w:rsidR="00804492">
              <w:t>5</w:t>
            </w:r>
            <w:r w:rsidRPr="00D14250">
              <w:t>: 80 per</w:t>
            </w:r>
            <w:r w:rsidR="008F3198" w:rsidRPr="00D14250">
              <w:t xml:space="preserve"> </w:t>
            </w:r>
            <w:r w:rsidRPr="00D14250">
              <w:t>cent</w:t>
            </w:r>
            <w:r w:rsidRPr="00D14250">
              <w:br/>
              <w:t>Target 201</w:t>
            </w:r>
            <w:r w:rsidR="00804492">
              <w:t>6</w:t>
            </w:r>
            <w:r w:rsidRPr="00D14250">
              <w:t>–201</w:t>
            </w:r>
            <w:r w:rsidR="00804492">
              <w:t>7</w:t>
            </w:r>
            <w:r w:rsidRPr="00D14250">
              <w:t xml:space="preserve">: </w:t>
            </w:r>
            <w:r w:rsidR="00804492">
              <w:t>N/A</w:t>
            </w:r>
          </w:p>
        </w:tc>
      </w:tr>
      <w:tr w:rsidR="00E97025" w:rsidRPr="00D14250" w:rsidTr="008F3198">
        <w:tc>
          <w:tcPr>
            <w:tcW w:w="3139" w:type="dxa"/>
            <w:tcBorders>
              <w:top w:val="nil"/>
              <w:left w:val="nil"/>
              <w:bottom w:val="nil"/>
              <w:right w:val="nil"/>
            </w:tcBorders>
            <w:shd w:val="clear" w:color="auto" w:fill="auto"/>
          </w:tcPr>
          <w:p w:rsidR="00E97025" w:rsidRPr="00D14250" w:rsidRDefault="00E97025" w:rsidP="008F4C87">
            <w:pPr>
              <w:suppressAutoHyphens w:val="0"/>
              <w:spacing w:before="40" w:after="120"/>
              <w:ind w:right="113"/>
            </w:pPr>
            <w:r w:rsidRPr="00D14250">
              <w:t>IA (d) (</w:t>
            </w:r>
            <w:proofErr w:type="spellStart"/>
            <w:r w:rsidRPr="00D14250">
              <w:t>i</w:t>
            </w:r>
            <w:proofErr w:type="spellEnd"/>
            <w:r w:rsidRPr="00D14250">
              <w:t xml:space="preserve">) </w:t>
            </w:r>
            <w:r w:rsidR="00DE52B6" w:rsidRPr="00DE52B6">
              <w:t>Number of capacity building activities on transport</w:t>
            </w:r>
          </w:p>
          <w:p w:rsidR="00E97025" w:rsidRPr="00D14250" w:rsidRDefault="00E97025" w:rsidP="00BD323F">
            <w:pPr>
              <w:suppressAutoHyphens w:val="0"/>
              <w:spacing w:before="40" w:after="120"/>
              <w:ind w:right="113"/>
              <w:rPr>
                <w:b/>
              </w:rPr>
            </w:pPr>
            <w:r w:rsidRPr="00D14250">
              <w:rPr>
                <w:i/>
              </w:rPr>
              <w:t>Performance measures</w:t>
            </w:r>
            <w:r w:rsidRPr="00D14250">
              <w:br/>
              <w:t>Baseline 201</w:t>
            </w:r>
            <w:r w:rsidR="00DE52B6">
              <w:t>5</w:t>
            </w:r>
            <w:r w:rsidRPr="00D14250">
              <w:t xml:space="preserve">: </w:t>
            </w:r>
            <w:r w:rsidR="00DE52B6">
              <w:t xml:space="preserve">- </w:t>
            </w:r>
            <w:r w:rsidRPr="00D14250">
              <w:br/>
              <w:t>Target 201</w:t>
            </w:r>
            <w:r w:rsidR="00DE52B6">
              <w:t>6</w:t>
            </w:r>
            <w:r w:rsidRPr="00D14250">
              <w:t>–201</w:t>
            </w:r>
            <w:r w:rsidR="00DE52B6">
              <w:t>7</w:t>
            </w:r>
            <w:r w:rsidRPr="00D14250">
              <w:t xml:space="preserve">: </w:t>
            </w:r>
            <w:r w:rsidR="00DE52B6">
              <w:t>29 activities</w:t>
            </w:r>
          </w:p>
        </w:tc>
        <w:tc>
          <w:tcPr>
            <w:tcW w:w="2282" w:type="dxa"/>
            <w:tcBorders>
              <w:top w:val="nil"/>
              <w:left w:val="nil"/>
              <w:bottom w:val="nil"/>
              <w:right w:val="nil"/>
            </w:tcBorders>
            <w:shd w:val="clear" w:color="auto" w:fill="auto"/>
          </w:tcPr>
          <w:p w:rsidR="00E97025" w:rsidRPr="00D14250" w:rsidRDefault="00E97025" w:rsidP="00B83E9A">
            <w:pPr>
              <w:suppressAutoHyphens w:val="0"/>
              <w:spacing w:line="240" w:lineRule="auto"/>
              <w:ind w:right="113"/>
            </w:pPr>
          </w:p>
        </w:tc>
        <w:tc>
          <w:tcPr>
            <w:tcW w:w="4279" w:type="dxa"/>
            <w:tcBorders>
              <w:top w:val="nil"/>
              <w:left w:val="nil"/>
              <w:bottom w:val="nil"/>
              <w:right w:val="nil"/>
            </w:tcBorders>
            <w:shd w:val="clear" w:color="auto" w:fill="auto"/>
          </w:tcPr>
          <w:p w:rsidR="00E97025" w:rsidRPr="00D14250" w:rsidRDefault="00E97025" w:rsidP="00811388">
            <w:pPr>
              <w:suppressAutoHyphens w:val="0"/>
              <w:spacing w:before="40" w:after="120" w:line="240" w:lineRule="auto"/>
              <w:ind w:left="386" w:right="113"/>
            </w:pPr>
          </w:p>
        </w:tc>
      </w:tr>
      <w:tr w:rsidR="00E97025" w:rsidRPr="00D14250" w:rsidTr="008F3198">
        <w:trPr>
          <w:trHeight w:val="1715"/>
        </w:trPr>
        <w:tc>
          <w:tcPr>
            <w:tcW w:w="3139" w:type="dxa"/>
            <w:tcBorders>
              <w:top w:val="nil"/>
              <w:bottom w:val="single" w:sz="12" w:space="0" w:color="auto"/>
            </w:tcBorders>
            <w:shd w:val="clear" w:color="auto" w:fill="auto"/>
          </w:tcPr>
          <w:p w:rsidR="00E97025" w:rsidRPr="00D14250" w:rsidRDefault="00E97025" w:rsidP="001C6C6B">
            <w:pPr>
              <w:suppressAutoHyphens w:val="0"/>
              <w:spacing w:before="40" w:after="120"/>
              <w:ind w:right="113"/>
            </w:pPr>
            <w:r w:rsidRPr="00D14250">
              <w:t xml:space="preserve">IA (d) (ii) </w:t>
            </w:r>
            <w:r w:rsidR="00DE52B6" w:rsidRPr="00DE52B6">
              <w:t>Increased number of ECE member States having established road safety improvement targets</w:t>
            </w:r>
          </w:p>
          <w:p w:rsidR="00E97025" w:rsidRPr="00D14250" w:rsidRDefault="00E97025" w:rsidP="00BD323F">
            <w:pPr>
              <w:suppressAutoHyphens w:val="0"/>
              <w:spacing w:before="40" w:after="120"/>
              <w:ind w:right="113"/>
            </w:pPr>
            <w:r w:rsidRPr="00D14250">
              <w:t>Performance measures</w:t>
            </w:r>
            <w:r w:rsidRPr="00D14250">
              <w:br/>
              <w:t>Baseline 201</w:t>
            </w:r>
            <w:r w:rsidR="00DE52B6">
              <w:t>5</w:t>
            </w:r>
            <w:r w:rsidRPr="00D14250">
              <w:t>: 3</w:t>
            </w:r>
            <w:r w:rsidR="00DE52B6">
              <w:t>7</w:t>
            </w:r>
            <w:r w:rsidRPr="00D14250">
              <w:t xml:space="preserve"> countries</w:t>
            </w:r>
            <w:r w:rsidRPr="00D14250">
              <w:br/>
              <w:t>Target 201</w:t>
            </w:r>
            <w:r w:rsidR="00DE52B6">
              <w:t>6</w:t>
            </w:r>
            <w:r w:rsidRPr="00D14250">
              <w:t>–201</w:t>
            </w:r>
            <w:r w:rsidR="00DE52B6">
              <w:t>7</w:t>
            </w:r>
            <w:r w:rsidRPr="00D14250">
              <w:t xml:space="preserve">: </w:t>
            </w:r>
            <w:r w:rsidR="00DE52B6">
              <w:t>40</w:t>
            </w:r>
            <w:r w:rsidRPr="00D14250">
              <w:t xml:space="preserve"> countries</w:t>
            </w:r>
          </w:p>
        </w:tc>
        <w:tc>
          <w:tcPr>
            <w:tcW w:w="2282" w:type="dxa"/>
            <w:tcBorders>
              <w:top w:val="nil"/>
              <w:bottom w:val="single" w:sz="12" w:space="0" w:color="auto"/>
            </w:tcBorders>
            <w:shd w:val="clear" w:color="auto" w:fill="auto"/>
          </w:tcPr>
          <w:p w:rsidR="00E97025" w:rsidRPr="00D14250" w:rsidRDefault="00E97025" w:rsidP="00B83E9A">
            <w:pPr>
              <w:suppressAutoHyphens w:val="0"/>
              <w:spacing w:line="240" w:lineRule="auto"/>
              <w:ind w:right="113"/>
            </w:pPr>
          </w:p>
        </w:tc>
        <w:tc>
          <w:tcPr>
            <w:tcW w:w="4279" w:type="dxa"/>
            <w:tcBorders>
              <w:top w:val="nil"/>
              <w:bottom w:val="single" w:sz="12" w:space="0" w:color="auto"/>
            </w:tcBorders>
            <w:shd w:val="clear" w:color="auto" w:fill="auto"/>
          </w:tcPr>
          <w:p w:rsidR="00E97025" w:rsidRPr="00D14250" w:rsidRDefault="00E97025" w:rsidP="003658D9">
            <w:pPr>
              <w:suppressAutoHyphens w:val="0"/>
              <w:spacing w:line="240" w:lineRule="auto"/>
              <w:ind w:left="383" w:right="113"/>
            </w:pPr>
          </w:p>
        </w:tc>
      </w:tr>
    </w:tbl>
    <w:p w:rsidR="00B83E9A" w:rsidRPr="00D14250" w:rsidRDefault="00B83E9A" w:rsidP="003C538C">
      <w:pPr>
        <w:spacing w:before="240"/>
        <w:ind w:left="1134" w:right="1134"/>
        <w:jc w:val="center"/>
      </w:pPr>
      <w:r w:rsidRPr="00D14250">
        <w:rPr>
          <w:u w:val="single"/>
        </w:rPr>
        <w:tab/>
      </w:r>
      <w:r w:rsidRPr="00D14250">
        <w:rPr>
          <w:u w:val="single"/>
        </w:rPr>
        <w:tab/>
      </w:r>
      <w:r w:rsidRPr="00D14250">
        <w:rPr>
          <w:u w:val="single"/>
        </w:rPr>
        <w:tab/>
      </w:r>
    </w:p>
    <w:sectPr w:rsidR="00B83E9A" w:rsidRPr="00D14250" w:rsidSect="00B83E9A">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BD3" w:rsidRDefault="00022BD3"/>
  </w:endnote>
  <w:endnote w:type="continuationSeparator" w:id="0">
    <w:p w:rsidR="00022BD3" w:rsidRDefault="00022BD3"/>
  </w:endnote>
  <w:endnote w:type="continuationNotice" w:id="1">
    <w:p w:rsidR="00022BD3" w:rsidRDefault="00022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02" w:rsidRPr="00B83E9A" w:rsidRDefault="00B05702" w:rsidP="00B83E9A">
    <w:pPr>
      <w:pStyle w:val="Footer"/>
      <w:tabs>
        <w:tab w:val="right" w:pos="9638"/>
      </w:tabs>
      <w:rPr>
        <w:sz w:val="18"/>
      </w:rPr>
    </w:pPr>
    <w:r w:rsidRPr="00B83E9A">
      <w:rPr>
        <w:b/>
        <w:sz w:val="18"/>
      </w:rPr>
      <w:fldChar w:fldCharType="begin"/>
    </w:r>
    <w:r w:rsidRPr="00B83E9A">
      <w:rPr>
        <w:b/>
        <w:sz w:val="18"/>
      </w:rPr>
      <w:instrText xml:space="preserve"> PAGE  \* MERGEFORMAT </w:instrText>
    </w:r>
    <w:r w:rsidRPr="00B83E9A">
      <w:rPr>
        <w:b/>
        <w:sz w:val="18"/>
      </w:rPr>
      <w:fldChar w:fldCharType="separate"/>
    </w:r>
    <w:r w:rsidR="002907F5">
      <w:rPr>
        <w:b/>
        <w:noProof/>
        <w:sz w:val="18"/>
      </w:rPr>
      <w:t>16</w:t>
    </w:r>
    <w:r w:rsidRPr="00B83E9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02" w:rsidRPr="00B83E9A" w:rsidRDefault="00B05702" w:rsidP="00B83E9A">
    <w:pPr>
      <w:pStyle w:val="Footer"/>
      <w:tabs>
        <w:tab w:val="right" w:pos="9638"/>
      </w:tabs>
      <w:rPr>
        <w:b/>
        <w:sz w:val="18"/>
      </w:rPr>
    </w:pPr>
    <w:r>
      <w:tab/>
    </w:r>
    <w:r w:rsidRPr="00B83E9A">
      <w:rPr>
        <w:b/>
        <w:sz w:val="18"/>
      </w:rPr>
      <w:fldChar w:fldCharType="begin"/>
    </w:r>
    <w:r w:rsidRPr="00B83E9A">
      <w:rPr>
        <w:b/>
        <w:sz w:val="18"/>
      </w:rPr>
      <w:instrText xml:space="preserve"> PAGE  \* MERGEFORMAT </w:instrText>
    </w:r>
    <w:r w:rsidRPr="00B83E9A">
      <w:rPr>
        <w:b/>
        <w:sz w:val="18"/>
      </w:rPr>
      <w:fldChar w:fldCharType="separate"/>
    </w:r>
    <w:r w:rsidR="002907F5">
      <w:rPr>
        <w:b/>
        <w:noProof/>
        <w:sz w:val="18"/>
      </w:rPr>
      <w:t>17</w:t>
    </w:r>
    <w:r w:rsidRPr="00B83E9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BD3" w:rsidRPr="000B175B" w:rsidRDefault="00022BD3" w:rsidP="000B175B">
      <w:pPr>
        <w:tabs>
          <w:tab w:val="right" w:pos="2155"/>
        </w:tabs>
        <w:spacing w:after="80"/>
        <w:ind w:left="680"/>
        <w:rPr>
          <w:u w:val="single"/>
        </w:rPr>
      </w:pPr>
      <w:r>
        <w:rPr>
          <w:u w:val="single"/>
        </w:rPr>
        <w:tab/>
      </w:r>
    </w:p>
  </w:footnote>
  <w:footnote w:type="continuationSeparator" w:id="0">
    <w:p w:rsidR="00022BD3" w:rsidRPr="00FC68B7" w:rsidRDefault="00022BD3" w:rsidP="00FC68B7">
      <w:pPr>
        <w:tabs>
          <w:tab w:val="left" w:pos="2155"/>
        </w:tabs>
        <w:spacing w:after="80"/>
        <w:ind w:left="680"/>
        <w:rPr>
          <w:u w:val="single"/>
        </w:rPr>
      </w:pPr>
      <w:r>
        <w:rPr>
          <w:u w:val="single"/>
        </w:rPr>
        <w:tab/>
      </w:r>
    </w:p>
  </w:footnote>
  <w:footnote w:type="continuationNotice" w:id="1">
    <w:p w:rsidR="00022BD3" w:rsidRDefault="00022BD3"/>
  </w:footnote>
  <w:footnote w:id="2">
    <w:p w:rsidR="00B05702" w:rsidRPr="000069B8" w:rsidRDefault="00B05702" w:rsidP="000069B8">
      <w:pPr>
        <w:pStyle w:val="FootnoteText"/>
        <w:widowControl w:val="0"/>
        <w:tabs>
          <w:tab w:val="clear" w:pos="1021"/>
          <w:tab w:val="right" w:pos="1020"/>
        </w:tabs>
        <w:rPr>
          <w:lang w:val="en-US"/>
        </w:rPr>
      </w:pPr>
      <w:r>
        <w:tab/>
      </w:r>
      <w:r>
        <w:rPr>
          <w:rStyle w:val="FootnoteReference"/>
        </w:rPr>
        <w:footnoteRef/>
      </w:r>
      <w:r>
        <w:tab/>
      </w:r>
      <w:r w:rsidRPr="00D93B4E">
        <w:t xml:space="preserve">European Agreement </w:t>
      </w:r>
      <w:r>
        <w:t>c</w:t>
      </w:r>
      <w:r w:rsidRPr="00D93B4E">
        <w:t>oncerning the International Carriage of Dangerous Goods by Road</w:t>
      </w:r>
      <w:r>
        <w:t xml:space="preserve"> </w:t>
      </w:r>
    </w:p>
  </w:footnote>
  <w:footnote w:id="3">
    <w:p w:rsidR="00B05702" w:rsidRPr="000069B8" w:rsidRDefault="00B05702" w:rsidP="000069B8">
      <w:pPr>
        <w:pStyle w:val="FootnoteText"/>
        <w:widowControl w:val="0"/>
        <w:tabs>
          <w:tab w:val="clear" w:pos="1021"/>
          <w:tab w:val="right" w:pos="1020"/>
        </w:tabs>
        <w:rPr>
          <w:lang w:val="en-US"/>
        </w:rPr>
      </w:pPr>
      <w:r>
        <w:tab/>
      </w:r>
      <w:r>
        <w:rPr>
          <w:rStyle w:val="FootnoteReference"/>
        </w:rPr>
        <w:footnoteRef/>
      </w:r>
      <w:r>
        <w:tab/>
      </w:r>
      <w:r w:rsidRPr="00D93B4E">
        <w:t>Regulations concerning the International Carriage of Dangerous Goods by Rail</w:t>
      </w:r>
      <w:r>
        <w:t xml:space="preserve"> </w:t>
      </w:r>
    </w:p>
  </w:footnote>
  <w:footnote w:id="4">
    <w:p w:rsidR="00B05702" w:rsidRPr="000069B8" w:rsidRDefault="00B05702" w:rsidP="000069B8">
      <w:pPr>
        <w:pStyle w:val="FootnoteText"/>
        <w:widowControl w:val="0"/>
        <w:tabs>
          <w:tab w:val="clear" w:pos="1021"/>
          <w:tab w:val="right" w:pos="1020"/>
        </w:tabs>
        <w:rPr>
          <w:lang w:val="en-US"/>
        </w:rPr>
      </w:pPr>
      <w:r>
        <w:tab/>
      </w:r>
      <w:r>
        <w:rPr>
          <w:rStyle w:val="FootnoteReference"/>
        </w:rPr>
        <w:footnoteRef/>
      </w:r>
      <w:r>
        <w:tab/>
      </w:r>
      <w:r w:rsidRPr="00D93B4E">
        <w:t>European Agreement concerning the International Carriage of Dangerous Goods by Inland Waterways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02" w:rsidRPr="00B83E9A" w:rsidRDefault="00B05702">
    <w:pPr>
      <w:pStyle w:val="Header"/>
    </w:pPr>
    <w:r>
      <w:t>ECE/TRANS/201</w:t>
    </w:r>
    <w:r w:rsidR="00750E3F">
      <w:t>6</w:t>
    </w:r>
    <w:r>
      <w:t>/</w:t>
    </w:r>
    <w:r w:rsidR="003E636D">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02" w:rsidRPr="00B83E9A" w:rsidRDefault="00B05702" w:rsidP="00B83E9A">
    <w:pPr>
      <w:pStyle w:val="Header"/>
      <w:jc w:val="right"/>
    </w:pPr>
    <w:r>
      <w:t>ECE/TRANS/201</w:t>
    </w:r>
    <w:r w:rsidR="00B5040D">
      <w:t>6</w:t>
    </w:r>
    <w:r>
      <w:t>/</w:t>
    </w:r>
    <w:r w:rsidR="003E636D">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425EF5"/>
    <w:multiLevelType w:val="hybridMultilevel"/>
    <w:tmpl w:val="7A0E07DC"/>
    <w:lvl w:ilvl="0" w:tplc="6E9AA0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8676D3"/>
    <w:multiLevelType w:val="hybridMultilevel"/>
    <w:tmpl w:val="B0A6664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1"/>
  </w:num>
  <w:num w:numId="18">
    <w:abstractNumId w:val="22"/>
  </w:num>
  <w:num w:numId="19">
    <w:abstractNumId w:val="20"/>
  </w:num>
  <w:num w:numId="20">
    <w:abstractNumId w:val="12"/>
  </w:num>
  <w:num w:numId="21">
    <w:abstractNumId w:val="11"/>
  </w:num>
  <w:num w:numId="22">
    <w:abstractNumId w:val="17"/>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3E9A"/>
    <w:rsid w:val="00002A7D"/>
    <w:rsid w:val="00002E74"/>
    <w:rsid w:val="000038A8"/>
    <w:rsid w:val="000042B7"/>
    <w:rsid w:val="00006790"/>
    <w:rsid w:val="000069B8"/>
    <w:rsid w:val="00022BD3"/>
    <w:rsid w:val="00025CF6"/>
    <w:rsid w:val="00027624"/>
    <w:rsid w:val="00032CAE"/>
    <w:rsid w:val="000409AD"/>
    <w:rsid w:val="00043151"/>
    <w:rsid w:val="00045178"/>
    <w:rsid w:val="00046A2D"/>
    <w:rsid w:val="00050F6B"/>
    <w:rsid w:val="000510FC"/>
    <w:rsid w:val="00060156"/>
    <w:rsid w:val="00065EF1"/>
    <w:rsid w:val="00066806"/>
    <w:rsid w:val="000678CD"/>
    <w:rsid w:val="00072C8C"/>
    <w:rsid w:val="00076D81"/>
    <w:rsid w:val="00081CE0"/>
    <w:rsid w:val="0008478A"/>
    <w:rsid w:val="00084D30"/>
    <w:rsid w:val="00090320"/>
    <w:rsid w:val="00091BED"/>
    <w:rsid w:val="000931C0"/>
    <w:rsid w:val="000A2E09"/>
    <w:rsid w:val="000B175B"/>
    <w:rsid w:val="000B25EE"/>
    <w:rsid w:val="000B3A0F"/>
    <w:rsid w:val="000C5876"/>
    <w:rsid w:val="000D79BF"/>
    <w:rsid w:val="000E0415"/>
    <w:rsid w:val="000F7715"/>
    <w:rsid w:val="00106EE2"/>
    <w:rsid w:val="00114CB4"/>
    <w:rsid w:val="00115A06"/>
    <w:rsid w:val="00123E2A"/>
    <w:rsid w:val="001252F5"/>
    <w:rsid w:val="00127229"/>
    <w:rsid w:val="001309F8"/>
    <w:rsid w:val="00134DD2"/>
    <w:rsid w:val="00137145"/>
    <w:rsid w:val="00137754"/>
    <w:rsid w:val="00145050"/>
    <w:rsid w:val="00145EE3"/>
    <w:rsid w:val="00156B99"/>
    <w:rsid w:val="00166124"/>
    <w:rsid w:val="00183C0C"/>
    <w:rsid w:val="00184DDA"/>
    <w:rsid w:val="001865D1"/>
    <w:rsid w:val="001900CD"/>
    <w:rsid w:val="0019443E"/>
    <w:rsid w:val="001948D6"/>
    <w:rsid w:val="00194D04"/>
    <w:rsid w:val="001A0452"/>
    <w:rsid w:val="001A35D6"/>
    <w:rsid w:val="001B4B04"/>
    <w:rsid w:val="001B5875"/>
    <w:rsid w:val="001C2C40"/>
    <w:rsid w:val="001C4056"/>
    <w:rsid w:val="001C4B9C"/>
    <w:rsid w:val="001C6663"/>
    <w:rsid w:val="001C6C6B"/>
    <w:rsid w:val="001C7895"/>
    <w:rsid w:val="001D13A1"/>
    <w:rsid w:val="001D26DF"/>
    <w:rsid w:val="001E2B22"/>
    <w:rsid w:val="001E4856"/>
    <w:rsid w:val="001E5882"/>
    <w:rsid w:val="001F142E"/>
    <w:rsid w:val="001F1599"/>
    <w:rsid w:val="001F19C4"/>
    <w:rsid w:val="001F1EBA"/>
    <w:rsid w:val="002043F0"/>
    <w:rsid w:val="00207402"/>
    <w:rsid w:val="00211E0B"/>
    <w:rsid w:val="00212BCC"/>
    <w:rsid w:val="002312B1"/>
    <w:rsid w:val="00232575"/>
    <w:rsid w:val="00243923"/>
    <w:rsid w:val="00247258"/>
    <w:rsid w:val="0025119D"/>
    <w:rsid w:val="00254C66"/>
    <w:rsid w:val="00255001"/>
    <w:rsid w:val="0025750F"/>
    <w:rsid w:val="00257CAC"/>
    <w:rsid w:val="00264CE9"/>
    <w:rsid w:val="0026542D"/>
    <w:rsid w:val="0027237A"/>
    <w:rsid w:val="002907F5"/>
    <w:rsid w:val="002974E9"/>
    <w:rsid w:val="002A4E78"/>
    <w:rsid w:val="002A6512"/>
    <w:rsid w:val="002A7F94"/>
    <w:rsid w:val="002B109A"/>
    <w:rsid w:val="002B2B80"/>
    <w:rsid w:val="002B2BC6"/>
    <w:rsid w:val="002B5AF2"/>
    <w:rsid w:val="002C00B4"/>
    <w:rsid w:val="002C0C51"/>
    <w:rsid w:val="002C6C26"/>
    <w:rsid w:val="002C6D45"/>
    <w:rsid w:val="002D08CE"/>
    <w:rsid w:val="002D6E53"/>
    <w:rsid w:val="002D7B77"/>
    <w:rsid w:val="002F046D"/>
    <w:rsid w:val="00301764"/>
    <w:rsid w:val="0031396A"/>
    <w:rsid w:val="003229D8"/>
    <w:rsid w:val="00322C9D"/>
    <w:rsid w:val="003234ED"/>
    <w:rsid w:val="003246C7"/>
    <w:rsid w:val="00325C44"/>
    <w:rsid w:val="003266A3"/>
    <w:rsid w:val="00327DE0"/>
    <w:rsid w:val="0033149D"/>
    <w:rsid w:val="00335BED"/>
    <w:rsid w:val="00336C97"/>
    <w:rsid w:val="00337F88"/>
    <w:rsid w:val="003407BB"/>
    <w:rsid w:val="00342432"/>
    <w:rsid w:val="00342606"/>
    <w:rsid w:val="003477E7"/>
    <w:rsid w:val="0035223F"/>
    <w:rsid w:val="00352D4B"/>
    <w:rsid w:val="00353ECC"/>
    <w:rsid w:val="0035638C"/>
    <w:rsid w:val="00356CB4"/>
    <w:rsid w:val="003658D9"/>
    <w:rsid w:val="003746B7"/>
    <w:rsid w:val="00386D31"/>
    <w:rsid w:val="0039177C"/>
    <w:rsid w:val="003A39DB"/>
    <w:rsid w:val="003A46BB"/>
    <w:rsid w:val="003A4EC7"/>
    <w:rsid w:val="003A70F0"/>
    <w:rsid w:val="003A7295"/>
    <w:rsid w:val="003B1F60"/>
    <w:rsid w:val="003B6C12"/>
    <w:rsid w:val="003C2CC4"/>
    <w:rsid w:val="003C538C"/>
    <w:rsid w:val="003D4B23"/>
    <w:rsid w:val="003E241C"/>
    <w:rsid w:val="003E278A"/>
    <w:rsid w:val="003E636D"/>
    <w:rsid w:val="00407766"/>
    <w:rsid w:val="00412BBD"/>
    <w:rsid w:val="00413520"/>
    <w:rsid w:val="00413626"/>
    <w:rsid w:val="004155CB"/>
    <w:rsid w:val="004252C2"/>
    <w:rsid w:val="004325CB"/>
    <w:rsid w:val="004352F7"/>
    <w:rsid w:val="00435432"/>
    <w:rsid w:val="0043546F"/>
    <w:rsid w:val="00435D85"/>
    <w:rsid w:val="00440A07"/>
    <w:rsid w:val="0044360D"/>
    <w:rsid w:val="00443AC9"/>
    <w:rsid w:val="0044590C"/>
    <w:rsid w:val="00455099"/>
    <w:rsid w:val="00462880"/>
    <w:rsid w:val="004658F8"/>
    <w:rsid w:val="00465F05"/>
    <w:rsid w:val="004731FC"/>
    <w:rsid w:val="0047667F"/>
    <w:rsid w:val="00476F24"/>
    <w:rsid w:val="004A0FBE"/>
    <w:rsid w:val="004A5909"/>
    <w:rsid w:val="004A6236"/>
    <w:rsid w:val="004A6650"/>
    <w:rsid w:val="004B2F96"/>
    <w:rsid w:val="004C4690"/>
    <w:rsid w:val="004C55B0"/>
    <w:rsid w:val="004E7174"/>
    <w:rsid w:val="004F06B3"/>
    <w:rsid w:val="004F6BA0"/>
    <w:rsid w:val="00503BEA"/>
    <w:rsid w:val="005107F3"/>
    <w:rsid w:val="00511975"/>
    <w:rsid w:val="00533616"/>
    <w:rsid w:val="00533FB2"/>
    <w:rsid w:val="00535742"/>
    <w:rsid w:val="00535ABA"/>
    <w:rsid w:val="0053768B"/>
    <w:rsid w:val="00540CB0"/>
    <w:rsid w:val="00541DC3"/>
    <w:rsid w:val="005420F2"/>
    <w:rsid w:val="0054285C"/>
    <w:rsid w:val="00545DB1"/>
    <w:rsid w:val="0056514E"/>
    <w:rsid w:val="00584173"/>
    <w:rsid w:val="00595520"/>
    <w:rsid w:val="005A44B9"/>
    <w:rsid w:val="005B1BA0"/>
    <w:rsid w:val="005B3DB3"/>
    <w:rsid w:val="005C7D72"/>
    <w:rsid w:val="005D0EC8"/>
    <w:rsid w:val="005D15CA"/>
    <w:rsid w:val="005D7B33"/>
    <w:rsid w:val="005E02D8"/>
    <w:rsid w:val="005F3066"/>
    <w:rsid w:val="005F3E61"/>
    <w:rsid w:val="005F4C95"/>
    <w:rsid w:val="00603F2F"/>
    <w:rsid w:val="00604DDD"/>
    <w:rsid w:val="006064FF"/>
    <w:rsid w:val="00610C5A"/>
    <w:rsid w:val="006115CC"/>
    <w:rsid w:val="00611FC4"/>
    <w:rsid w:val="006130D7"/>
    <w:rsid w:val="0061405C"/>
    <w:rsid w:val="006176FB"/>
    <w:rsid w:val="006242F0"/>
    <w:rsid w:val="00630FCB"/>
    <w:rsid w:val="006351C9"/>
    <w:rsid w:val="00640B26"/>
    <w:rsid w:val="006432BB"/>
    <w:rsid w:val="00644DE0"/>
    <w:rsid w:val="00656001"/>
    <w:rsid w:val="006770B2"/>
    <w:rsid w:val="00683DE2"/>
    <w:rsid w:val="00692160"/>
    <w:rsid w:val="006938D1"/>
    <w:rsid w:val="006940E1"/>
    <w:rsid w:val="00697582"/>
    <w:rsid w:val="006A0033"/>
    <w:rsid w:val="006A247A"/>
    <w:rsid w:val="006A3C72"/>
    <w:rsid w:val="006A7392"/>
    <w:rsid w:val="006B03A1"/>
    <w:rsid w:val="006B67D9"/>
    <w:rsid w:val="006C3A51"/>
    <w:rsid w:val="006C5535"/>
    <w:rsid w:val="006D0589"/>
    <w:rsid w:val="006D1B03"/>
    <w:rsid w:val="006D63EC"/>
    <w:rsid w:val="006E564B"/>
    <w:rsid w:val="006E7154"/>
    <w:rsid w:val="007003CD"/>
    <w:rsid w:val="0070086B"/>
    <w:rsid w:val="0070701E"/>
    <w:rsid w:val="00713783"/>
    <w:rsid w:val="007142AA"/>
    <w:rsid w:val="0072632A"/>
    <w:rsid w:val="00732BA8"/>
    <w:rsid w:val="007358E8"/>
    <w:rsid w:val="00736ECE"/>
    <w:rsid w:val="00737535"/>
    <w:rsid w:val="007444BF"/>
    <w:rsid w:val="0074533B"/>
    <w:rsid w:val="00750E3F"/>
    <w:rsid w:val="0075278C"/>
    <w:rsid w:val="007539F2"/>
    <w:rsid w:val="00761236"/>
    <w:rsid w:val="00763B65"/>
    <w:rsid w:val="007643BC"/>
    <w:rsid w:val="00771100"/>
    <w:rsid w:val="00772B05"/>
    <w:rsid w:val="0077652B"/>
    <w:rsid w:val="00777541"/>
    <w:rsid w:val="00783EB8"/>
    <w:rsid w:val="00791303"/>
    <w:rsid w:val="007959FE"/>
    <w:rsid w:val="0079723A"/>
    <w:rsid w:val="007A0AA9"/>
    <w:rsid w:val="007A0CF1"/>
    <w:rsid w:val="007A74A0"/>
    <w:rsid w:val="007B64F9"/>
    <w:rsid w:val="007B6BA5"/>
    <w:rsid w:val="007B722A"/>
    <w:rsid w:val="007C2036"/>
    <w:rsid w:val="007C3390"/>
    <w:rsid w:val="007C42D8"/>
    <w:rsid w:val="007C4F4B"/>
    <w:rsid w:val="007D257E"/>
    <w:rsid w:val="007D44C6"/>
    <w:rsid w:val="007D7362"/>
    <w:rsid w:val="007E34EB"/>
    <w:rsid w:val="007F4504"/>
    <w:rsid w:val="007F5CE2"/>
    <w:rsid w:val="007F6611"/>
    <w:rsid w:val="00804492"/>
    <w:rsid w:val="00805E7C"/>
    <w:rsid w:val="00810BAC"/>
    <w:rsid w:val="00811388"/>
    <w:rsid w:val="008175E9"/>
    <w:rsid w:val="008232D4"/>
    <w:rsid w:val="008242D7"/>
    <w:rsid w:val="0082577B"/>
    <w:rsid w:val="00827BB9"/>
    <w:rsid w:val="008324A9"/>
    <w:rsid w:val="00837E69"/>
    <w:rsid w:val="0084463C"/>
    <w:rsid w:val="00845302"/>
    <w:rsid w:val="0085507B"/>
    <w:rsid w:val="0086206B"/>
    <w:rsid w:val="00865438"/>
    <w:rsid w:val="00866893"/>
    <w:rsid w:val="00866F02"/>
    <w:rsid w:val="00867D18"/>
    <w:rsid w:val="00870A94"/>
    <w:rsid w:val="0087188A"/>
    <w:rsid w:val="00871F9A"/>
    <w:rsid w:val="00871FD5"/>
    <w:rsid w:val="0088172E"/>
    <w:rsid w:val="00881EFA"/>
    <w:rsid w:val="008879CB"/>
    <w:rsid w:val="0089056B"/>
    <w:rsid w:val="008979B1"/>
    <w:rsid w:val="008A0082"/>
    <w:rsid w:val="008A32D3"/>
    <w:rsid w:val="008A4B3A"/>
    <w:rsid w:val="008A6B25"/>
    <w:rsid w:val="008A6C4F"/>
    <w:rsid w:val="008B389E"/>
    <w:rsid w:val="008B794E"/>
    <w:rsid w:val="008C0D79"/>
    <w:rsid w:val="008C1E38"/>
    <w:rsid w:val="008C2DC8"/>
    <w:rsid w:val="008D045E"/>
    <w:rsid w:val="008D3D62"/>
    <w:rsid w:val="008D3F25"/>
    <w:rsid w:val="008D4D82"/>
    <w:rsid w:val="008E0E46"/>
    <w:rsid w:val="008E3B43"/>
    <w:rsid w:val="008E7116"/>
    <w:rsid w:val="008F143B"/>
    <w:rsid w:val="008F3198"/>
    <w:rsid w:val="008F3882"/>
    <w:rsid w:val="008F4B7C"/>
    <w:rsid w:val="008F4C87"/>
    <w:rsid w:val="0090076D"/>
    <w:rsid w:val="00900E3C"/>
    <w:rsid w:val="00901687"/>
    <w:rsid w:val="009026DD"/>
    <w:rsid w:val="00906F79"/>
    <w:rsid w:val="00913DF4"/>
    <w:rsid w:val="00914366"/>
    <w:rsid w:val="00914AD9"/>
    <w:rsid w:val="009218F8"/>
    <w:rsid w:val="009238BE"/>
    <w:rsid w:val="009249E8"/>
    <w:rsid w:val="009253E6"/>
    <w:rsid w:val="00926E47"/>
    <w:rsid w:val="009377ED"/>
    <w:rsid w:val="00942C1B"/>
    <w:rsid w:val="00947162"/>
    <w:rsid w:val="009479EA"/>
    <w:rsid w:val="00951010"/>
    <w:rsid w:val="00954DA0"/>
    <w:rsid w:val="00957176"/>
    <w:rsid w:val="009610D0"/>
    <w:rsid w:val="0096375C"/>
    <w:rsid w:val="009662E6"/>
    <w:rsid w:val="0097095E"/>
    <w:rsid w:val="0098592B"/>
    <w:rsid w:val="00985FBB"/>
    <w:rsid w:val="00985FC4"/>
    <w:rsid w:val="00990766"/>
    <w:rsid w:val="00990BB8"/>
    <w:rsid w:val="00991261"/>
    <w:rsid w:val="00994436"/>
    <w:rsid w:val="00996228"/>
    <w:rsid w:val="009964C4"/>
    <w:rsid w:val="009A54B8"/>
    <w:rsid w:val="009A7B81"/>
    <w:rsid w:val="009C03BA"/>
    <w:rsid w:val="009C20CB"/>
    <w:rsid w:val="009C2ED8"/>
    <w:rsid w:val="009C69E8"/>
    <w:rsid w:val="009D01C0"/>
    <w:rsid w:val="009D0683"/>
    <w:rsid w:val="009D6A08"/>
    <w:rsid w:val="009E03B0"/>
    <w:rsid w:val="009E0A16"/>
    <w:rsid w:val="009E227C"/>
    <w:rsid w:val="009E6CB7"/>
    <w:rsid w:val="009E7970"/>
    <w:rsid w:val="009F2EAC"/>
    <w:rsid w:val="009F57E3"/>
    <w:rsid w:val="00A10F4F"/>
    <w:rsid w:val="00A11067"/>
    <w:rsid w:val="00A1704A"/>
    <w:rsid w:val="00A203AA"/>
    <w:rsid w:val="00A20C6F"/>
    <w:rsid w:val="00A30230"/>
    <w:rsid w:val="00A3486F"/>
    <w:rsid w:val="00A425EB"/>
    <w:rsid w:val="00A43674"/>
    <w:rsid w:val="00A44632"/>
    <w:rsid w:val="00A46020"/>
    <w:rsid w:val="00A4616F"/>
    <w:rsid w:val="00A4774B"/>
    <w:rsid w:val="00A5306C"/>
    <w:rsid w:val="00A5578F"/>
    <w:rsid w:val="00A6014A"/>
    <w:rsid w:val="00A601F9"/>
    <w:rsid w:val="00A72F22"/>
    <w:rsid w:val="00A733BC"/>
    <w:rsid w:val="00A73519"/>
    <w:rsid w:val="00A748A6"/>
    <w:rsid w:val="00A76A69"/>
    <w:rsid w:val="00A81FC6"/>
    <w:rsid w:val="00A82FFF"/>
    <w:rsid w:val="00A835C6"/>
    <w:rsid w:val="00A879A4"/>
    <w:rsid w:val="00AA0FF8"/>
    <w:rsid w:val="00AA27B0"/>
    <w:rsid w:val="00AB5B84"/>
    <w:rsid w:val="00AC0F2C"/>
    <w:rsid w:val="00AC46E4"/>
    <w:rsid w:val="00AC502A"/>
    <w:rsid w:val="00AD1B9F"/>
    <w:rsid w:val="00AD5944"/>
    <w:rsid w:val="00AD7408"/>
    <w:rsid w:val="00AE168E"/>
    <w:rsid w:val="00AE4D21"/>
    <w:rsid w:val="00AF58C1"/>
    <w:rsid w:val="00AF6AB6"/>
    <w:rsid w:val="00B02DBD"/>
    <w:rsid w:val="00B04A3F"/>
    <w:rsid w:val="00B04B50"/>
    <w:rsid w:val="00B05702"/>
    <w:rsid w:val="00B05900"/>
    <w:rsid w:val="00B06643"/>
    <w:rsid w:val="00B11024"/>
    <w:rsid w:val="00B15055"/>
    <w:rsid w:val="00B229B0"/>
    <w:rsid w:val="00B30179"/>
    <w:rsid w:val="00B3388F"/>
    <w:rsid w:val="00B33C05"/>
    <w:rsid w:val="00B34BF7"/>
    <w:rsid w:val="00B36F06"/>
    <w:rsid w:val="00B37B15"/>
    <w:rsid w:val="00B4108F"/>
    <w:rsid w:val="00B45C02"/>
    <w:rsid w:val="00B5040D"/>
    <w:rsid w:val="00B52806"/>
    <w:rsid w:val="00B6555A"/>
    <w:rsid w:val="00B72935"/>
    <w:rsid w:val="00B72A1E"/>
    <w:rsid w:val="00B754D9"/>
    <w:rsid w:val="00B81E12"/>
    <w:rsid w:val="00B83E9A"/>
    <w:rsid w:val="00BA0658"/>
    <w:rsid w:val="00BA2389"/>
    <w:rsid w:val="00BA339B"/>
    <w:rsid w:val="00BB3C44"/>
    <w:rsid w:val="00BB48A0"/>
    <w:rsid w:val="00BC1E7E"/>
    <w:rsid w:val="00BC74E9"/>
    <w:rsid w:val="00BD323F"/>
    <w:rsid w:val="00BE0418"/>
    <w:rsid w:val="00BE36A9"/>
    <w:rsid w:val="00BE618E"/>
    <w:rsid w:val="00BE7BEC"/>
    <w:rsid w:val="00BF0A5A"/>
    <w:rsid w:val="00BF0E63"/>
    <w:rsid w:val="00BF12A3"/>
    <w:rsid w:val="00BF16D7"/>
    <w:rsid w:val="00BF2373"/>
    <w:rsid w:val="00BF23B3"/>
    <w:rsid w:val="00BF643E"/>
    <w:rsid w:val="00C01A33"/>
    <w:rsid w:val="00C044E2"/>
    <w:rsid w:val="00C048CB"/>
    <w:rsid w:val="00C066F3"/>
    <w:rsid w:val="00C463DD"/>
    <w:rsid w:val="00C47B31"/>
    <w:rsid w:val="00C606CB"/>
    <w:rsid w:val="00C62B72"/>
    <w:rsid w:val="00C67159"/>
    <w:rsid w:val="00C73363"/>
    <w:rsid w:val="00C745C3"/>
    <w:rsid w:val="00C751B7"/>
    <w:rsid w:val="00C96F5C"/>
    <w:rsid w:val="00CA1D53"/>
    <w:rsid w:val="00CA24A4"/>
    <w:rsid w:val="00CA2E64"/>
    <w:rsid w:val="00CA2F26"/>
    <w:rsid w:val="00CA6745"/>
    <w:rsid w:val="00CB1C8D"/>
    <w:rsid w:val="00CB348D"/>
    <w:rsid w:val="00CC265E"/>
    <w:rsid w:val="00CC44A5"/>
    <w:rsid w:val="00CC6C84"/>
    <w:rsid w:val="00CD2348"/>
    <w:rsid w:val="00CD46F5"/>
    <w:rsid w:val="00CE2510"/>
    <w:rsid w:val="00CE29EC"/>
    <w:rsid w:val="00CE4A8F"/>
    <w:rsid w:val="00CE6E9B"/>
    <w:rsid w:val="00CF071D"/>
    <w:rsid w:val="00D03D89"/>
    <w:rsid w:val="00D04E44"/>
    <w:rsid w:val="00D072E0"/>
    <w:rsid w:val="00D1085D"/>
    <w:rsid w:val="00D14250"/>
    <w:rsid w:val="00D15B04"/>
    <w:rsid w:val="00D2031B"/>
    <w:rsid w:val="00D25FE2"/>
    <w:rsid w:val="00D27AD7"/>
    <w:rsid w:val="00D37DA9"/>
    <w:rsid w:val="00D406A7"/>
    <w:rsid w:val="00D43252"/>
    <w:rsid w:val="00D436A7"/>
    <w:rsid w:val="00D44D86"/>
    <w:rsid w:val="00D50B7D"/>
    <w:rsid w:val="00D52012"/>
    <w:rsid w:val="00D55284"/>
    <w:rsid w:val="00D55C16"/>
    <w:rsid w:val="00D64A4F"/>
    <w:rsid w:val="00D66CD1"/>
    <w:rsid w:val="00D704E5"/>
    <w:rsid w:val="00D72727"/>
    <w:rsid w:val="00D74F6D"/>
    <w:rsid w:val="00D83303"/>
    <w:rsid w:val="00D93B4E"/>
    <w:rsid w:val="00D9541E"/>
    <w:rsid w:val="00D978C6"/>
    <w:rsid w:val="00DA0956"/>
    <w:rsid w:val="00DA357F"/>
    <w:rsid w:val="00DA3E12"/>
    <w:rsid w:val="00DC062D"/>
    <w:rsid w:val="00DC18AD"/>
    <w:rsid w:val="00DC2380"/>
    <w:rsid w:val="00DC6910"/>
    <w:rsid w:val="00DD490F"/>
    <w:rsid w:val="00DE1A90"/>
    <w:rsid w:val="00DE52B6"/>
    <w:rsid w:val="00DE6F21"/>
    <w:rsid w:val="00DF5128"/>
    <w:rsid w:val="00DF7CAE"/>
    <w:rsid w:val="00E32F92"/>
    <w:rsid w:val="00E35679"/>
    <w:rsid w:val="00E423C0"/>
    <w:rsid w:val="00E43054"/>
    <w:rsid w:val="00E50FD1"/>
    <w:rsid w:val="00E614EA"/>
    <w:rsid w:val="00E6414C"/>
    <w:rsid w:val="00E67AB6"/>
    <w:rsid w:val="00E7260F"/>
    <w:rsid w:val="00E770D3"/>
    <w:rsid w:val="00E82FDA"/>
    <w:rsid w:val="00E84F37"/>
    <w:rsid w:val="00E8702D"/>
    <w:rsid w:val="00E916A9"/>
    <w:rsid w:val="00E916DE"/>
    <w:rsid w:val="00E925AD"/>
    <w:rsid w:val="00E928CC"/>
    <w:rsid w:val="00E94AB4"/>
    <w:rsid w:val="00E96630"/>
    <w:rsid w:val="00E97025"/>
    <w:rsid w:val="00EA05D9"/>
    <w:rsid w:val="00EA11FF"/>
    <w:rsid w:val="00EB0C92"/>
    <w:rsid w:val="00EC1D0F"/>
    <w:rsid w:val="00ED0FB6"/>
    <w:rsid w:val="00ED18DC"/>
    <w:rsid w:val="00ED6201"/>
    <w:rsid w:val="00ED7A2A"/>
    <w:rsid w:val="00EE24AD"/>
    <w:rsid w:val="00EE54C7"/>
    <w:rsid w:val="00EF1D7F"/>
    <w:rsid w:val="00F0137E"/>
    <w:rsid w:val="00F07A92"/>
    <w:rsid w:val="00F107B1"/>
    <w:rsid w:val="00F2046B"/>
    <w:rsid w:val="00F21786"/>
    <w:rsid w:val="00F306BB"/>
    <w:rsid w:val="00F3742B"/>
    <w:rsid w:val="00F41FDB"/>
    <w:rsid w:val="00F447E2"/>
    <w:rsid w:val="00F507EC"/>
    <w:rsid w:val="00F54BBF"/>
    <w:rsid w:val="00F5500E"/>
    <w:rsid w:val="00F56D63"/>
    <w:rsid w:val="00F609A9"/>
    <w:rsid w:val="00F65628"/>
    <w:rsid w:val="00F67ACA"/>
    <w:rsid w:val="00F76AFC"/>
    <w:rsid w:val="00F80C99"/>
    <w:rsid w:val="00F867EC"/>
    <w:rsid w:val="00F9165B"/>
    <w:rsid w:val="00F91B2B"/>
    <w:rsid w:val="00F95885"/>
    <w:rsid w:val="00FA141C"/>
    <w:rsid w:val="00FC03CD"/>
    <w:rsid w:val="00FC0646"/>
    <w:rsid w:val="00FC68B7"/>
    <w:rsid w:val="00FD1CA2"/>
    <w:rsid w:val="00FD5731"/>
    <w:rsid w:val="00FE6985"/>
    <w:rsid w:val="00FF723F"/>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ChGChar">
    <w:name w:val="_ H _Ch_G Char"/>
    <w:link w:val="HChG"/>
    <w:rsid w:val="00B83E9A"/>
    <w:rPr>
      <w:b/>
      <w:sz w:val="28"/>
      <w:lang w:val="en-GB" w:eastAsia="en-US" w:bidi="ar-SA"/>
    </w:rPr>
  </w:style>
  <w:style w:type="character" w:customStyle="1" w:styleId="H1GChar">
    <w:name w:val="_ H_1_G Char"/>
    <w:link w:val="H1G"/>
    <w:rsid w:val="00B83E9A"/>
    <w:rPr>
      <w:b/>
      <w:sz w:val="24"/>
      <w:lang w:val="en-GB" w:eastAsia="en-US" w:bidi="ar-SA"/>
    </w:rPr>
  </w:style>
  <w:style w:type="paragraph" w:styleId="PlainText">
    <w:name w:val="Plain Text"/>
    <w:basedOn w:val="Normal"/>
    <w:semiHidden/>
    <w:rsid w:val="00B83E9A"/>
    <w:rPr>
      <w:rFonts w:cs="Courier New"/>
    </w:rPr>
  </w:style>
  <w:style w:type="paragraph" w:styleId="BodyText">
    <w:name w:val="Body Text"/>
    <w:basedOn w:val="Normal"/>
    <w:next w:val="Normal"/>
    <w:semiHidden/>
    <w:rsid w:val="00B83E9A"/>
  </w:style>
  <w:style w:type="paragraph" w:styleId="BodyTextIndent">
    <w:name w:val="Body Text Indent"/>
    <w:basedOn w:val="Normal"/>
    <w:semiHidden/>
    <w:rsid w:val="00B83E9A"/>
    <w:pPr>
      <w:spacing w:after="120"/>
      <w:ind w:left="283"/>
    </w:pPr>
  </w:style>
  <w:style w:type="paragraph" w:styleId="BlockText">
    <w:name w:val="Block Text"/>
    <w:basedOn w:val="Normal"/>
    <w:semiHidden/>
    <w:rsid w:val="00B83E9A"/>
    <w:pPr>
      <w:ind w:left="1440" w:right="1440"/>
    </w:pPr>
  </w:style>
  <w:style w:type="character" w:styleId="CommentReference">
    <w:name w:val="annotation reference"/>
    <w:semiHidden/>
    <w:rsid w:val="00B83E9A"/>
    <w:rPr>
      <w:sz w:val="6"/>
    </w:rPr>
  </w:style>
  <w:style w:type="paragraph" w:styleId="CommentText">
    <w:name w:val="annotation text"/>
    <w:basedOn w:val="Normal"/>
    <w:link w:val="CommentTextChar"/>
    <w:semiHidden/>
    <w:rsid w:val="00B83E9A"/>
  </w:style>
  <w:style w:type="character" w:styleId="LineNumber">
    <w:name w:val="line number"/>
    <w:semiHidden/>
    <w:rsid w:val="00B83E9A"/>
    <w:rPr>
      <w:sz w:val="14"/>
    </w:rPr>
  </w:style>
  <w:style w:type="numbering" w:styleId="111111">
    <w:name w:val="Outline List 2"/>
    <w:basedOn w:val="NoList"/>
    <w:semiHidden/>
    <w:rsid w:val="00B83E9A"/>
    <w:pPr>
      <w:numPr>
        <w:numId w:val="19"/>
      </w:numPr>
    </w:pPr>
  </w:style>
  <w:style w:type="numbering" w:styleId="1ai">
    <w:name w:val="Outline List 1"/>
    <w:basedOn w:val="NoList"/>
    <w:semiHidden/>
    <w:rsid w:val="00B83E9A"/>
    <w:pPr>
      <w:numPr>
        <w:numId w:val="20"/>
      </w:numPr>
    </w:pPr>
  </w:style>
  <w:style w:type="numbering" w:styleId="ArticleSection">
    <w:name w:val="Outline List 3"/>
    <w:basedOn w:val="NoList"/>
    <w:semiHidden/>
    <w:rsid w:val="00B83E9A"/>
    <w:pPr>
      <w:numPr>
        <w:numId w:val="21"/>
      </w:numPr>
    </w:pPr>
  </w:style>
  <w:style w:type="paragraph" w:styleId="BodyText2">
    <w:name w:val="Body Text 2"/>
    <w:basedOn w:val="Normal"/>
    <w:semiHidden/>
    <w:rsid w:val="00B83E9A"/>
    <w:pPr>
      <w:spacing w:after="120" w:line="480" w:lineRule="auto"/>
    </w:pPr>
  </w:style>
  <w:style w:type="paragraph" w:styleId="BodyText3">
    <w:name w:val="Body Text 3"/>
    <w:basedOn w:val="Normal"/>
    <w:semiHidden/>
    <w:rsid w:val="00B83E9A"/>
    <w:pPr>
      <w:spacing w:after="120"/>
    </w:pPr>
    <w:rPr>
      <w:sz w:val="16"/>
      <w:szCs w:val="16"/>
    </w:rPr>
  </w:style>
  <w:style w:type="paragraph" w:styleId="BodyTextFirstIndent">
    <w:name w:val="Body Text First Indent"/>
    <w:basedOn w:val="BodyText"/>
    <w:semiHidden/>
    <w:rsid w:val="00B83E9A"/>
    <w:pPr>
      <w:spacing w:after="120"/>
      <w:ind w:firstLine="210"/>
    </w:pPr>
  </w:style>
  <w:style w:type="paragraph" w:styleId="BodyTextFirstIndent2">
    <w:name w:val="Body Text First Indent 2"/>
    <w:basedOn w:val="BodyTextIndent"/>
    <w:semiHidden/>
    <w:rsid w:val="00B83E9A"/>
    <w:pPr>
      <w:ind w:firstLine="210"/>
    </w:pPr>
  </w:style>
  <w:style w:type="paragraph" w:styleId="BodyTextIndent2">
    <w:name w:val="Body Text Indent 2"/>
    <w:basedOn w:val="Normal"/>
    <w:semiHidden/>
    <w:rsid w:val="00B83E9A"/>
    <w:pPr>
      <w:spacing w:after="120" w:line="480" w:lineRule="auto"/>
      <w:ind w:left="283"/>
    </w:pPr>
  </w:style>
  <w:style w:type="paragraph" w:styleId="BodyTextIndent3">
    <w:name w:val="Body Text Indent 3"/>
    <w:basedOn w:val="Normal"/>
    <w:semiHidden/>
    <w:rsid w:val="00B83E9A"/>
    <w:pPr>
      <w:spacing w:after="120"/>
      <w:ind w:left="283"/>
    </w:pPr>
    <w:rPr>
      <w:sz w:val="16"/>
      <w:szCs w:val="16"/>
    </w:rPr>
  </w:style>
  <w:style w:type="paragraph" w:styleId="Closing">
    <w:name w:val="Closing"/>
    <w:basedOn w:val="Normal"/>
    <w:semiHidden/>
    <w:rsid w:val="00B83E9A"/>
    <w:pPr>
      <w:ind w:left="4252"/>
    </w:pPr>
  </w:style>
  <w:style w:type="paragraph" w:styleId="Date">
    <w:name w:val="Date"/>
    <w:basedOn w:val="Normal"/>
    <w:next w:val="Normal"/>
    <w:semiHidden/>
    <w:rsid w:val="00B83E9A"/>
  </w:style>
  <w:style w:type="paragraph" w:styleId="E-mailSignature">
    <w:name w:val="E-mail Signature"/>
    <w:basedOn w:val="Normal"/>
    <w:semiHidden/>
    <w:rsid w:val="00B83E9A"/>
  </w:style>
  <w:style w:type="character" w:styleId="Emphasis">
    <w:name w:val="Emphasis"/>
    <w:qFormat/>
    <w:rsid w:val="00B83E9A"/>
    <w:rPr>
      <w:i/>
      <w:iCs/>
    </w:rPr>
  </w:style>
  <w:style w:type="paragraph" w:styleId="EnvelopeReturn">
    <w:name w:val="envelope return"/>
    <w:basedOn w:val="Normal"/>
    <w:semiHidden/>
    <w:rsid w:val="00B83E9A"/>
    <w:rPr>
      <w:rFonts w:ascii="Arial" w:hAnsi="Arial" w:cs="Arial"/>
    </w:rPr>
  </w:style>
  <w:style w:type="character" w:styleId="HTMLAcronym">
    <w:name w:val="HTML Acronym"/>
    <w:basedOn w:val="DefaultParagraphFont"/>
    <w:semiHidden/>
    <w:rsid w:val="00B83E9A"/>
  </w:style>
  <w:style w:type="paragraph" w:styleId="HTMLAddress">
    <w:name w:val="HTML Address"/>
    <w:basedOn w:val="Normal"/>
    <w:semiHidden/>
    <w:rsid w:val="00B83E9A"/>
    <w:rPr>
      <w:i/>
      <w:iCs/>
    </w:rPr>
  </w:style>
  <w:style w:type="character" w:styleId="HTMLCite">
    <w:name w:val="HTML Cite"/>
    <w:semiHidden/>
    <w:rsid w:val="00B83E9A"/>
    <w:rPr>
      <w:i/>
      <w:iCs/>
    </w:rPr>
  </w:style>
  <w:style w:type="character" w:styleId="HTMLCode">
    <w:name w:val="HTML Code"/>
    <w:semiHidden/>
    <w:rsid w:val="00B83E9A"/>
    <w:rPr>
      <w:rFonts w:ascii="Courier New" w:hAnsi="Courier New" w:cs="Courier New"/>
      <w:sz w:val="20"/>
      <w:szCs w:val="20"/>
    </w:rPr>
  </w:style>
  <w:style w:type="character" w:styleId="HTMLDefinition">
    <w:name w:val="HTML Definition"/>
    <w:semiHidden/>
    <w:rsid w:val="00B83E9A"/>
    <w:rPr>
      <w:i/>
      <w:iCs/>
    </w:rPr>
  </w:style>
  <w:style w:type="character" w:styleId="HTMLKeyboard">
    <w:name w:val="HTML Keyboard"/>
    <w:semiHidden/>
    <w:rsid w:val="00B83E9A"/>
    <w:rPr>
      <w:rFonts w:ascii="Courier New" w:hAnsi="Courier New" w:cs="Courier New"/>
      <w:sz w:val="20"/>
      <w:szCs w:val="20"/>
    </w:rPr>
  </w:style>
  <w:style w:type="paragraph" w:styleId="HTMLPreformatted">
    <w:name w:val="HTML Preformatted"/>
    <w:basedOn w:val="Normal"/>
    <w:semiHidden/>
    <w:rsid w:val="00B83E9A"/>
    <w:rPr>
      <w:rFonts w:ascii="Courier New" w:hAnsi="Courier New" w:cs="Courier New"/>
    </w:rPr>
  </w:style>
  <w:style w:type="character" w:styleId="HTMLSample">
    <w:name w:val="HTML Sample"/>
    <w:semiHidden/>
    <w:rsid w:val="00B83E9A"/>
    <w:rPr>
      <w:rFonts w:ascii="Courier New" w:hAnsi="Courier New" w:cs="Courier New"/>
    </w:rPr>
  </w:style>
  <w:style w:type="character" w:styleId="HTMLTypewriter">
    <w:name w:val="HTML Typewriter"/>
    <w:semiHidden/>
    <w:rsid w:val="00B83E9A"/>
    <w:rPr>
      <w:rFonts w:ascii="Courier New" w:hAnsi="Courier New" w:cs="Courier New"/>
      <w:sz w:val="20"/>
      <w:szCs w:val="20"/>
    </w:rPr>
  </w:style>
  <w:style w:type="character" w:styleId="HTMLVariable">
    <w:name w:val="HTML Variable"/>
    <w:semiHidden/>
    <w:rsid w:val="00B83E9A"/>
    <w:rPr>
      <w:i/>
      <w:iCs/>
    </w:rPr>
  </w:style>
  <w:style w:type="paragraph" w:styleId="List">
    <w:name w:val="List"/>
    <w:basedOn w:val="Normal"/>
    <w:semiHidden/>
    <w:rsid w:val="00B83E9A"/>
    <w:pPr>
      <w:ind w:left="283" w:hanging="283"/>
    </w:pPr>
  </w:style>
  <w:style w:type="paragraph" w:styleId="List2">
    <w:name w:val="List 2"/>
    <w:basedOn w:val="Normal"/>
    <w:semiHidden/>
    <w:rsid w:val="00B83E9A"/>
    <w:pPr>
      <w:ind w:left="566" w:hanging="283"/>
    </w:pPr>
  </w:style>
  <w:style w:type="paragraph" w:styleId="List3">
    <w:name w:val="List 3"/>
    <w:basedOn w:val="Normal"/>
    <w:semiHidden/>
    <w:rsid w:val="00B83E9A"/>
    <w:pPr>
      <w:ind w:left="849" w:hanging="283"/>
    </w:pPr>
  </w:style>
  <w:style w:type="paragraph" w:styleId="List4">
    <w:name w:val="List 4"/>
    <w:basedOn w:val="Normal"/>
    <w:semiHidden/>
    <w:rsid w:val="00B83E9A"/>
    <w:pPr>
      <w:ind w:left="1132" w:hanging="283"/>
    </w:pPr>
  </w:style>
  <w:style w:type="paragraph" w:styleId="List5">
    <w:name w:val="List 5"/>
    <w:basedOn w:val="Normal"/>
    <w:semiHidden/>
    <w:rsid w:val="00B83E9A"/>
    <w:pPr>
      <w:ind w:left="1415" w:hanging="283"/>
    </w:pPr>
  </w:style>
  <w:style w:type="paragraph" w:styleId="ListBullet">
    <w:name w:val="List Bullet"/>
    <w:basedOn w:val="Normal"/>
    <w:semiHidden/>
    <w:rsid w:val="00B83E9A"/>
    <w:pPr>
      <w:tabs>
        <w:tab w:val="num" w:pos="360"/>
      </w:tabs>
      <w:ind w:left="360" w:hanging="360"/>
    </w:pPr>
  </w:style>
  <w:style w:type="paragraph" w:styleId="ListBullet2">
    <w:name w:val="List Bullet 2"/>
    <w:basedOn w:val="Normal"/>
    <w:semiHidden/>
    <w:rsid w:val="00B83E9A"/>
    <w:pPr>
      <w:tabs>
        <w:tab w:val="num" w:pos="643"/>
      </w:tabs>
      <w:ind w:left="643" w:hanging="360"/>
    </w:pPr>
  </w:style>
  <w:style w:type="paragraph" w:styleId="ListBullet3">
    <w:name w:val="List Bullet 3"/>
    <w:basedOn w:val="Normal"/>
    <w:semiHidden/>
    <w:rsid w:val="00B83E9A"/>
    <w:pPr>
      <w:tabs>
        <w:tab w:val="num" w:pos="926"/>
      </w:tabs>
      <w:ind w:left="926" w:hanging="360"/>
    </w:pPr>
  </w:style>
  <w:style w:type="paragraph" w:styleId="ListBullet4">
    <w:name w:val="List Bullet 4"/>
    <w:basedOn w:val="Normal"/>
    <w:semiHidden/>
    <w:rsid w:val="00B83E9A"/>
    <w:pPr>
      <w:tabs>
        <w:tab w:val="num" w:pos="1209"/>
      </w:tabs>
      <w:ind w:left="1209" w:hanging="360"/>
    </w:pPr>
  </w:style>
  <w:style w:type="paragraph" w:styleId="ListBullet5">
    <w:name w:val="List Bullet 5"/>
    <w:basedOn w:val="Normal"/>
    <w:semiHidden/>
    <w:rsid w:val="00B83E9A"/>
    <w:pPr>
      <w:tabs>
        <w:tab w:val="num" w:pos="1492"/>
      </w:tabs>
      <w:ind w:left="1492" w:hanging="360"/>
    </w:pPr>
  </w:style>
  <w:style w:type="paragraph" w:styleId="ListContinue">
    <w:name w:val="List Continue"/>
    <w:basedOn w:val="Normal"/>
    <w:semiHidden/>
    <w:rsid w:val="00B83E9A"/>
    <w:pPr>
      <w:spacing w:after="120"/>
      <w:ind w:left="283"/>
    </w:pPr>
  </w:style>
  <w:style w:type="paragraph" w:styleId="ListContinue2">
    <w:name w:val="List Continue 2"/>
    <w:basedOn w:val="Normal"/>
    <w:semiHidden/>
    <w:rsid w:val="00B83E9A"/>
    <w:pPr>
      <w:spacing w:after="120"/>
      <w:ind w:left="566"/>
    </w:pPr>
  </w:style>
  <w:style w:type="paragraph" w:styleId="ListContinue3">
    <w:name w:val="List Continue 3"/>
    <w:basedOn w:val="Normal"/>
    <w:semiHidden/>
    <w:rsid w:val="00B83E9A"/>
    <w:pPr>
      <w:spacing w:after="120"/>
      <w:ind w:left="849"/>
    </w:pPr>
  </w:style>
  <w:style w:type="paragraph" w:styleId="ListContinue4">
    <w:name w:val="List Continue 4"/>
    <w:basedOn w:val="Normal"/>
    <w:semiHidden/>
    <w:rsid w:val="00B83E9A"/>
    <w:pPr>
      <w:spacing w:after="120"/>
      <w:ind w:left="1132"/>
    </w:pPr>
  </w:style>
  <w:style w:type="paragraph" w:styleId="ListContinue5">
    <w:name w:val="List Continue 5"/>
    <w:basedOn w:val="Normal"/>
    <w:semiHidden/>
    <w:rsid w:val="00B83E9A"/>
    <w:pPr>
      <w:spacing w:after="120"/>
      <w:ind w:left="1415"/>
    </w:pPr>
  </w:style>
  <w:style w:type="paragraph" w:styleId="ListNumber">
    <w:name w:val="List Number"/>
    <w:basedOn w:val="Normal"/>
    <w:semiHidden/>
    <w:rsid w:val="00B83E9A"/>
    <w:pPr>
      <w:tabs>
        <w:tab w:val="num" w:pos="360"/>
      </w:tabs>
      <w:ind w:left="360" w:hanging="360"/>
    </w:pPr>
  </w:style>
  <w:style w:type="paragraph" w:styleId="ListNumber2">
    <w:name w:val="List Number 2"/>
    <w:basedOn w:val="Normal"/>
    <w:semiHidden/>
    <w:rsid w:val="00B83E9A"/>
    <w:pPr>
      <w:tabs>
        <w:tab w:val="num" w:pos="643"/>
      </w:tabs>
      <w:ind w:left="643" w:hanging="360"/>
    </w:pPr>
  </w:style>
  <w:style w:type="paragraph" w:styleId="ListNumber3">
    <w:name w:val="List Number 3"/>
    <w:basedOn w:val="Normal"/>
    <w:semiHidden/>
    <w:rsid w:val="00B83E9A"/>
    <w:pPr>
      <w:tabs>
        <w:tab w:val="num" w:pos="926"/>
      </w:tabs>
      <w:ind w:left="926" w:hanging="360"/>
    </w:pPr>
  </w:style>
  <w:style w:type="paragraph" w:styleId="ListNumber4">
    <w:name w:val="List Number 4"/>
    <w:basedOn w:val="Normal"/>
    <w:semiHidden/>
    <w:rsid w:val="00B83E9A"/>
    <w:pPr>
      <w:tabs>
        <w:tab w:val="num" w:pos="1209"/>
      </w:tabs>
      <w:ind w:left="1209" w:hanging="360"/>
    </w:pPr>
  </w:style>
  <w:style w:type="paragraph" w:styleId="ListNumber5">
    <w:name w:val="List Number 5"/>
    <w:basedOn w:val="Normal"/>
    <w:semiHidden/>
    <w:rsid w:val="00B83E9A"/>
    <w:pPr>
      <w:tabs>
        <w:tab w:val="num" w:pos="1492"/>
      </w:tabs>
      <w:ind w:left="1492" w:hanging="360"/>
    </w:pPr>
  </w:style>
  <w:style w:type="paragraph" w:styleId="MessageHeader">
    <w:name w:val="Message Header"/>
    <w:basedOn w:val="Normal"/>
    <w:semiHidden/>
    <w:rsid w:val="00B83E9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B83E9A"/>
    <w:rPr>
      <w:sz w:val="24"/>
      <w:szCs w:val="24"/>
    </w:rPr>
  </w:style>
  <w:style w:type="paragraph" w:styleId="NormalIndent">
    <w:name w:val="Normal Indent"/>
    <w:basedOn w:val="Normal"/>
    <w:semiHidden/>
    <w:rsid w:val="00B83E9A"/>
    <w:pPr>
      <w:ind w:left="567"/>
    </w:pPr>
  </w:style>
  <w:style w:type="paragraph" w:styleId="NoteHeading">
    <w:name w:val="Note Heading"/>
    <w:basedOn w:val="Normal"/>
    <w:next w:val="Normal"/>
    <w:semiHidden/>
    <w:rsid w:val="00B83E9A"/>
  </w:style>
  <w:style w:type="paragraph" w:styleId="Salutation">
    <w:name w:val="Salutation"/>
    <w:basedOn w:val="Normal"/>
    <w:next w:val="Normal"/>
    <w:semiHidden/>
    <w:rsid w:val="00B83E9A"/>
  </w:style>
  <w:style w:type="paragraph" w:styleId="Signature">
    <w:name w:val="Signature"/>
    <w:basedOn w:val="Normal"/>
    <w:semiHidden/>
    <w:rsid w:val="00B83E9A"/>
    <w:pPr>
      <w:ind w:left="4252"/>
    </w:pPr>
  </w:style>
  <w:style w:type="character" w:styleId="Strong">
    <w:name w:val="Strong"/>
    <w:qFormat/>
    <w:rsid w:val="00B83E9A"/>
    <w:rPr>
      <w:b/>
      <w:bCs/>
    </w:rPr>
  </w:style>
  <w:style w:type="paragraph" w:styleId="Subtitle">
    <w:name w:val="Subtitle"/>
    <w:basedOn w:val="Normal"/>
    <w:qFormat/>
    <w:rsid w:val="00B83E9A"/>
    <w:pPr>
      <w:spacing w:after="60"/>
      <w:jc w:val="center"/>
      <w:outlineLvl w:val="1"/>
    </w:pPr>
    <w:rPr>
      <w:rFonts w:ascii="Arial" w:hAnsi="Arial" w:cs="Arial"/>
      <w:sz w:val="24"/>
      <w:szCs w:val="24"/>
    </w:rPr>
  </w:style>
  <w:style w:type="table" w:styleId="Table3Deffects1">
    <w:name w:val="Table 3D effects 1"/>
    <w:basedOn w:val="TableNormal"/>
    <w:semiHidden/>
    <w:rsid w:val="00B83E9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83E9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83E9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83E9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83E9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83E9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83E9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83E9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83E9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83E9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83E9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83E9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83E9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83E9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83E9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83E9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83E9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83E9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83E9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83E9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83E9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83E9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83E9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83E9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83E9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83E9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83E9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83E9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83E9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83E9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83E9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83E9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83E9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83E9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83E9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83E9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83E9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83E9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83E9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83E9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83E9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83E9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83E9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83E9A"/>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B83E9A"/>
    <w:pPr>
      <w:framePr w:w="7920" w:h="1980" w:hRule="exact" w:hSpace="180" w:wrap="auto" w:hAnchor="page" w:xAlign="center" w:yAlign="bottom"/>
      <w:ind w:left="2880"/>
    </w:pPr>
    <w:rPr>
      <w:rFonts w:ascii="Arial" w:hAnsi="Arial" w:cs="Arial"/>
      <w:sz w:val="24"/>
      <w:szCs w:val="24"/>
    </w:rPr>
  </w:style>
  <w:style w:type="character" w:customStyle="1" w:styleId="FootnoteTextChar">
    <w:name w:val="Footnote Text Char"/>
    <w:aliases w:val="5_G Char"/>
    <w:link w:val="FootnoteText"/>
    <w:rsid w:val="00B83E9A"/>
    <w:rPr>
      <w:sz w:val="18"/>
      <w:lang w:val="en-GB" w:eastAsia="en-US" w:bidi="ar-SA"/>
    </w:rPr>
  </w:style>
  <w:style w:type="character" w:customStyle="1" w:styleId="CharChar">
    <w:name w:val="Char Char"/>
    <w:rsid w:val="00B83E9A"/>
    <w:rPr>
      <w:sz w:val="24"/>
      <w:szCs w:val="24"/>
    </w:rPr>
  </w:style>
  <w:style w:type="paragraph" w:styleId="BalloonText">
    <w:name w:val="Balloon Text"/>
    <w:basedOn w:val="Normal"/>
    <w:semiHidden/>
    <w:rsid w:val="00B83E9A"/>
    <w:rPr>
      <w:rFonts w:ascii="Tahoma" w:hAnsi="Tahoma" w:cs="Tahoma"/>
      <w:sz w:val="16"/>
      <w:szCs w:val="16"/>
    </w:rPr>
  </w:style>
  <w:style w:type="paragraph" w:styleId="CommentSubject">
    <w:name w:val="annotation subject"/>
    <w:basedOn w:val="CommentText"/>
    <w:next w:val="CommentText"/>
    <w:link w:val="CommentSubjectChar"/>
    <w:rsid w:val="00043151"/>
    <w:rPr>
      <w:b/>
      <w:bCs/>
    </w:rPr>
  </w:style>
  <w:style w:type="character" w:customStyle="1" w:styleId="CommentTextChar">
    <w:name w:val="Comment Text Char"/>
    <w:link w:val="CommentText"/>
    <w:semiHidden/>
    <w:rsid w:val="00043151"/>
    <w:rPr>
      <w:lang w:eastAsia="en-US"/>
    </w:rPr>
  </w:style>
  <w:style w:type="character" w:customStyle="1" w:styleId="CommentSubjectChar">
    <w:name w:val="Comment Subject Char"/>
    <w:link w:val="CommentSubject"/>
    <w:rsid w:val="0004315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ingleTxtG">
    <w:name w:val="ArticleSection"/>
    <w:pPr>
      <w:numPr>
        <w:numId w:val="21"/>
      </w:numPr>
    </w:pPr>
  </w:style>
  <w:style w:type="numbering" w:customStyle="1" w:styleId="HMG">
    <w:name w:val="1ai"/>
    <w:pPr>
      <w:numPr>
        <w:numId w:val="20"/>
      </w:numPr>
    </w:pPr>
  </w:style>
  <w:style w:type="numbering" w:customStyle="1" w:styleId="HChG">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TotalTime>
  <Pages>17</Pages>
  <Words>3952</Words>
  <Characters>22492</Characters>
  <Application>Microsoft Office Word</Application>
  <DocSecurity>0</DocSecurity>
  <Lines>899</Lines>
  <Paragraphs>259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Barinova</dc:creator>
  <cp:lastModifiedBy>Anastasia Barinova</cp:lastModifiedBy>
  <cp:revision>4</cp:revision>
  <cp:lastPrinted>2013-12-10T14:46:00Z</cp:lastPrinted>
  <dcterms:created xsi:type="dcterms:W3CDTF">2015-12-14T19:35:00Z</dcterms:created>
  <dcterms:modified xsi:type="dcterms:W3CDTF">2015-12-14T19:45:00Z</dcterms:modified>
</cp:coreProperties>
</file>