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E3" w:rsidRDefault="00F609E3" w:rsidP="00F609E3">
      <w:pPr>
        <w:spacing w:line="240" w:lineRule="auto"/>
        <w:rPr>
          <w:sz w:val="2"/>
        </w:rPr>
        <w:sectPr w:rsidR="00F609E3" w:rsidSect="00F609E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F609E3" w:rsidRPr="000C33B8" w:rsidRDefault="00F609E3" w:rsidP="00F609E3">
      <w:pPr>
        <w:pStyle w:val="H1"/>
        <w:spacing w:after="120"/>
        <w:rPr>
          <w:sz w:val="28"/>
          <w:lang w:val="fr-CH"/>
        </w:rPr>
      </w:pPr>
      <w:r w:rsidRPr="000C33B8">
        <w:rPr>
          <w:sz w:val="28"/>
          <w:lang w:val="fr-CH"/>
        </w:rPr>
        <w:lastRenderedPageBreak/>
        <w:t>Commission économique pour l’Europe</w:t>
      </w:r>
    </w:p>
    <w:p w:rsidR="00F609E3" w:rsidRPr="000C33B8" w:rsidRDefault="00F609E3" w:rsidP="00F609E3">
      <w:pPr>
        <w:pStyle w:val="H1"/>
        <w:spacing w:after="120" w:line="300" w:lineRule="exact"/>
        <w:rPr>
          <w:b w:val="0"/>
          <w:sz w:val="28"/>
          <w:lang w:val="fr-CH"/>
        </w:rPr>
      </w:pPr>
      <w:r w:rsidRPr="000C33B8">
        <w:rPr>
          <w:b w:val="0"/>
          <w:sz w:val="28"/>
          <w:lang w:val="fr-CH"/>
        </w:rPr>
        <w:t>Comité des transports intérieurs</w:t>
      </w:r>
    </w:p>
    <w:p w:rsidR="004D28E7" w:rsidRPr="000C33B8" w:rsidRDefault="004D28E7" w:rsidP="004D28E7">
      <w:pPr>
        <w:spacing w:line="120" w:lineRule="exact"/>
        <w:rPr>
          <w:sz w:val="10"/>
          <w:lang w:val="fr-CH"/>
        </w:rPr>
      </w:pPr>
    </w:p>
    <w:p w:rsidR="00FA1C01" w:rsidRPr="000C33B8" w:rsidRDefault="00FA1C01" w:rsidP="004D28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0C33B8">
        <w:rPr>
          <w:lang w:val="fr-CH"/>
        </w:rPr>
        <w:t>Soixante-dix-huitième session</w:t>
      </w:r>
    </w:p>
    <w:p w:rsidR="004D28E7" w:rsidRPr="000C33B8" w:rsidRDefault="00FA1C01" w:rsidP="004D28E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Genève, 23</w:t>
      </w:r>
      <w:r w:rsidR="00DC5F98">
        <w:rPr>
          <w:lang w:val="fr-CH"/>
        </w:rPr>
        <w:t>-</w:t>
      </w:r>
      <w:r w:rsidRPr="000C33B8">
        <w:rPr>
          <w:lang w:val="fr-CH"/>
        </w:rPr>
        <w:t>26 février 2016</w:t>
      </w:r>
      <w:r w:rsidRPr="000C33B8">
        <w:rPr>
          <w:lang w:val="fr-CH"/>
        </w:rPr>
        <w:br/>
        <w:t>Point 4 f) de l’ordre du jour provisoire</w:t>
      </w:r>
      <w:r w:rsidR="004D28E7" w:rsidRPr="000C33B8">
        <w:rPr>
          <w:lang w:val="fr-CH"/>
        </w:rPr>
        <w:t xml:space="preserve"> </w:t>
      </w:r>
    </w:p>
    <w:p w:rsidR="00FA1C01" w:rsidRPr="000C33B8" w:rsidRDefault="00FA1C01" w:rsidP="004D28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Questions stratégiques de nature horizontale</w:t>
      </w:r>
      <w:r w:rsidR="004D28E7" w:rsidRPr="000C33B8">
        <w:rPr>
          <w:lang w:val="fr-CH"/>
        </w:rPr>
        <w:t> </w:t>
      </w:r>
      <w:proofErr w:type="gramStart"/>
      <w:r w:rsidRPr="000C33B8">
        <w:rPr>
          <w:lang w:val="fr-CH"/>
        </w:rPr>
        <w:t>:</w:t>
      </w:r>
      <w:proofErr w:type="gramEnd"/>
      <w:r w:rsidRPr="000C33B8">
        <w:rPr>
          <w:lang w:val="fr-CH"/>
        </w:rPr>
        <w:br/>
        <w:t>Systèmes de transport intelligents</w:t>
      </w:r>
    </w:p>
    <w:p w:rsidR="004D28E7" w:rsidRPr="000C33B8" w:rsidRDefault="004D28E7" w:rsidP="004D28E7">
      <w:pPr>
        <w:spacing w:line="120" w:lineRule="exact"/>
        <w:rPr>
          <w:sz w:val="10"/>
          <w:lang w:val="fr-CH"/>
        </w:rPr>
      </w:pPr>
    </w:p>
    <w:p w:rsidR="004D28E7" w:rsidRPr="000C33B8" w:rsidRDefault="004D28E7" w:rsidP="004D28E7">
      <w:pPr>
        <w:spacing w:line="120" w:lineRule="exact"/>
        <w:rPr>
          <w:sz w:val="10"/>
          <w:lang w:val="fr-CH"/>
        </w:rPr>
      </w:pPr>
    </w:p>
    <w:p w:rsidR="004D28E7" w:rsidRPr="000C33B8" w:rsidRDefault="004D28E7" w:rsidP="004D28E7">
      <w:pPr>
        <w:spacing w:line="120" w:lineRule="exact"/>
        <w:rPr>
          <w:sz w:val="10"/>
          <w:lang w:val="fr-CH"/>
        </w:rPr>
      </w:pPr>
    </w:p>
    <w:p w:rsidR="00FA1C01" w:rsidRPr="000C33B8" w:rsidRDefault="004D28E7" w:rsidP="004D28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33B8">
        <w:rPr>
          <w:lang w:val="fr-CH"/>
        </w:rPr>
        <w:tab/>
      </w:r>
      <w:r w:rsidRPr="000C33B8">
        <w:rPr>
          <w:lang w:val="fr-CH"/>
        </w:rPr>
        <w:tab/>
      </w:r>
      <w:r w:rsidR="00FA1C01" w:rsidRPr="000C33B8">
        <w:rPr>
          <w:lang w:val="fr-CH"/>
        </w:rPr>
        <w:t xml:space="preserve">État de la mise en œuvre de la feuille de route </w:t>
      </w:r>
      <w:r w:rsidRPr="000C33B8">
        <w:rPr>
          <w:lang w:val="fr-CH"/>
        </w:rPr>
        <w:br/>
      </w:r>
      <w:r w:rsidR="00FA1C01" w:rsidRPr="000C33B8">
        <w:rPr>
          <w:lang w:val="fr-CH"/>
        </w:rPr>
        <w:t>pour les systèmes de transport intelligents</w:t>
      </w:r>
    </w:p>
    <w:p w:rsidR="004D28E7" w:rsidRPr="000C33B8" w:rsidRDefault="004D28E7" w:rsidP="004D28E7">
      <w:pPr>
        <w:pStyle w:val="SingleTxt"/>
        <w:spacing w:after="0" w:line="120" w:lineRule="exact"/>
        <w:rPr>
          <w:sz w:val="10"/>
          <w:lang w:val="fr-CH"/>
        </w:rPr>
      </w:pPr>
    </w:p>
    <w:p w:rsidR="004D28E7" w:rsidRPr="000C33B8" w:rsidRDefault="004D28E7" w:rsidP="004D28E7">
      <w:pPr>
        <w:pStyle w:val="SingleTxt"/>
        <w:spacing w:after="0" w:line="120" w:lineRule="exact"/>
        <w:rPr>
          <w:sz w:val="10"/>
          <w:lang w:val="fr-CH"/>
        </w:rPr>
      </w:pPr>
    </w:p>
    <w:p w:rsidR="00FA1C01" w:rsidRPr="000C33B8" w:rsidRDefault="00FA1C01" w:rsidP="004D28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r>
      <w:r w:rsidRPr="000C33B8">
        <w:rPr>
          <w:lang w:val="fr-CH"/>
        </w:rPr>
        <w:tab/>
        <w:t xml:space="preserve">Note du </w:t>
      </w:r>
      <w:r w:rsidR="00970511" w:rsidRPr="000C33B8">
        <w:rPr>
          <w:lang w:val="fr-CH"/>
        </w:rPr>
        <w:t>s</w:t>
      </w:r>
      <w:r w:rsidRPr="000C33B8">
        <w:rPr>
          <w:lang w:val="fr-CH"/>
        </w:rPr>
        <w:t xml:space="preserve">ecrétariat </w:t>
      </w:r>
    </w:p>
    <w:p w:rsidR="004D28E7" w:rsidRPr="000C33B8" w:rsidRDefault="004D28E7" w:rsidP="004D28E7">
      <w:pPr>
        <w:spacing w:line="120" w:lineRule="exact"/>
        <w:rPr>
          <w:sz w:val="10"/>
          <w:lang w:val="fr-CH"/>
        </w:rPr>
      </w:pPr>
    </w:p>
    <w:p w:rsidR="004D28E7" w:rsidRPr="000C33B8" w:rsidRDefault="004D28E7" w:rsidP="004D28E7">
      <w:pPr>
        <w:spacing w:line="120" w:lineRule="exact"/>
        <w:rPr>
          <w:sz w:val="10"/>
          <w:lang w:val="fr-CH"/>
        </w:rPr>
      </w:pPr>
    </w:p>
    <w:p w:rsidR="004D28E7" w:rsidRPr="000C33B8" w:rsidRDefault="004D28E7" w:rsidP="004D28E7">
      <w:pPr>
        <w:spacing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4D28E7" w:rsidRPr="000C33B8" w:rsidTr="004D28E7">
        <w:tc>
          <w:tcPr>
            <w:tcW w:w="10051" w:type="dxa"/>
            <w:tcBorders>
              <w:top w:val="single" w:sz="2" w:space="0" w:color="auto"/>
            </w:tcBorders>
            <w:shd w:val="clear" w:color="auto" w:fill="auto"/>
          </w:tcPr>
          <w:p w:rsidR="004D28E7" w:rsidRPr="000C33B8" w:rsidRDefault="004D28E7" w:rsidP="004D28E7">
            <w:pPr>
              <w:tabs>
                <w:tab w:val="left" w:pos="240"/>
              </w:tabs>
              <w:spacing w:before="240" w:after="120"/>
              <w:rPr>
                <w:i/>
                <w:sz w:val="24"/>
                <w:lang w:val="fr-CH"/>
              </w:rPr>
            </w:pPr>
            <w:r w:rsidRPr="000C33B8">
              <w:rPr>
                <w:i/>
                <w:sz w:val="24"/>
                <w:lang w:val="fr-CH"/>
              </w:rPr>
              <w:tab/>
              <w:t>Résumé</w:t>
            </w:r>
          </w:p>
        </w:tc>
      </w:tr>
      <w:tr w:rsidR="004D28E7" w:rsidRPr="000C33B8" w:rsidTr="004D28E7">
        <w:tc>
          <w:tcPr>
            <w:tcW w:w="10051" w:type="dxa"/>
            <w:shd w:val="clear" w:color="auto" w:fill="auto"/>
          </w:tcPr>
          <w:p w:rsidR="004D28E7" w:rsidRPr="000C33B8" w:rsidRDefault="004D28E7" w:rsidP="004D28E7">
            <w:pPr>
              <w:pStyle w:val="SingleTxt"/>
              <w:rPr>
                <w:lang w:val="fr-CH"/>
              </w:rPr>
            </w:pPr>
            <w:r w:rsidRPr="000C33B8">
              <w:rPr>
                <w:lang w:val="fr-CH"/>
              </w:rPr>
              <w:tab/>
            </w:r>
            <w:r w:rsidRPr="000C33B8">
              <w:rPr>
                <w:szCs w:val="24"/>
                <w:lang w:val="fr-CH"/>
              </w:rPr>
              <w:t>Le présent document offre une vue d’ensemble des activités de promotion des technologies novatrices qui influent sur la mise en œuvre de la feuille de route pour les systèmes de transport intelligents (STI), adoptée à la soixante-quatorzième session du Comité des transports intérieurs (le CTI).</w:t>
            </w:r>
          </w:p>
        </w:tc>
      </w:tr>
      <w:tr w:rsidR="004D28E7" w:rsidRPr="000C33B8" w:rsidTr="004D28E7">
        <w:tc>
          <w:tcPr>
            <w:tcW w:w="10051" w:type="dxa"/>
            <w:shd w:val="clear" w:color="auto" w:fill="auto"/>
          </w:tcPr>
          <w:p w:rsidR="004D28E7" w:rsidRPr="000C33B8" w:rsidRDefault="004D28E7" w:rsidP="004D28E7">
            <w:pPr>
              <w:pStyle w:val="SingleTxt"/>
              <w:rPr>
                <w:lang w:val="fr-CH"/>
              </w:rPr>
            </w:pPr>
            <w:r w:rsidRPr="000C33B8">
              <w:rPr>
                <w:lang w:val="fr-CH"/>
              </w:rPr>
              <w:tab/>
            </w:r>
            <w:r w:rsidRPr="000C33B8">
              <w:rPr>
                <w:szCs w:val="24"/>
                <w:lang w:val="fr-CH"/>
              </w:rPr>
              <w:t xml:space="preserve">Le CTI est invité à </w:t>
            </w:r>
            <w:r w:rsidRPr="000C33B8">
              <w:rPr>
                <w:b/>
                <w:bCs/>
                <w:szCs w:val="24"/>
                <w:lang w:val="fr-CH"/>
              </w:rPr>
              <w:t>favoriser</w:t>
            </w:r>
            <w:r w:rsidRPr="000C33B8">
              <w:rPr>
                <w:szCs w:val="24"/>
                <w:lang w:val="fr-CH"/>
              </w:rPr>
              <w:t xml:space="preserve"> les mesures de promotion des activités relatives aux STI portant sur les infrastructures et tous les modes de transport, et à </w:t>
            </w:r>
            <w:r w:rsidRPr="000C33B8">
              <w:rPr>
                <w:b/>
                <w:bCs/>
                <w:szCs w:val="24"/>
                <w:lang w:val="fr-CH"/>
              </w:rPr>
              <w:t>étudier comment</w:t>
            </w:r>
            <w:r w:rsidRPr="000C33B8">
              <w:rPr>
                <w:szCs w:val="24"/>
                <w:lang w:val="fr-CH"/>
              </w:rPr>
              <w:t xml:space="preserve"> aborder les questions relatives aux STI dans le cadre d’une approche intégrée.</w:t>
            </w:r>
          </w:p>
        </w:tc>
      </w:tr>
      <w:tr w:rsidR="004D28E7" w:rsidRPr="000C33B8" w:rsidTr="004D28E7">
        <w:tc>
          <w:tcPr>
            <w:tcW w:w="10051" w:type="dxa"/>
            <w:tcBorders>
              <w:bottom w:val="single" w:sz="2" w:space="0" w:color="auto"/>
            </w:tcBorders>
            <w:shd w:val="clear" w:color="auto" w:fill="auto"/>
          </w:tcPr>
          <w:p w:rsidR="004D28E7" w:rsidRPr="000C33B8" w:rsidRDefault="004D28E7" w:rsidP="004D28E7">
            <w:pPr>
              <w:pStyle w:val="SingleTxt"/>
              <w:rPr>
                <w:lang w:val="fr-CH"/>
              </w:rPr>
            </w:pPr>
          </w:p>
        </w:tc>
      </w:tr>
    </w:tbl>
    <w:p w:rsidR="004D28E7" w:rsidRPr="000C33B8" w:rsidRDefault="004D28E7" w:rsidP="004D28E7">
      <w:pPr>
        <w:spacing w:line="120" w:lineRule="exact"/>
        <w:rPr>
          <w:sz w:val="10"/>
          <w:lang w:val="fr-CH"/>
        </w:rPr>
      </w:pPr>
    </w:p>
    <w:p w:rsidR="004D28E7" w:rsidRPr="000C33B8" w:rsidRDefault="004D28E7" w:rsidP="004D28E7">
      <w:pPr>
        <w:spacing w:line="120" w:lineRule="exact"/>
        <w:rPr>
          <w:sz w:val="10"/>
          <w:lang w:val="fr-CH"/>
        </w:rPr>
      </w:pPr>
    </w:p>
    <w:p w:rsidR="004D28E7" w:rsidRPr="000C33B8" w:rsidRDefault="004D28E7" w:rsidP="004D28E7">
      <w:pPr>
        <w:spacing w:line="120" w:lineRule="exact"/>
        <w:rPr>
          <w:sz w:val="10"/>
          <w:lang w:val="fr-CH"/>
        </w:rPr>
      </w:pPr>
    </w:p>
    <w:p w:rsidR="00FA1C01" w:rsidRPr="000C33B8" w:rsidRDefault="00FA1C01" w:rsidP="004D28E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I.</w:t>
      </w:r>
      <w:r w:rsidRPr="000C33B8">
        <w:rPr>
          <w:lang w:val="fr-CH"/>
        </w:rPr>
        <w:tab/>
        <w:t>Contexte</w:t>
      </w:r>
    </w:p>
    <w:p w:rsidR="004D28E7" w:rsidRPr="000C33B8" w:rsidRDefault="004D28E7" w:rsidP="004D28E7">
      <w:pPr>
        <w:pStyle w:val="SingleTxt"/>
        <w:spacing w:after="0" w:line="120" w:lineRule="exact"/>
        <w:rPr>
          <w:sz w:val="10"/>
          <w:lang w:val="fr-CH"/>
        </w:rPr>
      </w:pPr>
    </w:p>
    <w:p w:rsidR="004D28E7" w:rsidRPr="000C33B8" w:rsidRDefault="004D28E7" w:rsidP="004D28E7">
      <w:pPr>
        <w:pStyle w:val="SingleTxt"/>
        <w:spacing w:after="0" w:line="120" w:lineRule="exact"/>
        <w:rPr>
          <w:sz w:val="10"/>
          <w:lang w:val="fr-CH"/>
        </w:rPr>
      </w:pPr>
    </w:p>
    <w:p w:rsidR="00FA1C01" w:rsidRPr="000C33B8" w:rsidRDefault="00FA1C01" w:rsidP="004D28E7">
      <w:pPr>
        <w:pStyle w:val="SingleTxt"/>
        <w:numPr>
          <w:ilvl w:val="0"/>
          <w:numId w:val="8"/>
        </w:numPr>
        <w:tabs>
          <w:tab w:val="clear" w:pos="475"/>
          <w:tab w:val="num" w:pos="1742"/>
        </w:tabs>
        <w:ind w:left="1267"/>
        <w:rPr>
          <w:lang w:val="fr-CH"/>
        </w:rPr>
      </w:pPr>
      <w:r w:rsidRPr="000C33B8">
        <w:rPr>
          <w:lang w:val="fr-CH"/>
        </w:rPr>
        <w:t>L’objectif des parties ci-dessous de la présente note est d’énoncer les activités et les initiatives de promotion des technologies novatrices contribuant à la mise en œuvre de la feuille de route de la Commission économique pour l’Europe (CEE) pour les STI. On trouvera un récapitulatif des 20 mesures de la feuille de route à l’annexe I.</w:t>
      </w:r>
    </w:p>
    <w:p w:rsidR="004D28E7" w:rsidRPr="000C33B8" w:rsidRDefault="004D28E7">
      <w:pPr>
        <w:spacing w:line="240" w:lineRule="auto"/>
        <w:rPr>
          <w:lang w:val="fr-CH"/>
        </w:rPr>
      </w:pPr>
      <w:r w:rsidRPr="000C33B8">
        <w:rPr>
          <w:lang w:val="fr-CH"/>
        </w:rPr>
        <w:br w:type="page"/>
      </w:r>
    </w:p>
    <w:p w:rsidR="00FA1C01" w:rsidRPr="000C33B8" w:rsidRDefault="00FA1C01" w:rsidP="004D28E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lastRenderedPageBreak/>
        <w:tab/>
        <w:t>II.</w:t>
      </w:r>
      <w:r w:rsidRPr="000C33B8">
        <w:rPr>
          <w:lang w:val="fr-CH"/>
        </w:rPr>
        <w:tab/>
        <w:t>Activités de la CEE en 2015</w:t>
      </w:r>
    </w:p>
    <w:p w:rsidR="004D28E7" w:rsidRPr="000C33B8" w:rsidRDefault="004D28E7" w:rsidP="004D28E7">
      <w:pPr>
        <w:pStyle w:val="SingleTxt"/>
        <w:spacing w:after="0" w:line="120" w:lineRule="exact"/>
        <w:rPr>
          <w:sz w:val="10"/>
          <w:lang w:val="fr-CH"/>
        </w:rPr>
      </w:pPr>
    </w:p>
    <w:p w:rsidR="004D28E7" w:rsidRPr="000C33B8" w:rsidRDefault="004D28E7" w:rsidP="004D28E7">
      <w:pPr>
        <w:pStyle w:val="SingleTxt"/>
        <w:spacing w:after="0" w:line="120" w:lineRule="exact"/>
        <w:rPr>
          <w:sz w:val="10"/>
          <w:lang w:val="fr-CH"/>
        </w:rPr>
      </w:pPr>
    </w:p>
    <w:p w:rsidR="00FA1C01" w:rsidRPr="000C33B8" w:rsidRDefault="00FA1C01" w:rsidP="004D28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A.</w:t>
      </w:r>
      <w:r w:rsidRPr="000C33B8">
        <w:rPr>
          <w:lang w:val="fr-CH"/>
        </w:rPr>
        <w:tab/>
        <w:t>Débat de politique générale du Comité des transports intérieurs</w:t>
      </w:r>
    </w:p>
    <w:p w:rsidR="004D28E7" w:rsidRPr="000C33B8" w:rsidRDefault="004D28E7" w:rsidP="004D28E7">
      <w:pPr>
        <w:pStyle w:val="SingleTxt"/>
        <w:spacing w:after="0" w:line="120" w:lineRule="exact"/>
        <w:rPr>
          <w:sz w:val="10"/>
          <w:lang w:val="fr-CH"/>
        </w:rPr>
      </w:pPr>
    </w:p>
    <w:p w:rsidR="004D28E7" w:rsidRPr="000C33B8" w:rsidRDefault="004D28E7" w:rsidP="004D28E7">
      <w:pPr>
        <w:pStyle w:val="SingleTxt"/>
        <w:spacing w:after="0" w:line="120" w:lineRule="exact"/>
        <w:rPr>
          <w:sz w:val="10"/>
          <w:lang w:val="fr-CH"/>
        </w:rPr>
      </w:pP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Le débat de politique générale mené en 2015 au Comité </w:t>
      </w:r>
      <w:r w:rsidR="00970511" w:rsidRPr="000C33B8">
        <w:rPr>
          <w:szCs w:val="24"/>
          <w:lang w:val="fr-CH"/>
        </w:rPr>
        <w:t>des transports intérieurs (CTI)</w:t>
      </w:r>
      <w:r w:rsidRPr="000C33B8">
        <w:rPr>
          <w:szCs w:val="24"/>
          <w:lang w:val="fr-CH"/>
        </w:rPr>
        <w:t xml:space="preserve"> sur le thème </w:t>
      </w:r>
      <w:r w:rsidR="004D28E7" w:rsidRPr="000C33B8">
        <w:rPr>
          <w:szCs w:val="24"/>
          <w:lang w:val="fr-CH"/>
        </w:rPr>
        <w:t>« </w:t>
      </w:r>
      <w:r w:rsidRPr="000C33B8">
        <w:rPr>
          <w:szCs w:val="24"/>
          <w:lang w:val="fr-CH"/>
        </w:rPr>
        <w:t>Repenser les transports urbains et la mobilité durables pour relever les défis d’une nouvelle ère</w:t>
      </w:r>
      <w:r w:rsidR="004D28E7" w:rsidRPr="000C33B8">
        <w:rPr>
          <w:szCs w:val="24"/>
          <w:lang w:val="fr-CH"/>
        </w:rPr>
        <w:t> »</w:t>
      </w:r>
      <w:r w:rsidRPr="000C33B8">
        <w:rPr>
          <w:szCs w:val="24"/>
          <w:lang w:val="fr-CH"/>
        </w:rPr>
        <w:t xml:space="preserve"> a permis de mieux comprendre les difficultés liées aux transports durables et de mesurer la volonté politique nécessaire pour dissocier la croissance économique des incidences telles que la pollution atmosphérique et les accidents de la circulation. Certaines interventions ont montré l'importance que peuvent avoir les </w:t>
      </w:r>
      <w:r w:rsidR="00970511" w:rsidRPr="000C33B8">
        <w:rPr>
          <w:szCs w:val="24"/>
          <w:lang w:val="fr-CH"/>
        </w:rPr>
        <w:t>politiques de la demande dans l’</w:t>
      </w:r>
      <w:r w:rsidRPr="000C33B8">
        <w:rPr>
          <w:szCs w:val="24"/>
          <w:lang w:val="fr-CH"/>
        </w:rPr>
        <w:t xml:space="preserve">inversion des tendances, en particulier </w:t>
      </w:r>
      <w:r w:rsidR="00970511" w:rsidRPr="000C33B8">
        <w:rPr>
          <w:szCs w:val="24"/>
          <w:lang w:val="fr-CH"/>
        </w:rPr>
        <w:t>l</w:t>
      </w:r>
      <w:r w:rsidRPr="000C33B8">
        <w:rPr>
          <w:szCs w:val="24"/>
          <w:lang w:val="fr-CH"/>
        </w:rPr>
        <w:t xml:space="preserve">es mesures qui </w:t>
      </w:r>
      <w:r w:rsidR="00970511" w:rsidRPr="000C33B8">
        <w:rPr>
          <w:szCs w:val="24"/>
          <w:lang w:val="fr-CH"/>
        </w:rPr>
        <w:t>intègrent l’utilisation</w:t>
      </w:r>
      <w:r w:rsidRPr="000C33B8">
        <w:rPr>
          <w:szCs w:val="24"/>
          <w:lang w:val="fr-CH"/>
        </w:rPr>
        <w:t xml:space="preserve"> des technologies et des innovations intelligentes.</w:t>
      </w:r>
    </w:p>
    <w:p w:rsidR="00FA1C01" w:rsidRPr="000C33B8" w:rsidRDefault="00FA1C01" w:rsidP="004D28E7">
      <w:pPr>
        <w:pStyle w:val="SingleTxt"/>
        <w:rPr>
          <w:i/>
          <w:lang w:val="fr-CH"/>
        </w:rPr>
      </w:pPr>
      <w:r w:rsidRPr="000C33B8">
        <w:rPr>
          <w:i/>
          <w:lang w:val="fr-CH"/>
        </w:rPr>
        <w:t xml:space="preserve">Mesure de la </w:t>
      </w:r>
      <w:r w:rsidR="00970511" w:rsidRPr="000C33B8">
        <w:rPr>
          <w:i/>
          <w:lang w:val="fr-CH"/>
        </w:rPr>
        <w:t>f</w:t>
      </w:r>
      <w:r w:rsidRPr="000C33B8">
        <w:rPr>
          <w:i/>
          <w:lang w:val="fr-CH"/>
        </w:rPr>
        <w:t>euille de route visée</w:t>
      </w:r>
      <w:r w:rsidR="00970511" w:rsidRPr="000C33B8">
        <w:rPr>
          <w:i/>
          <w:lang w:val="fr-CH"/>
        </w:rPr>
        <w:t> </w:t>
      </w:r>
      <w:r w:rsidRPr="000C33B8">
        <w:rPr>
          <w:i/>
          <w:lang w:val="fr-CH"/>
        </w:rPr>
        <w:t xml:space="preserve">: </w:t>
      </w:r>
      <w:r w:rsidR="00970511" w:rsidRPr="000C33B8">
        <w:rPr>
          <w:i/>
          <w:lang w:val="fr-CH"/>
        </w:rPr>
        <w:t>m</w:t>
      </w:r>
      <w:r w:rsidRPr="000C33B8">
        <w:rPr>
          <w:i/>
          <w:lang w:val="fr-CH"/>
        </w:rPr>
        <w:t>esure 2.</w:t>
      </w:r>
    </w:p>
    <w:p w:rsidR="004D28E7" w:rsidRPr="000C33B8" w:rsidRDefault="004D28E7" w:rsidP="004D28E7">
      <w:pPr>
        <w:pStyle w:val="SingleTxt"/>
        <w:spacing w:after="0" w:line="120" w:lineRule="exact"/>
        <w:rPr>
          <w:i/>
          <w:sz w:val="10"/>
          <w:lang w:val="fr-CH"/>
        </w:rPr>
      </w:pPr>
    </w:p>
    <w:p w:rsidR="004D28E7" w:rsidRPr="000C33B8" w:rsidRDefault="004D28E7" w:rsidP="004D28E7">
      <w:pPr>
        <w:pStyle w:val="SingleTxt"/>
        <w:spacing w:after="0" w:line="120" w:lineRule="exact"/>
        <w:rPr>
          <w:i/>
          <w:sz w:val="10"/>
          <w:lang w:val="fr-CH"/>
        </w:rPr>
      </w:pPr>
    </w:p>
    <w:p w:rsidR="00FA1C01" w:rsidRPr="000C33B8" w:rsidRDefault="004D28E7" w:rsidP="004D28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33B8">
        <w:rPr>
          <w:lang w:val="fr-CH"/>
        </w:rPr>
        <w:tab/>
      </w:r>
      <w:r w:rsidR="00FA1C01" w:rsidRPr="000C33B8">
        <w:rPr>
          <w:lang w:val="fr-CH"/>
        </w:rPr>
        <w:t>B.</w:t>
      </w:r>
      <w:r w:rsidR="00FA1C01" w:rsidRPr="000C33B8">
        <w:rPr>
          <w:lang w:val="fr-CH"/>
        </w:rPr>
        <w:tab/>
        <w:t xml:space="preserve">Colloque de l’Union internationale des télécommunications </w:t>
      </w:r>
      <w:r w:rsidRPr="000C33B8">
        <w:rPr>
          <w:lang w:val="fr-CH"/>
        </w:rPr>
        <w:br/>
      </w:r>
      <w:r w:rsidR="00FA1C01" w:rsidRPr="000C33B8">
        <w:rPr>
          <w:lang w:val="fr-CH"/>
        </w:rPr>
        <w:t>sur la voiture connectée du futur</w:t>
      </w:r>
    </w:p>
    <w:p w:rsidR="004D28E7" w:rsidRPr="000C33B8" w:rsidRDefault="004D28E7" w:rsidP="004D28E7">
      <w:pPr>
        <w:pStyle w:val="SingleTxt"/>
        <w:spacing w:after="0" w:line="120" w:lineRule="exact"/>
        <w:rPr>
          <w:sz w:val="10"/>
          <w:lang w:val="fr-CH"/>
        </w:rPr>
      </w:pPr>
    </w:p>
    <w:p w:rsidR="004D28E7" w:rsidRPr="000C33B8" w:rsidRDefault="004D28E7" w:rsidP="004D28E7">
      <w:pPr>
        <w:pStyle w:val="SingleTxt"/>
        <w:spacing w:after="0" w:line="120" w:lineRule="exact"/>
        <w:rPr>
          <w:sz w:val="10"/>
          <w:lang w:val="fr-CH"/>
        </w:rPr>
      </w:pPr>
    </w:p>
    <w:p w:rsidR="00FA1C01" w:rsidRPr="000C33B8" w:rsidRDefault="00FA1C01" w:rsidP="004D28E7">
      <w:pPr>
        <w:pStyle w:val="SingleTxt"/>
        <w:rPr>
          <w:lang w:val="fr-CH"/>
        </w:rPr>
      </w:pPr>
      <w:r w:rsidRPr="000C33B8">
        <w:rPr>
          <w:i/>
          <w:lang w:val="fr-CH"/>
        </w:rPr>
        <w:t>Document</w:t>
      </w:r>
      <w:r w:rsidR="004D28E7" w:rsidRPr="000C33B8">
        <w:rPr>
          <w:i/>
          <w:lang w:val="fr-CH"/>
        </w:rPr>
        <w:t> </w:t>
      </w:r>
      <w:r w:rsidRPr="000C33B8">
        <w:rPr>
          <w:lang w:val="fr-CH"/>
        </w:rPr>
        <w:t>:</w:t>
      </w:r>
      <w:r w:rsidRPr="000C33B8">
        <w:rPr>
          <w:lang w:val="fr-CH"/>
        </w:rPr>
        <w:tab/>
        <w:t>http://itu.int/en/fnc/2015/</w:t>
      </w:r>
      <w:r w:rsidR="004D28E7" w:rsidRPr="000C33B8">
        <w:rPr>
          <w:lang w:val="fr-CH"/>
        </w:rPr>
        <w:t>.</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À la suite du débat de politique générale de 2015, la CEE a organisé conjointement avec l’Union internationale des télécommunications (UIT) le colloque de 2015 sur la voiture connectée du futur, qui s’est tenu pendant le Salon de l’automobile de Genève et s’adressait donc à un vaste public de professionnels des secteurs des transports et des télécommunications. Le colloque international a passé en revue les progrès réalisés dans le domaine des véhicules connectés sous l</w:t>
      </w:r>
      <w:r w:rsidR="004D28E7" w:rsidRPr="000C33B8">
        <w:rPr>
          <w:szCs w:val="24"/>
          <w:lang w:val="fr-CH"/>
        </w:rPr>
        <w:t>’</w:t>
      </w:r>
      <w:r w:rsidRPr="000C33B8">
        <w:rPr>
          <w:szCs w:val="24"/>
          <w:lang w:val="fr-CH"/>
        </w:rPr>
        <w:t xml:space="preserve">angle commercial, technologique et réglementaire. </w:t>
      </w:r>
      <w:r w:rsidR="00970511" w:rsidRPr="000C33B8">
        <w:rPr>
          <w:szCs w:val="24"/>
          <w:lang w:val="fr-CH"/>
        </w:rPr>
        <w:t>La très grande importance</w:t>
      </w:r>
      <w:r w:rsidRPr="000C33B8">
        <w:rPr>
          <w:szCs w:val="24"/>
          <w:lang w:val="fr-CH"/>
        </w:rPr>
        <w:t xml:space="preserve"> des protocoles de communication, de la sécurité de l'information, des systèmes embarqués d</w:t>
      </w:r>
      <w:r w:rsidR="004D28E7" w:rsidRPr="000C33B8">
        <w:rPr>
          <w:szCs w:val="24"/>
          <w:lang w:val="fr-CH"/>
        </w:rPr>
        <w:t>’</w:t>
      </w:r>
      <w:r w:rsidRPr="000C33B8">
        <w:rPr>
          <w:szCs w:val="24"/>
          <w:lang w:val="fr-CH"/>
        </w:rPr>
        <w:t>appel d</w:t>
      </w:r>
      <w:r w:rsidR="005F2A51">
        <w:rPr>
          <w:szCs w:val="24"/>
          <w:lang w:val="fr-CH"/>
        </w:rPr>
        <w:t>’</w:t>
      </w:r>
      <w:r w:rsidRPr="000C33B8">
        <w:rPr>
          <w:szCs w:val="24"/>
          <w:lang w:val="fr-CH"/>
        </w:rPr>
        <w:t>urgence</w:t>
      </w:r>
      <w:r w:rsidR="00970511" w:rsidRPr="000C33B8">
        <w:rPr>
          <w:szCs w:val="24"/>
          <w:lang w:val="fr-CH"/>
        </w:rPr>
        <w:t xml:space="preserve"> et</w:t>
      </w:r>
      <w:r w:rsidRPr="000C33B8">
        <w:rPr>
          <w:szCs w:val="24"/>
          <w:lang w:val="fr-CH"/>
        </w:rPr>
        <w:t xml:space="preserve"> des services de localisation et de cartographie a été souligné</w:t>
      </w:r>
      <w:r w:rsidR="00970511" w:rsidRPr="000C33B8">
        <w:rPr>
          <w:szCs w:val="24"/>
          <w:lang w:val="fr-CH"/>
        </w:rPr>
        <w:t>e</w:t>
      </w:r>
      <w:r w:rsidRPr="000C33B8">
        <w:rPr>
          <w:szCs w:val="24"/>
          <w:lang w:val="fr-CH"/>
        </w:rPr>
        <w:t xml:space="preserve"> lors des séances techniques.</w:t>
      </w:r>
    </w:p>
    <w:p w:rsidR="00FA1C01" w:rsidRPr="000C33B8" w:rsidRDefault="00FA1C01" w:rsidP="004D28E7">
      <w:pPr>
        <w:pStyle w:val="SingleTxt"/>
        <w:rPr>
          <w:lang w:val="fr-CH"/>
        </w:rPr>
      </w:pPr>
      <w:r w:rsidRPr="000C33B8">
        <w:rPr>
          <w:i/>
          <w:lang w:val="fr-CH"/>
        </w:rPr>
        <w:t xml:space="preserve">Mesures de la </w:t>
      </w:r>
      <w:r w:rsidR="00970511" w:rsidRPr="000C33B8">
        <w:rPr>
          <w:i/>
          <w:lang w:val="fr-CH"/>
        </w:rPr>
        <w:t>f</w:t>
      </w:r>
      <w:r w:rsidRPr="000C33B8">
        <w:rPr>
          <w:i/>
          <w:lang w:val="fr-CH"/>
        </w:rPr>
        <w:t>euille de route visées</w:t>
      </w:r>
      <w:r w:rsidR="004D28E7" w:rsidRPr="000C33B8">
        <w:rPr>
          <w:i/>
          <w:lang w:val="fr-CH"/>
        </w:rPr>
        <w:t> </w:t>
      </w:r>
      <w:r w:rsidRPr="000C33B8">
        <w:rPr>
          <w:lang w:val="fr-CH"/>
        </w:rPr>
        <w:t xml:space="preserve">: </w:t>
      </w:r>
      <w:r w:rsidR="00970511" w:rsidRPr="000C33B8">
        <w:rPr>
          <w:lang w:val="fr-CH"/>
        </w:rPr>
        <w:t>m</w:t>
      </w:r>
      <w:r w:rsidRPr="000C33B8">
        <w:rPr>
          <w:lang w:val="fr-CH"/>
        </w:rPr>
        <w:t>esures 2, 3, 4, 5, 8, 9 et 17.</w:t>
      </w:r>
    </w:p>
    <w:p w:rsidR="004D28E7" w:rsidRPr="000C33B8" w:rsidRDefault="004D28E7" w:rsidP="004D28E7">
      <w:pPr>
        <w:pStyle w:val="SingleTxt"/>
        <w:spacing w:after="0" w:line="120" w:lineRule="exact"/>
        <w:rPr>
          <w:sz w:val="10"/>
          <w:lang w:val="fr-CH"/>
        </w:rPr>
      </w:pPr>
    </w:p>
    <w:p w:rsidR="004D28E7" w:rsidRPr="000C33B8" w:rsidRDefault="004D28E7" w:rsidP="004D28E7">
      <w:pPr>
        <w:pStyle w:val="SingleTxt"/>
        <w:spacing w:after="0" w:line="120" w:lineRule="exact"/>
        <w:rPr>
          <w:sz w:val="10"/>
          <w:lang w:val="fr-CH"/>
        </w:rPr>
      </w:pPr>
    </w:p>
    <w:p w:rsidR="00FA1C01" w:rsidRPr="000C33B8" w:rsidRDefault="00970511" w:rsidP="009705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33B8">
        <w:rPr>
          <w:lang w:val="fr-CH"/>
        </w:rPr>
        <w:tab/>
      </w:r>
      <w:r w:rsidR="00FA1C01" w:rsidRPr="000C33B8">
        <w:rPr>
          <w:lang w:val="fr-CH"/>
        </w:rPr>
        <w:t>C.</w:t>
      </w:r>
      <w:r w:rsidR="00FA1C01" w:rsidRPr="000C33B8">
        <w:rPr>
          <w:lang w:val="fr-CH"/>
        </w:rPr>
        <w:tab/>
        <w:t xml:space="preserve">Table ronde annuelle sur les systèmes </w:t>
      </w:r>
      <w:r w:rsidRPr="000C33B8">
        <w:rPr>
          <w:lang w:val="fr-CH"/>
        </w:rPr>
        <w:t xml:space="preserve">et services </w:t>
      </w:r>
      <w:r w:rsidR="00FA1C01" w:rsidRPr="000C33B8">
        <w:rPr>
          <w:lang w:val="fr-CH"/>
        </w:rPr>
        <w:t xml:space="preserve">de </w:t>
      </w:r>
      <w:r w:rsidR="004D28E7" w:rsidRPr="000C33B8">
        <w:rPr>
          <w:lang w:val="fr-CH"/>
        </w:rPr>
        <w:t>t</w:t>
      </w:r>
      <w:r w:rsidR="00FA1C01" w:rsidRPr="000C33B8">
        <w:rPr>
          <w:lang w:val="fr-CH"/>
        </w:rPr>
        <w:t xml:space="preserve">ransport </w:t>
      </w:r>
      <w:r w:rsidRPr="000C33B8">
        <w:rPr>
          <w:lang w:val="fr-CH"/>
        </w:rPr>
        <w:br/>
      </w:r>
      <w:r w:rsidR="00FA1C01" w:rsidRPr="000C33B8">
        <w:rPr>
          <w:lang w:val="fr-CH"/>
        </w:rPr>
        <w:t>intelligents (STI)</w:t>
      </w:r>
    </w:p>
    <w:p w:rsidR="004D28E7" w:rsidRPr="000C33B8" w:rsidRDefault="004D28E7" w:rsidP="004D28E7">
      <w:pPr>
        <w:pStyle w:val="SingleTxt"/>
        <w:spacing w:after="0" w:line="120" w:lineRule="exact"/>
        <w:rPr>
          <w:sz w:val="10"/>
          <w:lang w:val="fr-CH"/>
        </w:rPr>
      </w:pPr>
    </w:p>
    <w:p w:rsidR="004D28E7" w:rsidRPr="000C33B8" w:rsidRDefault="004D28E7" w:rsidP="004D28E7">
      <w:pPr>
        <w:pStyle w:val="SingleTxt"/>
        <w:spacing w:after="0" w:line="120" w:lineRule="exact"/>
        <w:rPr>
          <w:sz w:val="10"/>
          <w:lang w:val="fr-CH"/>
        </w:rPr>
      </w:pPr>
    </w:p>
    <w:p w:rsidR="00FA1C01" w:rsidRPr="000C33B8" w:rsidRDefault="00FA1C01" w:rsidP="004D28E7">
      <w:pPr>
        <w:pStyle w:val="SingleTxt"/>
        <w:rPr>
          <w:u w:val="single"/>
          <w:lang w:val="fr-CH"/>
        </w:rPr>
      </w:pPr>
      <w:r w:rsidRPr="000C33B8">
        <w:rPr>
          <w:i/>
          <w:lang w:val="fr-CH"/>
        </w:rPr>
        <w:t>Document</w:t>
      </w:r>
      <w:r w:rsidR="004D28E7" w:rsidRPr="000C33B8">
        <w:rPr>
          <w:i/>
          <w:lang w:val="fr-CH"/>
        </w:rPr>
        <w:t> </w:t>
      </w:r>
      <w:r w:rsidRPr="000C33B8">
        <w:rPr>
          <w:lang w:val="fr-CH"/>
        </w:rPr>
        <w:t>:</w:t>
      </w:r>
      <w:r w:rsidR="004D28E7" w:rsidRPr="000C33B8">
        <w:rPr>
          <w:lang w:val="fr-CH"/>
        </w:rPr>
        <w:tab/>
      </w:r>
      <w:r w:rsidRPr="000C33B8">
        <w:rPr>
          <w:lang w:val="fr-CH"/>
        </w:rPr>
        <w:t>www.unece.org/index.php?id=39185#/</w:t>
      </w:r>
      <w:r w:rsidR="004D28E7" w:rsidRPr="000C33B8">
        <w:rPr>
          <w:lang w:val="fr-CH"/>
        </w:rPr>
        <w:t>.</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Cette année, la CEE a organisé sa table ronde annuelle sur les STI à Bordeaux durant le Congrès mondial sur les STI de 2015, en collaboration avec le Ministère français de l'écologie, du développement durable et de l</w:t>
      </w:r>
      <w:r w:rsidR="00970511" w:rsidRPr="000C33B8">
        <w:rPr>
          <w:szCs w:val="24"/>
          <w:lang w:val="fr-CH"/>
        </w:rPr>
        <w:t>’</w:t>
      </w:r>
      <w:r w:rsidRPr="000C33B8">
        <w:rPr>
          <w:szCs w:val="24"/>
          <w:lang w:val="fr-CH"/>
        </w:rPr>
        <w:t>énergie et avec le soutien du Michelin Challenge</w:t>
      </w:r>
      <w:r w:rsidR="00970511" w:rsidRPr="000C33B8">
        <w:rPr>
          <w:szCs w:val="24"/>
          <w:lang w:val="fr-CH"/>
        </w:rPr>
        <w:t xml:space="preserve"> Bibendum</w:t>
      </w:r>
      <w:r w:rsidRPr="000C33B8">
        <w:rPr>
          <w:szCs w:val="24"/>
          <w:lang w:val="fr-CH"/>
        </w:rPr>
        <w:t>. Conformément aux objectifs de la vingt et unième session de la Conférence des Parties à la Convention-cadre des Nations Unies sur les changements climatiques, des décideurs et des experts internationaux ont présenté des exposés sur l</w:t>
      </w:r>
      <w:r w:rsidR="00970511" w:rsidRPr="000C33B8">
        <w:rPr>
          <w:szCs w:val="24"/>
          <w:lang w:val="fr-CH"/>
        </w:rPr>
        <w:t>’</w:t>
      </w:r>
      <w:r w:rsidRPr="000C33B8">
        <w:rPr>
          <w:szCs w:val="24"/>
          <w:lang w:val="fr-CH"/>
        </w:rPr>
        <w:t>utilisation pouvant être faite des nouveaux services en matière de mobilité et des techniques liées aux STI pour atténuer les changements climatiques. Cet</w:t>
      </w:r>
      <w:r w:rsidR="00970511" w:rsidRPr="000C33B8">
        <w:rPr>
          <w:szCs w:val="24"/>
          <w:lang w:val="fr-CH"/>
        </w:rPr>
        <w:t>te table ronde</w:t>
      </w:r>
      <w:r w:rsidRPr="000C33B8">
        <w:rPr>
          <w:szCs w:val="24"/>
          <w:lang w:val="fr-CH"/>
        </w:rPr>
        <w:t xml:space="preserve"> était l'une des réunions relatives aux transports organisées dans le cadre du </w:t>
      </w:r>
      <w:r w:rsidR="00970511" w:rsidRPr="000C33B8">
        <w:rPr>
          <w:szCs w:val="24"/>
          <w:lang w:val="fr-CH"/>
        </w:rPr>
        <w:t>Programme</w:t>
      </w:r>
      <w:r w:rsidRPr="000C33B8">
        <w:rPr>
          <w:szCs w:val="24"/>
          <w:lang w:val="fr-CH"/>
        </w:rPr>
        <w:t xml:space="preserve"> d</w:t>
      </w:r>
      <w:r w:rsidR="00970511" w:rsidRPr="000C33B8">
        <w:rPr>
          <w:szCs w:val="24"/>
          <w:lang w:val="fr-CH"/>
        </w:rPr>
        <w:t>’</w:t>
      </w:r>
      <w:r w:rsidRPr="000C33B8">
        <w:rPr>
          <w:szCs w:val="24"/>
          <w:lang w:val="fr-CH"/>
        </w:rPr>
        <w:t xml:space="preserve">action Lima-Paris de la vingt et unième session de la Conférence des Parties. </w:t>
      </w:r>
      <w:r w:rsidR="00970511" w:rsidRPr="000C33B8">
        <w:rPr>
          <w:szCs w:val="24"/>
          <w:lang w:val="fr-CH"/>
        </w:rPr>
        <w:t>Elle a été l’occasion de passer</w:t>
      </w:r>
      <w:r w:rsidRPr="000C33B8">
        <w:rPr>
          <w:szCs w:val="24"/>
          <w:lang w:val="fr-CH"/>
        </w:rPr>
        <w:t xml:space="preserve"> en revue </w:t>
      </w:r>
      <w:r w:rsidR="00970511" w:rsidRPr="000C33B8">
        <w:rPr>
          <w:szCs w:val="24"/>
          <w:lang w:val="fr-CH"/>
        </w:rPr>
        <w:t>les meilleures</w:t>
      </w:r>
      <w:r w:rsidRPr="000C33B8">
        <w:rPr>
          <w:szCs w:val="24"/>
          <w:lang w:val="fr-CH"/>
        </w:rPr>
        <w:t xml:space="preserve"> applications classiques </w:t>
      </w:r>
      <w:r w:rsidR="00970511" w:rsidRPr="000C33B8">
        <w:rPr>
          <w:szCs w:val="24"/>
          <w:lang w:val="fr-CH"/>
        </w:rPr>
        <w:t xml:space="preserve">des STI </w:t>
      </w:r>
      <w:r w:rsidRPr="000C33B8">
        <w:rPr>
          <w:szCs w:val="24"/>
          <w:lang w:val="fr-CH"/>
        </w:rPr>
        <w:t xml:space="preserve">en Chine, les nouvelles manières de gérer la mobilité comme un service (mobilité </w:t>
      </w:r>
      <w:r w:rsidR="00970511" w:rsidRPr="000C33B8">
        <w:rPr>
          <w:szCs w:val="24"/>
          <w:lang w:val="fr-CH"/>
        </w:rPr>
        <w:t>« </w:t>
      </w:r>
      <w:r w:rsidRPr="000C33B8">
        <w:rPr>
          <w:szCs w:val="24"/>
          <w:lang w:val="fr-CH"/>
        </w:rPr>
        <w:t>porte à porte</w:t>
      </w:r>
      <w:r w:rsidR="00970511" w:rsidRPr="000C33B8">
        <w:rPr>
          <w:szCs w:val="24"/>
          <w:lang w:val="fr-CH"/>
        </w:rPr>
        <w:t> »</w:t>
      </w:r>
      <w:r w:rsidRPr="000C33B8">
        <w:rPr>
          <w:szCs w:val="24"/>
          <w:lang w:val="fr-CH"/>
        </w:rPr>
        <w:t>)</w:t>
      </w:r>
      <w:r w:rsidR="00970511" w:rsidRPr="000C33B8">
        <w:rPr>
          <w:szCs w:val="24"/>
          <w:lang w:val="fr-CH"/>
        </w:rPr>
        <w:t>,</w:t>
      </w:r>
      <w:r w:rsidRPr="000C33B8">
        <w:rPr>
          <w:szCs w:val="24"/>
          <w:lang w:val="fr-CH"/>
        </w:rPr>
        <w:t xml:space="preserve"> ainsi que les nouvelles formes de mobilité</w:t>
      </w:r>
      <w:r w:rsidR="00970511" w:rsidRPr="000C33B8">
        <w:rPr>
          <w:szCs w:val="24"/>
          <w:lang w:val="fr-CH"/>
        </w:rPr>
        <w:t>,</w:t>
      </w:r>
      <w:r w:rsidRPr="000C33B8">
        <w:rPr>
          <w:szCs w:val="24"/>
          <w:lang w:val="fr-CH"/>
        </w:rPr>
        <w:t xml:space="preserve"> comme le covoiturage</w:t>
      </w:r>
      <w:r w:rsidR="00970511" w:rsidRPr="000C33B8">
        <w:rPr>
          <w:szCs w:val="24"/>
          <w:lang w:val="fr-CH"/>
        </w:rPr>
        <w:t>,</w:t>
      </w:r>
      <w:r w:rsidRPr="000C33B8">
        <w:rPr>
          <w:szCs w:val="24"/>
          <w:lang w:val="fr-CH"/>
        </w:rPr>
        <w:t xml:space="preserve"> et les incidences qu’elles peuvent avoir sur les changements climatiques.</w:t>
      </w:r>
    </w:p>
    <w:p w:rsidR="00FA1C01" w:rsidRPr="000C33B8" w:rsidRDefault="00FA1C01" w:rsidP="004D28E7">
      <w:pPr>
        <w:pStyle w:val="SingleTxt"/>
        <w:rPr>
          <w:lang w:val="fr-CH"/>
        </w:rPr>
      </w:pPr>
      <w:r w:rsidRPr="000C33B8">
        <w:rPr>
          <w:i/>
          <w:lang w:val="fr-CH"/>
        </w:rPr>
        <w:lastRenderedPageBreak/>
        <w:t xml:space="preserve">Mesures de la </w:t>
      </w:r>
      <w:r w:rsidR="00970511" w:rsidRPr="000C33B8">
        <w:rPr>
          <w:i/>
          <w:lang w:val="fr-CH"/>
        </w:rPr>
        <w:t>f</w:t>
      </w:r>
      <w:r w:rsidRPr="000C33B8">
        <w:rPr>
          <w:i/>
          <w:lang w:val="fr-CH"/>
        </w:rPr>
        <w:t>euille de route visées</w:t>
      </w:r>
      <w:r w:rsidR="004D28E7" w:rsidRPr="000C33B8">
        <w:rPr>
          <w:lang w:val="fr-CH"/>
        </w:rPr>
        <w:t> </w:t>
      </w:r>
      <w:r w:rsidRPr="000C33B8">
        <w:rPr>
          <w:lang w:val="fr-CH"/>
        </w:rPr>
        <w:t xml:space="preserve">: </w:t>
      </w:r>
      <w:r w:rsidR="00970511" w:rsidRPr="000C33B8">
        <w:rPr>
          <w:lang w:val="fr-CH"/>
        </w:rPr>
        <w:t>m</w:t>
      </w:r>
      <w:r w:rsidRPr="000C33B8">
        <w:rPr>
          <w:lang w:val="fr-CH"/>
        </w:rPr>
        <w:t>esures 1, 2, 3, 4, 5, 7, 9, 11, 13, 15, 16, 17, 18, 19 et 20</w:t>
      </w:r>
      <w:r w:rsidR="004D28E7" w:rsidRPr="000C33B8">
        <w:rPr>
          <w:lang w:val="fr-CH"/>
        </w:rPr>
        <w:t>.</w:t>
      </w:r>
    </w:p>
    <w:p w:rsidR="004D28E7" w:rsidRPr="000C33B8" w:rsidRDefault="004D28E7" w:rsidP="004D28E7">
      <w:pPr>
        <w:pStyle w:val="SingleTxt"/>
        <w:spacing w:after="0" w:line="120" w:lineRule="exact"/>
        <w:rPr>
          <w:sz w:val="10"/>
          <w:lang w:val="fr-CH"/>
        </w:rPr>
      </w:pPr>
    </w:p>
    <w:p w:rsidR="004D28E7" w:rsidRPr="000C33B8" w:rsidRDefault="004D28E7" w:rsidP="004D28E7">
      <w:pPr>
        <w:pStyle w:val="SingleTxt"/>
        <w:spacing w:after="0" w:line="120" w:lineRule="exact"/>
        <w:rPr>
          <w:sz w:val="10"/>
          <w:lang w:val="fr-CH"/>
        </w:rPr>
      </w:pPr>
    </w:p>
    <w:p w:rsidR="00FA1C01" w:rsidRPr="000C33B8" w:rsidRDefault="00FA1C01" w:rsidP="004D28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D.</w:t>
      </w:r>
      <w:r w:rsidRPr="000C33B8">
        <w:rPr>
          <w:lang w:val="fr-CH"/>
        </w:rPr>
        <w:tab/>
        <w:t>Groupes de travail du Comité des transports intérieurs</w:t>
      </w:r>
    </w:p>
    <w:p w:rsidR="004D28E7" w:rsidRPr="000C33B8" w:rsidRDefault="004D28E7" w:rsidP="004D28E7">
      <w:pPr>
        <w:pStyle w:val="SingleTxt"/>
        <w:spacing w:after="0" w:line="120" w:lineRule="exact"/>
        <w:rPr>
          <w:sz w:val="10"/>
          <w:lang w:val="fr-CH"/>
        </w:rPr>
      </w:pPr>
    </w:p>
    <w:p w:rsidR="004D28E7" w:rsidRPr="000C33B8" w:rsidRDefault="004D28E7" w:rsidP="004D28E7">
      <w:pPr>
        <w:pStyle w:val="SingleTxt"/>
        <w:spacing w:after="0" w:line="120" w:lineRule="exact"/>
        <w:rPr>
          <w:sz w:val="10"/>
          <w:lang w:val="fr-CH"/>
        </w:rPr>
      </w:pPr>
    </w:p>
    <w:p w:rsidR="00FA1C01" w:rsidRPr="000C33B8" w:rsidRDefault="00FA1C01" w:rsidP="004D28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a)</w:t>
      </w:r>
      <w:r w:rsidRPr="000C33B8">
        <w:rPr>
          <w:lang w:val="fr-CH"/>
        </w:rPr>
        <w:tab/>
        <w:t>Groupe de travail des transports par voie navigable (SC.3)</w:t>
      </w:r>
    </w:p>
    <w:p w:rsidR="004D28E7" w:rsidRPr="000C33B8" w:rsidRDefault="004D28E7" w:rsidP="004D28E7">
      <w:pPr>
        <w:pStyle w:val="SingleTxt"/>
        <w:spacing w:after="0" w:line="120" w:lineRule="exact"/>
        <w:rPr>
          <w:sz w:val="10"/>
          <w:lang w:val="fr-CH"/>
        </w:rPr>
      </w:pP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Le Groupe de travail des transports par voie navigable a poursuivi ses travaux sur les applications des STI relatives aux systèmes électroniques de notification en navigation intérieure et sur l'harmonisation des services paneuropéens d’information fluviale.</w:t>
      </w:r>
    </w:p>
    <w:p w:rsidR="00FA1C01" w:rsidRPr="000C33B8" w:rsidRDefault="00FA1C01" w:rsidP="004D28E7">
      <w:pPr>
        <w:pStyle w:val="SingleTxt"/>
        <w:rPr>
          <w:lang w:val="fr-CH"/>
        </w:rPr>
      </w:pPr>
      <w:r w:rsidRPr="000C33B8">
        <w:rPr>
          <w:i/>
          <w:lang w:val="fr-CH"/>
        </w:rPr>
        <w:t xml:space="preserve">Mesure de la </w:t>
      </w:r>
      <w:r w:rsidR="00970511" w:rsidRPr="000C33B8">
        <w:rPr>
          <w:i/>
          <w:lang w:val="fr-CH"/>
        </w:rPr>
        <w:t>f</w:t>
      </w:r>
      <w:r w:rsidRPr="000C33B8">
        <w:rPr>
          <w:i/>
          <w:lang w:val="fr-CH"/>
        </w:rPr>
        <w:t>euille de route visée</w:t>
      </w:r>
      <w:r w:rsidR="004D28E7" w:rsidRPr="000C33B8">
        <w:rPr>
          <w:i/>
          <w:lang w:val="fr-CH"/>
        </w:rPr>
        <w:t> </w:t>
      </w:r>
      <w:r w:rsidRPr="000C33B8">
        <w:rPr>
          <w:lang w:val="fr-CH"/>
        </w:rPr>
        <w:t xml:space="preserve">: </w:t>
      </w:r>
      <w:r w:rsidR="00970511" w:rsidRPr="000C33B8">
        <w:rPr>
          <w:lang w:val="fr-CH"/>
        </w:rPr>
        <w:t>m</w:t>
      </w:r>
      <w:r w:rsidRPr="000C33B8">
        <w:rPr>
          <w:lang w:val="fr-CH"/>
        </w:rPr>
        <w:t>esure 14.</w:t>
      </w:r>
    </w:p>
    <w:p w:rsidR="004D28E7" w:rsidRPr="000C33B8" w:rsidRDefault="004D28E7" w:rsidP="004D28E7">
      <w:pPr>
        <w:pStyle w:val="SingleTxt"/>
        <w:spacing w:after="0" w:line="120" w:lineRule="exact"/>
        <w:rPr>
          <w:sz w:val="10"/>
          <w:lang w:val="fr-CH"/>
        </w:rPr>
      </w:pPr>
    </w:p>
    <w:p w:rsidR="00FA1C01" w:rsidRPr="000C33B8" w:rsidRDefault="00FA1C01" w:rsidP="004D28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b)</w:t>
      </w:r>
      <w:r w:rsidRPr="000C33B8">
        <w:rPr>
          <w:lang w:val="fr-CH"/>
        </w:rPr>
        <w:tab/>
        <w:t>Groupe de travail des transports de m</w:t>
      </w:r>
      <w:r w:rsidR="004D28E7" w:rsidRPr="000C33B8">
        <w:rPr>
          <w:lang w:val="fr-CH"/>
        </w:rPr>
        <w:t>archandises dangereuses (WP.15)</w:t>
      </w:r>
    </w:p>
    <w:p w:rsidR="004D28E7" w:rsidRPr="000C33B8" w:rsidRDefault="004D28E7" w:rsidP="004D28E7">
      <w:pPr>
        <w:pStyle w:val="SingleTxt"/>
        <w:spacing w:after="0" w:line="120" w:lineRule="exact"/>
        <w:rPr>
          <w:sz w:val="10"/>
          <w:lang w:val="fr-CH"/>
        </w:rPr>
      </w:pP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La Réunion commune de la Commission d’experts du RID (Règlement concernant le transport international ferroviaire des marchandises dangereuses) et du WP.15, a poursuivi (par l’intermédiaire de son groupe de travail informel </w:t>
      </w:r>
      <w:r w:rsidR="00970511" w:rsidRPr="000C33B8">
        <w:rPr>
          <w:szCs w:val="24"/>
          <w:lang w:val="fr-CH"/>
        </w:rPr>
        <w:t>chargé de</w:t>
      </w:r>
      <w:r w:rsidRPr="000C33B8">
        <w:rPr>
          <w:szCs w:val="24"/>
          <w:lang w:val="fr-CH"/>
        </w:rPr>
        <w:t xml:space="preserve"> la télématique) ses travaux sur les applications des STI visant, entre autres, à accroître la rapidité et l’efficacité des interventions d’urgence concernant les marchandises dangereuses en cours de transport. </w:t>
      </w:r>
      <w:r w:rsidR="00970511" w:rsidRPr="000C33B8">
        <w:rPr>
          <w:szCs w:val="24"/>
          <w:lang w:val="fr-CH"/>
        </w:rPr>
        <w:t>On notera que le</w:t>
      </w:r>
      <w:r w:rsidRPr="000C33B8">
        <w:rPr>
          <w:szCs w:val="24"/>
          <w:lang w:val="fr-CH"/>
        </w:rPr>
        <w:t xml:space="preserve"> groupe </w:t>
      </w:r>
      <w:r w:rsidR="00970511" w:rsidRPr="000C33B8">
        <w:rPr>
          <w:szCs w:val="24"/>
          <w:lang w:val="fr-CH"/>
        </w:rPr>
        <w:t xml:space="preserve">de travail </w:t>
      </w:r>
      <w:r w:rsidRPr="000C33B8">
        <w:rPr>
          <w:szCs w:val="24"/>
          <w:lang w:val="fr-CH"/>
        </w:rPr>
        <w:t>informel a tenu une session à Bordeaux au cours du Congrès mondial 2015</w:t>
      </w:r>
      <w:r w:rsidR="00970511" w:rsidRPr="000C33B8">
        <w:rPr>
          <w:szCs w:val="24"/>
          <w:lang w:val="fr-CH"/>
        </w:rPr>
        <w:t xml:space="preserve"> sur les STI</w:t>
      </w:r>
      <w:r w:rsidRPr="000C33B8">
        <w:rPr>
          <w:szCs w:val="24"/>
          <w:lang w:val="fr-CH"/>
        </w:rPr>
        <w:t>.</w:t>
      </w:r>
    </w:p>
    <w:p w:rsidR="00FA1C01" w:rsidRPr="000C33B8" w:rsidRDefault="00FA1C01" w:rsidP="004D28E7">
      <w:pPr>
        <w:pStyle w:val="SingleTxt"/>
        <w:rPr>
          <w:lang w:val="fr-CH"/>
        </w:rPr>
      </w:pPr>
      <w:r w:rsidRPr="000C33B8">
        <w:rPr>
          <w:i/>
          <w:lang w:val="fr-CH"/>
        </w:rPr>
        <w:t xml:space="preserve">Mesure de la </w:t>
      </w:r>
      <w:r w:rsidR="00970511" w:rsidRPr="000C33B8">
        <w:rPr>
          <w:i/>
          <w:lang w:val="fr-CH"/>
        </w:rPr>
        <w:t>f</w:t>
      </w:r>
      <w:r w:rsidRPr="000C33B8">
        <w:rPr>
          <w:i/>
          <w:lang w:val="fr-CH"/>
        </w:rPr>
        <w:t>euille de route visée</w:t>
      </w:r>
      <w:r w:rsidR="004D28E7" w:rsidRPr="000C33B8">
        <w:rPr>
          <w:i/>
          <w:lang w:val="fr-CH"/>
        </w:rPr>
        <w:t> </w:t>
      </w:r>
      <w:r w:rsidRPr="000C33B8">
        <w:rPr>
          <w:lang w:val="fr-CH"/>
        </w:rPr>
        <w:t xml:space="preserve">: </w:t>
      </w:r>
      <w:r w:rsidR="00970511" w:rsidRPr="000C33B8">
        <w:rPr>
          <w:lang w:val="fr-CH"/>
        </w:rPr>
        <w:t>m</w:t>
      </w:r>
      <w:r w:rsidRPr="000C33B8">
        <w:rPr>
          <w:lang w:val="fr-CH"/>
        </w:rPr>
        <w:t>esure 12.</w:t>
      </w:r>
    </w:p>
    <w:p w:rsidR="004D28E7" w:rsidRPr="000C33B8" w:rsidRDefault="004D28E7" w:rsidP="004D28E7">
      <w:pPr>
        <w:pStyle w:val="SingleTxt"/>
        <w:spacing w:after="0" w:line="120" w:lineRule="exact"/>
        <w:rPr>
          <w:sz w:val="10"/>
          <w:lang w:val="fr-CH"/>
        </w:rPr>
      </w:pPr>
    </w:p>
    <w:p w:rsidR="00FA1C01" w:rsidRPr="000C33B8" w:rsidRDefault="00FA1C01" w:rsidP="004D28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c)</w:t>
      </w:r>
      <w:r w:rsidRPr="000C33B8">
        <w:rPr>
          <w:lang w:val="fr-CH"/>
        </w:rPr>
        <w:tab/>
        <w:t>Groupe de travail de la sécurité et de la circulation routières (WP.1)</w:t>
      </w:r>
    </w:p>
    <w:p w:rsidR="004D28E7" w:rsidRPr="000C33B8" w:rsidRDefault="004D28E7" w:rsidP="004D28E7">
      <w:pPr>
        <w:pStyle w:val="SingleTxt"/>
        <w:spacing w:after="0" w:line="120" w:lineRule="exact"/>
        <w:rPr>
          <w:sz w:val="10"/>
          <w:lang w:val="fr-CH"/>
        </w:rPr>
      </w:pP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L'amendement à la Convention de Vienne de 1968 sur la circulation routière, qui vise à ajouter un paragraphe 5</w:t>
      </w:r>
      <w:r w:rsidR="00970511" w:rsidRPr="000C33B8">
        <w:rPr>
          <w:szCs w:val="24"/>
          <w:lang w:val="fr-CH"/>
        </w:rPr>
        <w:t> </w:t>
      </w:r>
      <w:r w:rsidRPr="000C33B8">
        <w:rPr>
          <w:i/>
          <w:szCs w:val="24"/>
          <w:lang w:val="fr-CH"/>
        </w:rPr>
        <w:t>bis</w:t>
      </w:r>
      <w:r w:rsidRPr="000C33B8">
        <w:rPr>
          <w:szCs w:val="24"/>
          <w:lang w:val="fr-CH"/>
        </w:rPr>
        <w:t xml:space="preserve"> à l</w:t>
      </w:r>
      <w:r w:rsidR="00970511" w:rsidRPr="000C33B8">
        <w:rPr>
          <w:szCs w:val="24"/>
          <w:lang w:val="fr-CH"/>
        </w:rPr>
        <w:t>’a</w:t>
      </w:r>
      <w:r w:rsidRPr="000C33B8">
        <w:rPr>
          <w:szCs w:val="24"/>
          <w:lang w:val="fr-CH"/>
        </w:rPr>
        <w:t xml:space="preserve">rticle 8 </w:t>
      </w:r>
      <w:r w:rsidR="00970511" w:rsidRPr="000C33B8">
        <w:rPr>
          <w:szCs w:val="24"/>
          <w:lang w:val="fr-CH"/>
        </w:rPr>
        <w:t xml:space="preserve">(voir </w:t>
      </w:r>
      <w:r w:rsidRPr="000C33B8">
        <w:rPr>
          <w:szCs w:val="24"/>
          <w:lang w:val="fr-CH"/>
        </w:rPr>
        <w:t>ci-de</w:t>
      </w:r>
      <w:r w:rsidR="00970511" w:rsidRPr="000C33B8">
        <w:rPr>
          <w:szCs w:val="24"/>
          <w:lang w:val="fr-CH"/>
        </w:rPr>
        <w:t>ssous), entrera en vigueur le 23 </w:t>
      </w:r>
      <w:r w:rsidRPr="000C33B8">
        <w:rPr>
          <w:szCs w:val="24"/>
          <w:lang w:val="fr-CH"/>
        </w:rPr>
        <w:t xml:space="preserve">mars 2016. </w:t>
      </w:r>
    </w:p>
    <w:p w:rsidR="00FA1C01" w:rsidRPr="000C33B8" w:rsidRDefault="002864BC" w:rsidP="004D28E7">
      <w:pPr>
        <w:pStyle w:val="SingleTxt"/>
        <w:ind w:left="2218" w:hanging="951"/>
        <w:rPr>
          <w:i/>
          <w:lang w:val="fr-CH"/>
        </w:rPr>
      </w:pPr>
      <w:r w:rsidRPr="000C33B8">
        <w:rPr>
          <w:lang w:val="fr-CH"/>
        </w:rPr>
        <w:t>« </w:t>
      </w:r>
      <w:r w:rsidR="00FA1C01" w:rsidRPr="000C33B8">
        <w:rPr>
          <w:lang w:val="fr-CH"/>
        </w:rPr>
        <w:t xml:space="preserve">5 </w:t>
      </w:r>
      <w:r w:rsidR="00FA1C01" w:rsidRPr="000C33B8">
        <w:rPr>
          <w:i/>
          <w:lang w:val="fr-CH"/>
        </w:rPr>
        <w:t>bis</w:t>
      </w:r>
      <w:r w:rsidR="00FA1C01" w:rsidRPr="000C33B8">
        <w:rPr>
          <w:lang w:val="fr-CH"/>
        </w:rPr>
        <w:t>.</w:t>
      </w:r>
      <w:r w:rsidR="004D28E7" w:rsidRPr="000C33B8">
        <w:rPr>
          <w:lang w:val="fr-CH"/>
        </w:rPr>
        <w:tab/>
      </w:r>
      <w:r w:rsidR="00FA1C01" w:rsidRPr="000C33B8">
        <w:rPr>
          <w:i/>
          <w:lang w:val="fr-CH"/>
        </w:rPr>
        <w:t>Les systèmes embarqués ayant une incidence sur la conduite du véhicule sont réputés conformes au paragraphe 5 du présent article et au premier paragraphe de l’article 13 s’ils sont conformes aux prescriptions en matière de construction, de montage et d’utilisation énoncées dans les instruments juridiques internationaux relatifs aux véhicules à roues et aux équipements et pièces susceptibles d’être montés et/ou utilisés sur un véhicule à roues</w:t>
      </w:r>
      <w:r w:rsidR="00970511" w:rsidRPr="000C33B8">
        <w:rPr>
          <w:lang w:val="fr-CH"/>
        </w:rPr>
        <w:t>*</w:t>
      </w:r>
      <w:r w:rsidR="00FA1C01" w:rsidRPr="000C33B8">
        <w:rPr>
          <w:i/>
          <w:lang w:val="fr-CH"/>
        </w:rPr>
        <w:t>;</w:t>
      </w:r>
      <w:r w:rsidR="00FA1C01" w:rsidRPr="000C33B8">
        <w:rPr>
          <w:lang w:val="fr-CH"/>
        </w:rPr>
        <w:t xml:space="preserve"> </w:t>
      </w:r>
    </w:p>
    <w:p w:rsidR="00FA1C01" w:rsidRPr="000C33B8" w:rsidRDefault="002864BC" w:rsidP="002864BC">
      <w:pPr>
        <w:pStyle w:val="SingleTxt"/>
        <w:ind w:left="2218" w:hanging="951"/>
        <w:rPr>
          <w:i/>
          <w:lang w:val="fr-CH"/>
        </w:rPr>
      </w:pPr>
      <w:r w:rsidRPr="000C33B8">
        <w:rPr>
          <w:i/>
          <w:lang w:val="fr-CH"/>
        </w:rPr>
        <w:tab/>
      </w:r>
      <w:r w:rsidRPr="000C33B8">
        <w:rPr>
          <w:i/>
          <w:lang w:val="fr-CH"/>
        </w:rPr>
        <w:tab/>
      </w:r>
      <w:r w:rsidR="00FA1C01" w:rsidRPr="000C33B8">
        <w:rPr>
          <w:i/>
          <w:lang w:val="fr-CH"/>
        </w:rPr>
        <w:t>Les systèmes embarqués ayant une incidence sur la conduite d’un véhicule qui ne sont pas conformes aux prescriptions en matière de construction, de montage et d’utilisation susmentionnées sont réputés conformes au paragraphe 5 du présent article et au premier paragraphe de l’article 13 pour autant qu’ils puissent être neutralisés ou désactivés par le conduc</w:t>
      </w:r>
      <w:r w:rsidR="00970511" w:rsidRPr="000C33B8">
        <w:rPr>
          <w:i/>
          <w:lang w:val="fr-CH"/>
        </w:rPr>
        <w:t>teur</w:t>
      </w:r>
      <w:r w:rsidR="005F2A51">
        <w:rPr>
          <w:i/>
          <w:lang w:val="fr-CH"/>
        </w:rPr>
        <w:t>.</w:t>
      </w:r>
      <w:r w:rsidR="00970511" w:rsidRPr="000C33B8">
        <w:rPr>
          <w:i/>
          <w:lang w:val="fr-CH"/>
        </w:rPr>
        <w:t xml:space="preserve">» </w:t>
      </w:r>
      <w:r w:rsidR="00FA1C01" w:rsidRPr="000C33B8">
        <w:rPr>
          <w:i/>
          <w:lang w:val="fr-CH"/>
        </w:rPr>
        <w:t>(</w:t>
      </w:r>
      <w:proofErr w:type="gramStart"/>
      <w:r w:rsidR="00FA1C01" w:rsidRPr="000C33B8">
        <w:rPr>
          <w:i/>
          <w:lang w:val="fr-CH"/>
        </w:rPr>
        <w:t>la</w:t>
      </w:r>
      <w:proofErr w:type="gramEnd"/>
      <w:r w:rsidR="00FA1C01" w:rsidRPr="000C33B8">
        <w:rPr>
          <w:i/>
          <w:lang w:val="fr-CH"/>
        </w:rPr>
        <w:t xml:space="preserve"> note de bas de page n'est pas reproduite dans le présent document).</w:t>
      </w:r>
    </w:p>
    <w:p w:rsidR="00FA1C01" w:rsidRPr="000C33B8" w:rsidRDefault="00174015" w:rsidP="004D28E7">
      <w:pPr>
        <w:pStyle w:val="SingleTxt"/>
        <w:numPr>
          <w:ilvl w:val="0"/>
          <w:numId w:val="8"/>
        </w:numPr>
        <w:tabs>
          <w:tab w:val="clear" w:pos="475"/>
          <w:tab w:val="num" w:pos="1742"/>
        </w:tabs>
        <w:ind w:left="1267"/>
        <w:rPr>
          <w:szCs w:val="24"/>
          <w:lang w:val="fr-CH"/>
        </w:rPr>
      </w:pPr>
      <w:r w:rsidRPr="000C33B8">
        <w:rPr>
          <w:szCs w:val="24"/>
          <w:lang w:val="fr-CH"/>
        </w:rPr>
        <w:t xml:space="preserve">Parallèlement aux activités relatives à la Convention de Vienne de 1968, le WP.1 a décidé d'harmoniser le texte de la Convention de Genève de 1949 sur la circulation routière (convention initiale sur laquelle s’appuie la Convention de 1968), et en particulier le texte de son article 8, avec le texte approuvé qui entrera en vigueur en mars 2016. </w:t>
      </w:r>
      <w:r w:rsidR="00FA1C01" w:rsidRPr="000C33B8">
        <w:rPr>
          <w:szCs w:val="24"/>
          <w:lang w:val="fr-CH"/>
        </w:rPr>
        <w:t>La Convention de Genève de 1949 compte 96 Parties contractantes, y compris les États-Unis (qui ne sont pas partie à la Convention de Vienne de 1968).</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Le WP.1 a décidé de créer un </w:t>
      </w:r>
      <w:r w:rsidR="00970511" w:rsidRPr="000C33B8">
        <w:rPr>
          <w:szCs w:val="24"/>
          <w:lang w:val="fr-CH"/>
        </w:rPr>
        <w:t>g</w:t>
      </w:r>
      <w:r w:rsidRPr="000C33B8">
        <w:rPr>
          <w:szCs w:val="24"/>
          <w:lang w:val="fr-CH"/>
        </w:rPr>
        <w:t xml:space="preserve">roupe de travail informel </w:t>
      </w:r>
      <w:r w:rsidR="0002121B" w:rsidRPr="000C33B8">
        <w:rPr>
          <w:szCs w:val="24"/>
          <w:lang w:val="fr-CH"/>
        </w:rPr>
        <w:t>de</w:t>
      </w:r>
      <w:r w:rsidRPr="000C33B8">
        <w:rPr>
          <w:szCs w:val="24"/>
          <w:lang w:val="fr-CH"/>
        </w:rPr>
        <w:t xml:space="preserve"> la conduite automatisée et d'organiser sa première session le 5</w:t>
      </w:r>
      <w:r w:rsidR="00970511" w:rsidRPr="000C33B8">
        <w:rPr>
          <w:szCs w:val="24"/>
          <w:lang w:val="fr-CH"/>
        </w:rPr>
        <w:t> </w:t>
      </w:r>
      <w:r w:rsidRPr="000C33B8">
        <w:rPr>
          <w:szCs w:val="24"/>
          <w:lang w:val="fr-CH"/>
        </w:rPr>
        <w:t>novembre 2015 à Amsterdam, sous la conduite des Pays-Bas.</w:t>
      </w:r>
    </w:p>
    <w:p w:rsidR="00FA1C01" w:rsidRPr="000C33B8" w:rsidRDefault="00FA1C01" w:rsidP="002864BC">
      <w:pPr>
        <w:pStyle w:val="SingleTxt"/>
        <w:rPr>
          <w:lang w:val="fr-CH"/>
        </w:rPr>
      </w:pPr>
      <w:r w:rsidRPr="000C33B8">
        <w:rPr>
          <w:i/>
          <w:lang w:val="fr-CH"/>
        </w:rPr>
        <w:lastRenderedPageBreak/>
        <w:t xml:space="preserve">Mesure de la </w:t>
      </w:r>
      <w:r w:rsidR="0002121B" w:rsidRPr="000C33B8">
        <w:rPr>
          <w:i/>
          <w:lang w:val="fr-CH"/>
        </w:rPr>
        <w:t>f</w:t>
      </w:r>
      <w:r w:rsidRPr="000C33B8">
        <w:rPr>
          <w:i/>
          <w:lang w:val="fr-CH"/>
        </w:rPr>
        <w:t>euille de route visée</w:t>
      </w:r>
      <w:r w:rsidR="002864BC" w:rsidRPr="000C33B8">
        <w:rPr>
          <w:i/>
          <w:lang w:val="fr-CH"/>
        </w:rPr>
        <w:t> </w:t>
      </w:r>
      <w:r w:rsidRPr="000C33B8">
        <w:rPr>
          <w:lang w:val="fr-CH"/>
        </w:rPr>
        <w:t xml:space="preserve">: </w:t>
      </w:r>
      <w:r w:rsidR="0002121B" w:rsidRPr="000C33B8">
        <w:rPr>
          <w:lang w:val="fr-CH"/>
        </w:rPr>
        <w:t>m</w:t>
      </w:r>
      <w:r w:rsidRPr="000C33B8">
        <w:rPr>
          <w:lang w:val="fr-CH"/>
        </w:rPr>
        <w:t>esure 10.</w:t>
      </w:r>
    </w:p>
    <w:p w:rsidR="002864BC" w:rsidRPr="000C33B8" w:rsidRDefault="002864BC" w:rsidP="002864BC">
      <w:pPr>
        <w:pStyle w:val="SingleTxt"/>
        <w:spacing w:after="0" w:line="120" w:lineRule="exact"/>
        <w:rPr>
          <w:sz w:val="10"/>
          <w:lang w:val="fr-CH"/>
        </w:rPr>
      </w:pPr>
    </w:p>
    <w:p w:rsidR="00FA1C01" w:rsidRPr="000C33B8" w:rsidRDefault="00FA1C01" w:rsidP="002864B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d)</w:t>
      </w:r>
      <w:r w:rsidRPr="000C33B8">
        <w:rPr>
          <w:lang w:val="fr-CH"/>
        </w:rPr>
        <w:tab/>
        <w:t>Groupe de travail en matière de roulement et de freinage (GRRF)</w:t>
      </w:r>
    </w:p>
    <w:p w:rsidR="002864BC" w:rsidRPr="000C33B8" w:rsidRDefault="002864BC" w:rsidP="002864BC">
      <w:pPr>
        <w:pStyle w:val="SingleTxt"/>
        <w:spacing w:after="0" w:line="120" w:lineRule="exact"/>
        <w:rPr>
          <w:sz w:val="10"/>
          <w:lang w:val="fr-CH"/>
        </w:rPr>
      </w:pP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En créant un </w:t>
      </w:r>
      <w:r w:rsidR="005F2A51">
        <w:rPr>
          <w:szCs w:val="24"/>
          <w:lang w:val="fr-CH"/>
        </w:rPr>
        <w:t>g</w:t>
      </w:r>
      <w:r w:rsidRPr="000C33B8">
        <w:rPr>
          <w:szCs w:val="24"/>
          <w:lang w:val="fr-CH"/>
        </w:rPr>
        <w:t xml:space="preserve">roupe informel </w:t>
      </w:r>
      <w:r w:rsidR="0002121B" w:rsidRPr="000C33B8">
        <w:rPr>
          <w:szCs w:val="24"/>
          <w:lang w:val="fr-CH"/>
        </w:rPr>
        <w:t>chargé des</w:t>
      </w:r>
      <w:r w:rsidRPr="000C33B8">
        <w:rPr>
          <w:szCs w:val="24"/>
          <w:lang w:val="fr-CH"/>
        </w:rPr>
        <w:t xml:space="preserve"> commandes automatiques de la direction (ACSF), le GRRF a mis en </w:t>
      </w:r>
      <w:r w:rsidR="00174015" w:rsidRPr="000C33B8">
        <w:rPr>
          <w:szCs w:val="24"/>
          <w:lang w:val="fr-CH"/>
        </w:rPr>
        <w:t>œuvre</w:t>
      </w:r>
      <w:r w:rsidRPr="000C33B8">
        <w:rPr>
          <w:szCs w:val="24"/>
          <w:lang w:val="fr-CH"/>
        </w:rPr>
        <w:t xml:space="preserve"> la décision du Forum mondial concernant la modification du Règlement </w:t>
      </w:r>
      <w:r w:rsidR="002864BC" w:rsidRPr="000C33B8">
        <w:rPr>
          <w:szCs w:val="24"/>
          <w:lang w:val="fr-CH"/>
        </w:rPr>
        <w:t>n</w:t>
      </w:r>
      <w:r w:rsidR="002864BC" w:rsidRPr="000C33B8">
        <w:rPr>
          <w:szCs w:val="24"/>
          <w:vertAlign w:val="superscript"/>
          <w:lang w:val="fr-CH"/>
        </w:rPr>
        <w:t>o</w:t>
      </w:r>
      <w:r w:rsidR="002864BC" w:rsidRPr="000C33B8">
        <w:rPr>
          <w:szCs w:val="24"/>
          <w:lang w:val="fr-CH"/>
        </w:rPr>
        <w:t> </w:t>
      </w:r>
      <w:r w:rsidRPr="000C33B8">
        <w:rPr>
          <w:szCs w:val="24"/>
          <w:lang w:val="fr-CH"/>
        </w:rPr>
        <w:t>79</w:t>
      </w:r>
      <w:r w:rsidR="0002121B" w:rsidRPr="000C33B8">
        <w:rPr>
          <w:szCs w:val="24"/>
          <w:lang w:val="fr-CH"/>
        </w:rPr>
        <w:t>,</w:t>
      </w:r>
      <w:r w:rsidRPr="000C33B8">
        <w:rPr>
          <w:szCs w:val="24"/>
          <w:lang w:val="fr-CH"/>
        </w:rPr>
        <w:t xml:space="preserve"> qui avait été désigné comme le Règlement empêchant l'innovation en matière de </w:t>
      </w:r>
      <w:r w:rsidR="0002121B" w:rsidRPr="000C33B8">
        <w:rPr>
          <w:szCs w:val="24"/>
          <w:lang w:val="fr-CH"/>
        </w:rPr>
        <w:t>dir</w:t>
      </w:r>
      <w:r w:rsidR="00174015" w:rsidRPr="000C33B8">
        <w:rPr>
          <w:szCs w:val="24"/>
          <w:lang w:val="fr-CH"/>
        </w:rPr>
        <w:t>e</w:t>
      </w:r>
      <w:r w:rsidR="0002121B" w:rsidRPr="000C33B8">
        <w:rPr>
          <w:szCs w:val="24"/>
          <w:lang w:val="fr-CH"/>
        </w:rPr>
        <w:t>ction automatisée</w:t>
      </w:r>
      <w:r w:rsidRPr="000C33B8">
        <w:rPr>
          <w:szCs w:val="24"/>
          <w:lang w:val="fr-CH"/>
        </w:rPr>
        <w:t xml:space="preserve">. Dans un rapport de situation présenté au GRRF à la session de septembre 2015, le </w:t>
      </w:r>
      <w:r w:rsidR="0002121B" w:rsidRPr="000C33B8">
        <w:rPr>
          <w:szCs w:val="24"/>
          <w:lang w:val="fr-CH"/>
        </w:rPr>
        <w:t>g</w:t>
      </w:r>
      <w:r w:rsidRPr="000C33B8">
        <w:rPr>
          <w:szCs w:val="24"/>
          <w:lang w:val="fr-CH"/>
        </w:rPr>
        <w:t xml:space="preserve">roupe de travail informel a examiné les prescriptions et les limites relatives aux commandes automatiques de la direction définies dans le Règlement </w:t>
      </w:r>
      <w:r w:rsidR="002864BC" w:rsidRPr="000C33B8">
        <w:rPr>
          <w:szCs w:val="24"/>
          <w:lang w:val="fr-CH"/>
        </w:rPr>
        <w:t>n</w:t>
      </w:r>
      <w:r w:rsidR="002864BC" w:rsidRPr="000C33B8">
        <w:rPr>
          <w:szCs w:val="24"/>
          <w:vertAlign w:val="superscript"/>
          <w:lang w:val="fr-CH"/>
        </w:rPr>
        <w:t>o</w:t>
      </w:r>
      <w:r w:rsidR="002864BC" w:rsidRPr="000C33B8">
        <w:rPr>
          <w:szCs w:val="24"/>
          <w:lang w:val="fr-CH"/>
        </w:rPr>
        <w:t> </w:t>
      </w:r>
      <w:r w:rsidRPr="000C33B8">
        <w:rPr>
          <w:szCs w:val="24"/>
          <w:lang w:val="fr-CH"/>
        </w:rPr>
        <w:t xml:space="preserve">79. Le </w:t>
      </w:r>
      <w:r w:rsidR="0002121B" w:rsidRPr="000C33B8">
        <w:rPr>
          <w:szCs w:val="24"/>
          <w:lang w:val="fr-CH"/>
        </w:rPr>
        <w:t>g</w:t>
      </w:r>
      <w:r w:rsidRPr="000C33B8">
        <w:rPr>
          <w:szCs w:val="24"/>
          <w:lang w:val="fr-CH"/>
        </w:rPr>
        <w:t>roupe a notamment revu la limite de vitesse actuelle (10</w:t>
      </w:r>
      <w:r w:rsidR="0002121B" w:rsidRPr="000C33B8">
        <w:rPr>
          <w:szCs w:val="24"/>
          <w:lang w:val="fr-CH"/>
        </w:rPr>
        <w:t> </w:t>
      </w:r>
      <w:r w:rsidRPr="000C33B8">
        <w:rPr>
          <w:szCs w:val="24"/>
          <w:lang w:val="fr-CH"/>
        </w:rPr>
        <w:t xml:space="preserve">km/h), dans le but d'autoriser </w:t>
      </w:r>
      <w:r w:rsidR="0002121B" w:rsidRPr="000C33B8">
        <w:rPr>
          <w:szCs w:val="24"/>
          <w:lang w:val="fr-CH"/>
        </w:rPr>
        <w:t>l’</w:t>
      </w:r>
      <w:r w:rsidR="000C33B8" w:rsidRPr="000C33B8">
        <w:rPr>
          <w:szCs w:val="24"/>
          <w:lang w:val="fr-CH"/>
        </w:rPr>
        <w:t>utilisation</w:t>
      </w:r>
      <w:r w:rsidR="0002121B" w:rsidRPr="000C33B8">
        <w:rPr>
          <w:szCs w:val="24"/>
          <w:lang w:val="fr-CH"/>
        </w:rPr>
        <w:t xml:space="preserve"> des commandes automatiques</w:t>
      </w:r>
      <w:r w:rsidRPr="000C33B8">
        <w:rPr>
          <w:szCs w:val="24"/>
          <w:lang w:val="fr-CH"/>
        </w:rPr>
        <w:t xml:space="preserve"> lors des déplacements interurbains</w:t>
      </w:r>
      <w:r w:rsidR="0002121B" w:rsidRPr="000C33B8">
        <w:rPr>
          <w:szCs w:val="24"/>
          <w:lang w:val="fr-CH"/>
        </w:rPr>
        <w:t>.</w:t>
      </w:r>
      <w:r w:rsidRPr="000C33B8">
        <w:rPr>
          <w:szCs w:val="24"/>
          <w:lang w:val="fr-CH"/>
        </w:rPr>
        <w:t xml:space="preserve"> </w:t>
      </w:r>
      <w:r w:rsidR="0002121B" w:rsidRPr="000C33B8">
        <w:rPr>
          <w:szCs w:val="24"/>
          <w:lang w:val="fr-CH"/>
        </w:rPr>
        <w:t>Il</w:t>
      </w:r>
      <w:r w:rsidRPr="000C33B8">
        <w:rPr>
          <w:szCs w:val="24"/>
          <w:lang w:val="fr-CH"/>
        </w:rPr>
        <w:t xml:space="preserve"> élabore actuellement les critères relatifs à l</w:t>
      </w:r>
      <w:r w:rsidR="0002121B" w:rsidRPr="000C33B8">
        <w:rPr>
          <w:szCs w:val="24"/>
          <w:lang w:val="fr-CH"/>
        </w:rPr>
        <w:t>’</w:t>
      </w:r>
      <w:r w:rsidRPr="000C33B8">
        <w:rPr>
          <w:szCs w:val="24"/>
          <w:lang w:val="fr-CH"/>
        </w:rPr>
        <w:t>interface homme-machine (IHM)</w:t>
      </w:r>
      <w:r w:rsidR="0002121B" w:rsidRPr="000C33B8">
        <w:rPr>
          <w:szCs w:val="24"/>
          <w:lang w:val="fr-CH"/>
        </w:rPr>
        <w:t>,</w:t>
      </w:r>
      <w:r w:rsidRPr="000C33B8">
        <w:rPr>
          <w:szCs w:val="24"/>
          <w:lang w:val="fr-CH"/>
        </w:rPr>
        <w:t xml:space="preserve"> ainsi que les critères d’évaluation des </w:t>
      </w:r>
      <w:r w:rsidR="0002121B" w:rsidRPr="000C33B8">
        <w:rPr>
          <w:szCs w:val="24"/>
          <w:lang w:val="fr-CH"/>
        </w:rPr>
        <w:t>commandes automatiques</w:t>
      </w:r>
      <w:r w:rsidRPr="000C33B8">
        <w:rPr>
          <w:szCs w:val="24"/>
          <w:lang w:val="fr-CH"/>
        </w:rPr>
        <w:t xml:space="preserve"> lors </w:t>
      </w:r>
      <w:r w:rsidR="0002121B" w:rsidRPr="000C33B8">
        <w:rPr>
          <w:szCs w:val="24"/>
          <w:lang w:val="fr-CH"/>
        </w:rPr>
        <w:t>du contrôle</w:t>
      </w:r>
      <w:r w:rsidRPr="000C33B8">
        <w:rPr>
          <w:szCs w:val="24"/>
          <w:lang w:val="fr-CH"/>
        </w:rPr>
        <w:t xml:space="preserve"> technique périodique. Les dispositions relatives aux </w:t>
      </w:r>
      <w:r w:rsidR="0002121B" w:rsidRPr="000C33B8">
        <w:rPr>
          <w:szCs w:val="24"/>
          <w:lang w:val="fr-CH"/>
        </w:rPr>
        <w:t>commandes automatiques imposent</w:t>
      </w:r>
      <w:r w:rsidRPr="000C33B8">
        <w:rPr>
          <w:szCs w:val="24"/>
          <w:lang w:val="fr-CH"/>
        </w:rPr>
        <w:t xml:space="preserve"> que le conducteur soit en mesure d</w:t>
      </w:r>
      <w:r w:rsidR="005F2A51">
        <w:rPr>
          <w:szCs w:val="24"/>
          <w:lang w:val="fr-CH"/>
        </w:rPr>
        <w:t>’</w:t>
      </w:r>
      <w:r w:rsidRPr="000C33B8">
        <w:rPr>
          <w:szCs w:val="24"/>
          <w:lang w:val="fr-CH"/>
        </w:rPr>
        <w:t xml:space="preserve">activer et de désactiver le système, et </w:t>
      </w:r>
      <w:r w:rsidR="0002121B" w:rsidRPr="000C33B8">
        <w:rPr>
          <w:szCs w:val="24"/>
          <w:lang w:val="fr-CH"/>
        </w:rPr>
        <w:t>de le neutraliser</w:t>
      </w:r>
      <w:r w:rsidRPr="000C33B8">
        <w:rPr>
          <w:szCs w:val="24"/>
          <w:lang w:val="fr-CH"/>
        </w:rPr>
        <w:t xml:space="preserve"> à tout moment.</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Le </w:t>
      </w:r>
      <w:r w:rsidR="0002121B" w:rsidRPr="000C33B8">
        <w:rPr>
          <w:szCs w:val="24"/>
          <w:lang w:val="fr-CH"/>
        </w:rPr>
        <w:t>g</w:t>
      </w:r>
      <w:r w:rsidRPr="000C33B8">
        <w:rPr>
          <w:szCs w:val="24"/>
          <w:lang w:val="fr-CH"/>
        </w:rPr>
        <w:t xml:space="preserve">roupe </w:t>
      </w:r>
      <w:r w:rsidR="0002121B" w:rsidRPr="000C33B8">
        <w:rPr>
          <w:szCs w:val="24"/>
          <w:lang w:val="fr-CH"/>
        </w:rPr>
        <w:t xml:space="preserve">de travail informel </w:t>
      </w:r>
      <w:r w:rsidRPr="000C33B8">
        <w:rPr>
          <w:szCs w:val="24"/>
          <w:lang w:val="fr-CH"/>
        </w:rPr>
        <w:t>ne s’est pas appuyé sur la définition des niveaux d'automatisation pour ses travaux. Il a défini cinq catégories (A à E) de systèmes ACSF avec divers degrés d</w:t>
      </w:r>
      <w:r w:rsidR="0002121B" w:rsidRPr="000C33B8">
        <w:rPr>
          <w:szCs w:val="24"/>
          <w:lang w:val="fr-CH"/>
        </w:rPr>
        <w:t>’</w:t>
      </w:r>
      <w:r w:rsidRPr="000C33B8">
        <w:rPr>
          <w:szCs w:val="24"/>
          <w:lang w:val="fr-CH"/>
        </w:rPr>
        <w:t>automatisation.</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En février 2015, le GRRF a reçu une proposition du Japon et de l'Allemagne visant à intégrer à la Résolution d'ensemble sur la construction des véhicules (R.E.3) des dispositions relatives aux systèmes de </w:t>
      </w:r>
      <w:r w:rsidR="005F2A51">
        <w:rPr>
          <w:szCs w:val="24"/>
          <w:lang w:val="fr-CH"/>
        </w:rPr>
        <w:t>parcage télécommandé</w:t>
      </w:r>
      <w:r w:rsidRPr="000C33B8">
        <w:rPr>
          <w:szCs w:val="24"/>
          <w:lang w:val="fr-CH"/>
        </w:rPr>
        <w:t>. Le GRRF a conseillé aux auteurs de la proposition d'envisager l'élaboration d</w:t>
      </w:r>
      <w:r w:rsidR="005F2A51">
        <w:rPr>
          <w:szCs w:val="24"/>
          <w:lang w:val="fr-CH"/>
        </w:rPr>
        <w:t>’</w:t>
      </w:r>
      <w:r w:rsidRPr="000C33B8">
        <w:rPr>
          <w:szCs w:val="24"/>
          <w:lang w:val="fr-CH"/>
        </w:rPr>
        <w:t>un nouveau Règlement sur cette question. En septembre 2015, le GRRF a assisté à une démonstration du fonctionnement d</w:t>
      </w:r>
      <w:r w:rsidR="0002121B" w:rsidRPr="000C33B8">
        <w:rPr>
          <w:szCs w:val="24"/>
          <w:lang w:val="fr-CH"/>
        </w:rPr>
        <w:t>’</w:t>
      </w:r>
      <w:r w:rsidRPr="000C33B8">
        <w:rPr>
          <w:szCs w:val="24"/>
          <w:lang w:val="fr-CH"/>
        </w:rPr>
        <w:t>un véhicule équipé d</w:t>
      </w:r>
      <w:r w:rsidR="0002121B" w:rsidRPr="000C33B8">
        <w:rPr>
          <w:szCs w:val="24"/>
          <w:lang w:val="fr-CH"/>
        </w:rPr>
        <w:t>’</w:t>
      </w:r>
      <w:r w:rsidRPr="000C33B8">
        <w:rPr>
          <w:szCs w:val="24"/>
          <w:lang w:val="fr-CH"/>
        </w:rPr>
        <w:t xml:space="preserve">un </w:t>
      </w:r>
      <w:r w:rsidR="005F2A51">
        <w:rPr>
          <w:szCs w:val="24"/>
          <w:lang w:val="fr-CH"/>
        </w:rPr>
        <w:t xml:space="preserve">tel </w:t>
      </w:r>
      <w:r w:rsidRPr="000C33B8">
        <w:rPr>
          <w:szCs w:val="24"/>
          <w:lang w:val="fr-CH"/>
        </w:rPr>
        <w:t>système. Le 16</w:t>
      </w:r>
      <w:r w:rsidR="002864BC" w:rsidRPr="000C33B8">
        <w:rPr>
          <w:szCs w:val="24"/>
          <w:lang w:val="fr-CH"/>
        </w:rPr>
        <w:t> </w:t>
      </w:r>
      <w:r w:rsidRPr="000C33B8">
        <w:rPr>
          <w:szCs w:val="24"/>
          <w:lang w:val="fr-CH"/>
        </w:rPr>
        <w:t>septembre 2015, les ministres des transports des pays du G</w:t>
      </w:r>
      <w:r w:rsidR="0002121B" w:rsidRPr="000C33B8">
        <w:rPr>
          <w:szCs w:val="24"/>
          <w:lang w:val="fr-CH"/>
        </w:rPr>
        <w:t xml:space="preserve"> </w:t>
      </w:r>
      <w:r w:rsidRPr="000C33B8">
        <w:rPr>
          <w:szCs w:val="24"/>
          <w:lang w:val="fr-CH"/>
        </w:rPr>
        <w:t xml:space="preserve">7 ont assisté à une démonstration similaire lors de leur réunion au Salon automobile de Francfort. Dans leur déclaration, les ministres et le Commissaire européen aux transports ont </w:t>
      </w:r>
      <w:r w:rsidR="0002121B" w:rsidRPr="000C33B8">
        <w:rPr>
          <w:szCs w:val="24"/>
          <w:lang w:val="fr-CH"/>
        </w:rPr>
        <w:t>fait valoir</w:t>
      </w:r>
      <w:r w:rsidRPr="000C33B8">
        <w:rPr>
          <w:szCs w:val="24"/>
          <w:lang w:val="fr-CH"/>
        </w:rPr>
        <w:t xml:space="preserve"> que la conformité des systèmes embarqués actuels à la législation et la possibilité de les produire en série constituaient des conditions indispensables au développement à grande échelle de technologies fiables et novatrices en matière de transports routiers. </w:t>
      </w:r>
      <w:r w:rsidR="000C33B8" w:rsidRPr="000C33B8">
        <w:rPr>
          <w:szCs w:val="24"/>
          <w:lang w:val="fr-CH"/>
        </w:rPr>
        <w:t>Il était essentiel de revoir, selon qu’il convenait, les règlements applicables dans les pays du G 7</w:t>
      </w:r>
      <w:r w:rsidR="005F2A51">
        <w:rPr>
          <w:szCs w:val="24"/>
          <w:lang w:val="fr-CH"/>
        </w:rPr>
        <w:t>,</w:t>
      </w:r>
      <w:r w:rsidR="000C33B8" w:rsidRPr="000C33B8">
        <w:rPr>
          <w:szCs w:val="24"/>
          <w:lang w:val="fr-CH"/>
        </w:rPr>
        <w:t xml:space="preserve"> ainsi que ceux qui avaient été élaborés en application des accords administrés par le Forum mondial de l’harmonisation des Règlements concernant les véhicules (WP.29) ».</w:t>
      </w:r>
    </w:p>
    <w:p w:rsidR="00FA1C01" w:rsidRPr="000C33B8" w:rsidRDefault="00FA1C01" w:rsidP="002864BC">
      <w:pPr>
        <w:pStyle w:val="SingleTxt"/>
        <w:rPr>
          <w:lang w:val="fr-CH"/>
        </w:rPr>
      </w:pPr>
      <w:r w:rsidRPr="000C33B8">
        <w:rPr>
          <w:i/>
          <w:lang w:val="fr-CH"/>
        </w:rPr>
        <w:t xml:space="preserve">Mesures de la </w:t>
      </w:r>
      <w:r w:rsidR="0002121B" w:rsidRPr="000C33B8">
        <w:rPr>
          <w:i/>
          <w:lang w:val="fr-CH"/>
        </w:rPr>
        <w:t>f</w:t>
      </w:r>
      <w:r w:rsidRPr="000C33B8">
        <w:rPr>
          <w:i/>
          <w:lang w:val="fr-CH"/>
        </w:rPr>
        <w:t>euille de route visées</w:t>
      </w:r>
      <w:r w:rsidR="002864BC" w:rsidRPr="000C33B8">
        <w:rPr>
          <w:i/>
          <w:lang w:val="fr-CH"/>
        </w:rPr>
        <w:t> </w:t>
      </w:r>
      <w:r w:rsidRPr="000C33B8">
        <w:rPr>
          <w:lang w:val="fr-CH"/>
        </w:rPr>
        <w:t xml:space="preserve">: </w:t>
      </w:r>
      <w:r w:rsidR="0002121B" w:rsidRPr="000C33B8">
        <w:rPr>
          <w:lang w:val="fr-CH"/>
        </w:rPr>
        <w:t>m</w:t>
      </w:r>
      <w:r w:rsidRPr="000C33B8">
        <w:rPr>
          <w:lang w:val="fr-CH"/>
        </w:rPr>
        <w:t>esures 2, 3, 4, 5, 8, 9 et 17.</w:t>
      </w:r>
    </w:p>
    <w:p w:rsidR="002864BC" w:rsidRPr="000C33B8" w:rsidRDefault="002864BC" w:rsidP="002864BC">
      <w:pPr>
        <w:pStyle w:val="SingleTxt"/>
        <w:spacing w:after="0" w:line="120" w:lineRule="exact"/>
        <w:rPr>
          <w:sz w:val="10"/>
          <w:lang w:val="fr-CH"/>
        </w:rPr>
      </w:pPr>
    </w:p>
    <w:p w:rsidR="00FA1C01" w:rsidRPr="000C33B8" w:rsidRDefault="00FA1C01" w:rsidP="002864B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e)</w:t>
      </w:r>
      <w:r w:rsidRPr="000C33B8">
        <w:rPr>
          <w:lang w:val="fr-CH"/>
        </w:rPr>
        <w:tab/>
        <w:t>Groupe de travail des dispositions générales de sécurité (GRSG)</w:t>
      </w:r>
    </w:p>
    <w:p w:rsidR="002864BC" w:rsidRPr="000C33B8" w:rsidRDefault="002864BC" w:rsidP="002864BC">
      <w:pPr>
        <w:pStyle w:val="SingleTxt"/>
        <w:spacing w:after="0" w:line="120" w:lineRule="exact"/>
        <w:rPr>
          <w:sz w:val="10"/>
          <w:lang w:val="fr-CH"/>
        </w:rPr>
      </w:pPr>
    </w:p>
    <w:p w:rsidR="00FA1C01" w:rsidRPr="000C33B8" w:rsidRDefault="000C33B8" w:rsidP="004D28E7">
      <w:pPr>
        <w:pStyle w:val="SingleTxt"/>
        <w:numPr>
          <w:ilvl w:val="0"/>
          <w:numId w:val="8"/>
        </w:numPr>
        <w:tabs>
          <w:tab w:val="clear" w:pos="475"/>
          <w:tab w:val="num" w:pos="1742"/>
        </w:tabs>
        <w:ind w:left="1267"/>
        <w:rPr>
          <w:szCs w:val="24"/>
          <w:lang w:val="fr-CH"/>
        </w:rPr>
      </w:pPr>
      <w:r w:rsidRPr="000C33B8">
        <w:rPr>
          <w:szCs w:val="24"/>
          <w:lang w:val="fr-CH"/>
        </w:rPr>
        <w:t xml:space="preserve">Au cours de la session d'octobre 2015 du Groupe de travail des dispositions générales de sécurité (GRSG), l'expert du Royaume-Uni a évoqué les débats sur les enregistreurs de données de route qui avaient eu lieu lors de la précédente session du Groupe et a estimé que le terme « event data recorder » (« enregistreur de données de route ») n'était probablement pas le plus pertinent et pouvait prêter à confusion. </w:t>
      </w:r>
      <w:r w:rsidR="0002121B" w:rsidRPr="000C33B8">
        <w:rPr>
          <w:szCs w:val="24"/>
          <w:lang w:val="fr-CH"/>
        </w:rPr>
        <w:t>L’</w:t>
      </w:r>
      <w:r w:rsidR="00FA1C01" w:rsidRPr="000C33B8">
        <w:rPr>
          <w:szCs w:val="24"/>
          <w:lang w:val="fr-CH"/>
        </w:rPr>
        <w:t xml:space="preserve">expert </w:t>
      </w:r>
      <w:r w:rsidR="0002121B" w:rsidRPr="000C33B8">
        <w:rPr>
          <w:szCs w:val="24"/>
          <w:lang w:val="fr-CH"/>
        </w:rPr>
        <w:t>de l’Allemagne</w:t>
      </w:r>
      <w:r w:rsidR="00FA1C01" w:rsidRPr="000C33B8">
        <w:rPr>
          <w:szCs w:val="24"/>
          <w:lang w:val="fr-CH"/>
        </w:rPr>
        <w:t xml:space="preserve"> a souligné qu'il était important que le GRSG procède à un échange de vues sur cette question. Il a </w:t>
      </w:r>
      <w:r w:rsidR="0002121B" w:rsidRPr="000C33B8">
        <w:rPr>
          <w:szCs w:val="24"/>
          <w:lang w:val="fr-CH"/>
        </w:rPr>
        <w:t xml:space="preserve">en outre </w:t>
      </w:r>
      <w:r w:rsidR="00FA1C01" w:rsidRPr="000C33B8">
        <w:rPr>
          <w:szCs w:val="24"/>
          <w:lang w:val="fr-CH"/>
        </w:rPr>
        <w:t xml:space="preserve">souligné la nécessité de mettre au point un nouveau règlement concernant </w:t>
      </w:r>
      <w:r w:rsidR="0002121B" w:rsidRPr="000C33B8">
        <w:rPr>
          <w:szCs w:val="24"/>
          <w:lang w:val="fr-CH"/>
        </w:rPr>
        <w:t>l’</w:t>
      </w:r>
      <w:r w:rsidR="00FA1C01" w:rsidRPr="000C33B8">
        <w:rPr>
          <w:szCs w:val="24"/>
          <w:lang w:val="fr-CH"/>
        </w:rPr>
        <w:t xml:space="preserve">installation facultative de ces dispositifs sur les véhicules et de définir les informations techniques devant être conservées, </w:t>
      </w:r>
      <w:r w:rsidR="0002121B" w:rsidRPr="000C33B8">
        <w:rPr>
          <w:szCs w:val="24"/>
          <w:lang w:val="fr-CH"/>
        </w:rPr>
        <w:t>ainsi que les règles</w:t>
      </w:r>
      <w:r w:rsidR="00FA1C01" w:rsidRPr="000C33B8">
        <w:rPr>
          <w:szCs w:val="24"/>
          <w:lang w:val="fr-CH"/>
        </w:rPr>
        <w:t xml:space="preserve"> en matière d</w:t>
      </w:r>
      <w:r w:rsidR="0002121B" w:rsidRPr="000C33B8">
        <w:rPr>
          <w:szCs w:val="24"/>
          <w:lang w:val="fr-CH"/>
        </w:rPr>
        <w:t>’</w:t>
      </w:r>
      <w:r w:rsidR="00FA1C01" w:rsidRPr="000C33B8">
        <w:rPr>
          <w:szCs w:val="24"/>
          <w:lang w:val="fr-CH"/>
        </w:rPr>
        <w:t xml:space="preserve">accès </w:t>
      </w:r>
      <w:r w:rsidR="0002121B" w:rsidRPr="000C33B8">
        <w:rPr>
          <w:szCs w:val="24"/>
          <w:lang w:val="fr-CH"/>
        </w:rPr>
        <w:t>aux</w:t>
      </w:r>
      <w:r w:rsidR="00FA1C01" w:rsidRPr="000C33B8">
        <w:rPr>
          <w:szCs w:val="24"/>
          <w:lang w:val="fr-CH"/>
        </w:rPr>
        <w:t xml:space="preserve"> données</w:t>
      </w:r>
      <w:r w:rsidR="0002121B" w:rsidRPr="000C33B8">
        <w:rPr>
          <w:szCs w:val="24"/>
          <w:lang w:val="fr-CH"/>
        </w:rPr>
        <w:t xml:space="preserve"> et de sécurisation de celles-ci</w:t>
      </w:r>
      <w:r w:rsidR="00FA1C01" w:rsidRPr="000C33B8">
        <w:rPr>
          <w:szCs w:val="24"/>
          <w:lang w:val="fr-CH"/>
        </w:rPr>
        <w:t xml:space="preserve">. </w:t>
      </w:r>
      <w:r w:rsidRPr="000C33B8">
        <w:rPr>
          <w:szCs w:val="24"/>
          <w:lang w:val="fr-CH"/>
        </w:rPr>
        <w:t xml:space="preserve">Le </w:t>
      </w:r>
      <w:r w:rsidR="005F2A51">
        <w:rPr>
          <w:szCs w:val="24"/>
          <w:lang w:val="fr-CH"/>
        </w:rPr>
        <w:t>G</w:t>
      </w:r>
      <w:r w:rsidRPr="000C33B8">
        <w:rPr>
          <w:szCs w:val="24"/>
          <w:lang w:val="fr-CH"/>
        </w:rPr>
        <w:t>roupe de travail a appuyé cet avis et est convenu que cette tâche devait être menée en coordination avec le groupe de travail informel des systèmes de transport intelligent</w:t>
      </w:r>
      <w:r w:rsidR="005F2A51">
        <w:rPr>
          <w:szCs w:val="24"/>
          <w:lang w:val="fr-CH"/>
        </w:rPr>
        <w:t>s</w:t>
      </w:r>
      <w:r w:rsidRPr="000C33B8">
        <w:rPr>
          <w:szCs w:val="24"/>
          <w:lang w:val="fr-CH"/>
        </w:rPr>
        <w:t xml:space="preserve"> et de la conduite automatisée (STI/CA) et les autres groupes de travail concernés par la conduite automatique.</w:t>
      </w:r>
    </w:p>
    <w:p w:rsidR="00FA1C01" w:rsidRPr="000C33B8" w:rsidRDefault="005F2A51" w:rsidP="004D28E7">
      <w:pPr>
        <w:pStyle w:val="SingleTxt"/>
        <w:numPr>
          <w:ilvl w:val="0"/>
          <w:numId w:val="8"/>
        </w:numPr>
        <w:tabs>
          <w:tab w:val="clear" w:pos="475"/>
          <w:tab w:val="num" w:pos="1742"/>
        </w:tabs>
        <w:ind w:left="1267"/>
        <w:rPr>
          <w:szCs w:val="24"/>
          <w:lang w:val="fr-CH"/>
        </w:rPr>
      </w:pPr>
      <w:r>
        <w:rPr>
          <w:szCs w:val="24"/>
          <w:lang w:val="fr-CH"/>
        </w:rPr>
        <w:t>Le GRSG a repris l’</w:t>
      </w:r>
      <w:r w:rsidR="00FA1C01" w:rsidRPr="000C33B8">
        <w:rPr>
          <w:szCs w:val="24"/>
          <w:lang w:val="fr-CH"/>
        </w:rPr>
        <w:t>examen du point relatif aux systèmes d</w:t>
      </w:r>
      <w:r>
        <w:rPr>
          <w:szCs w:val="24"/>
          <w:lang w:val="fr-CH"/>
        </w:rPr>
        <w:t>’</w:t>
      </w:r>
      <w:r w:rsidR="00FA1C01" w:rsidRPr="000C33B8">
        <w:rPr>
          <w:szCs w:val="24"/>
          <w:lang w:val="fr-CH"/>
        </w:rPr>
        <w:t>appel d</w:t>
      </w:r>
      <w:r>
        <w:rPr>
          <w:szCs w:val="24"/>
          <w:lang w:val="fr-CH"/>
        </w:rPr>
        <w:t>’</w:t>
      </w:r>
      <w:r w:rsidR="00FA1C01" w:rsidRPr="000C33B8">
        <w:rPr>
          <w:szCs w:val="24"/>
          <w:lang w:val="fr-CH"/>
        </w:rPr>
        <w:t>urgence en cas d</w:t>
      </w:r>
      <w:r w:rsidR="0002121B" w:rsidRPr="000C33B8">
        <w:rPr>
          <w:szCs w:val="24"/>
          <w:lang w:val="fr-CH"/>
        </w:rPr>
        <w:t>’</w:t>
      </w:r>
      <w:r w:rsidR="00FA1C01" w:rsidRPr="000C33B8">
        <w:rPr>
          <w:szCs w:val="24"/>
          <w:lang w:val="fr-CH"/>
        </w:rPr>
        <w:t>accident (AECS). L</w:t>
      </w:r>
      <w:r>
        <w:rPr>
          <w:szCs w:val="24"/>
          <w:lang w:val="fr-CH"/>
        </w:rPr>
        <w:t>’</w:t>
      </w:r>
      <w:r w:rsidR="00FA1C01" w:rsidRPr="000C33B8">
        <w:rPr>
          <w:szCs w:val="24"/>
          <w:lang w:val="fr-CH"/>
        </w:rPr>
        <w:t xml:space="preserve">expert de la Fédération de Russie, qui préside le groupe de travail informel </w:t>
      </w:r>
      <w:r w:rsidR="0002121B" w:rsidRPr="000C33B8">
        <w:rPr>
          <w:szCs w:val="24"/>
          <w:lang w:val="fr-CH"/>
        </w:rPr>
        <w:t>chargé de ces systèmes</w:t>
      </w:r>
      <w:r w:rsidR="00FA1C01" w:rsidRPr="000C33B8">
        <w:rPr>
          <w:szCs w:val="24"/>
          <w:lang w:val="fr-CH"/>
        </w:rPr>
        <w:t xml:space="preserve">, a communiqué les résultats des travaux du </w:t>
      </w:r>
      <w:r w:rsidR="0002121B" w:rsidRPr="000C33B8">
        <w:rPr>
          <w:szCs w:val="24"/>
          <w:lang w:val="fr-CH"/>
        </w:rPr>
        <w:t>g</w:t>
      </w:r>
      <w:r w:rsidR="00FA1C01" w:rsidRPr="000C33B8">
        <w:rPr>
          <w:szCs w:val="24"/>
          <w:lang w:val="fr-CH"/>
        </w:rPr>
        <w:t>roupe et a indiqué que celui-ci aurait besoin d</w:t>
      </w:r>
      <w:r>
        <w:rPr>
          <w:szCs w:val="24"/>
          <w:lang w:val="fr-CH"/>
        </w:rPr>
        <w:t>’</w:t>
      </w:r>
      <w:r w:rsidR="00FA1C01" w:rsidRPr="000C33B8">
        <w:rPr>
          <w:szCs w:val="24"/>
          <w:lang w:val="fr-CH"/>
        </w:rPr>
        <w:t>une année supplémentaire pour achever ses activités.</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L</w:t>
      </w:r>
      <w:r w:rsidR="00253EF5" w:rsidRPr="000C33B8">
        <w:rPr>
          <w:szCs w:val="24"/>
          <w:lang w:val="fr-CH"/>
        </w:rPr>
        <w:t>’</w:t>
      </w:r>
      <w:r w:rsidRPr="000C33B8">
        <w:rPr>
          <w:szCs w:val="24"/>
          <w:lang w:val="fr-CH"/>
        </w:rPr>
        <w:t xml:space="preserve">expert </w:t>
      </w:r>
      <w:r w:rsidR="00253EF5" w:rsidRPr="000C33B8">
        <w:rPr>
          <w:szCs w:val="24"/>
          <w:lang w:val="fr-CH"/>
        </w:rPr>
        <w:t>de l’Allemagne</w:t>
      </w:r>
      <w:r w:rsidRPr="000C33B8">
        <w:rPr>
          <w:szCs w:val="24"/>
          <w:lang w:val="fr-CH"/>
        </w:rPr>
        <w:t xml:space="preserve"> a communiqué au GRSG les conclusions d</w:t>
      </w:r>
      <w:r w:rsidR="002D140F" w:rsidRPr="000C33B8">
        <w:rPr>
          <w:szCs w:val="24"/>
          <w:lang w:val="fr-CH"/>
        </w:rPr>
        <w:t>’</w:t>
      </w:r>
      <w:r w:rsidRPr="000C33B8">
        <w:rPr>
          <w:szCs w:val="24"/>
          <w:lang w:val="fr-CH"/>
        </w:rPr>
        <w:t>une étude réalisée par l</w:t>
      </w:r>
      <w:r w:rsidR="005F2A51">
        <w:rPr>
          <w:szCs w:val="24"/>
          <w:lang w:val="fr-CH"/>
        </w:rPr>
        <w:t>’</w:t>
      </w:r>
      <w:r w:rsidRPr="000C33B8">
        <w:rPr>
          <w:szCs w:val="24"/>
          <w:lang w:val="fr-CH"/>
        </w:rPr>
        <w:t>Institut fédéral allemand de recherche sur les autoroutes (BASt) sur les ac</w:t>
      </w:r>
      <w:r w:rsidR="005F2A51">
        <w:rPr>
          <w:szCs w:val="24"/>
          <w:lang w:val="fr-CH"/>
        </w:rPr>
        <w:t>cidents de poids lourds dus à l’</w:t>
      </w:r>
      <w:r w:rsidRPr="000C33B8">
        <w:rPr>
          <w:szCs w:val="24"/>
          <w:lang w:val="fr-CH"/>
        </w:rPr>
        <w:t>angle mort. Le GRSG a accueilli avec satisfaction les informations et les conclusions de l</w:t>
      </w:r>
      <w:r w:rsidR="005F2A51">
        <w:rPr>
          <w:szCs w:val="24"/>
          <w:lang w:val="fr-CH"/>
        </w:rPr>
        <w:t>’</w:t>
      </w:r>
      <w:r w:rsidRPr="000C33B8">
        <w:rPr>
          <w:szCs w:val="24"/>
          <w:lang w:val="fr-CH"/>
        </w:rPr>
        <w:t>étude. Il a pris acte du soutien unanime à l’élaboration d’un nouveau règlement sur l</w:t>
      </w:r>
      <w:r w:rsidR="005F2A51">
        <w:rPr>
          <w:szCs w:val="24"/>
          <w:lang w:val="fr-CH"/>
        </w:rPr>
        <w:t>’</w:t>
      </w:r>
      <w:r w:rsidRPr="000C33B8">
        <w:rPr>
          <w:szCs w:val="24"/>
          <w:lang w:val="fr-CH"/>
        </w:rPr>
        <w:t>installation de systèmes d</w:t>
      </w:r>
      <w:r w:rsidR="005F2A51">
        <w:rPr>
          <w:szCs w:val="24"/>
          <w:lang w:val="fr-CH"/>
        </w:rPr>
        <w:t>’</w:t>
      </w:r>
      <w:r w:rsidRPr="000C33B8">
        <w:rPr>
          <w:szCs w:val="24"/>
          <w:lang w:val="fr-CH"/>
        </w:rPr>
        <w:t>aide à la conduite sur les poids lourds afin d</w:t>
      </w:r>
      <w:r w:rsidR="005F2A51">
        <w:rPr>
          <w:szCs w:val="24"/>
          <w:lang w:val="fr-CH"/>
        </w:rPr>
        <w:t>’éviter les accidents dus à l’</w:t>
      </w:r>
      <w:r w:rsidRPr="000C33B8">
        <w:rPr>
          <w:szCs w:val="24"/>
          <w:lang w:val="fr-CH"/>
        </w:rPr>
        <w:t>angle mort.</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L</w:t>
      </w:r>
      <w:r w:rsidR="005F2A51">
        <w:rPr>
          <w:szCs w:val="24"/>
          <w:lang w:val="fr-CH"/>
        </w:rPr>
        <w:t>’</w:t>
      </w:r>
      <w:r w:rsidRPr="000C33B8">
        <w:rPr>
          <w:szCs w:val="24"/>
          <w:lang w:val="fr-CH"/>
        </w:rPr>
        <w:t xml:space="preserve">expert </w:t>
      </w:r>
      <w:r w:rsidR="00253EF5" w:rsidRPr="000C33B8">
        <w:rPr>
          <w:szCs w:val="24"/>
          <w:lang w:val="fr-CH"/>
        </w:rPr>
        <w:t xml:space="preserve">de l’Allemagne </w:t>
      </w:r>
      <w:r w:rsidRPr="000C33B8">
        <w:rPr>
          <w:szCs w:val="24"/>
          <w:lang w:val="fr-CH"/>
        </w:rPr>
        <w:t>a annoncé son intention de soumettre</w:t>
      </w:r>
      <w:r w:rsidR="00253EF5" w:rsidRPr="000C33B8">
        <w:rPr>
          <w:szCs w:val="24"/>
          <w:lang w:val="fr-CH"/>
        </w:rPr>
        <w:t xml:space="preserve"> une</w:t>
      </w:r>
      <w:r w:rsidRPr="000C33B8">
        <w:rPr>
          <w:szCs w:val="24"/>
          <w:lang w:val="fr-CH"/>
        </w:rPr>
        <w:t xml:space="preserve"> proposition de nouv</w:t>
      </w:r>
      <w:r w:rsidR="00253EF5" w:rsidRPr="000C33B8">
        <w:rPr>
          <w:szCs w:val="24"/>
          <w:lang w:val="fr-CH"/>
        </w:rPr>
        <w:t>eau règlement</w:t>
      </w:r>
      <w:r w:rsidRPr="000C33B8">
        <w:rPr>
          <w:szCs w:val="24"/>
          <w:lang w:val="fr-CH"/>
        </w:rPr>
        <w:t xml:space="preserve"> </w:t>
      </w:r>
      <w:r w:rsidR="00253EF5" w:rsidRPr="000C33B8">
        <w:rPr>
          <w:szCs w:val="24"/>
          <w:lang w:val="fr-CH"/>
        </w:rPr>
        <w:t xml:space="preserve">sur cette question </w:t>
      </w:r>
      <w:r w:rsidRPr="000C33B8">
        <w:rPr>
          <w:szCs w:val="24"/>
          <w:lang w:val="fr-CH"/>
        </w:rPr>
        <w:t>pour examen à la prochaine session du GRSG. Le GRSG a décidé de conserver le document GRSG-109-19 comme document de référence au titre d’un nouveau point de l</w:t>
      </w:r>
      <w:r w:rsidR="005F2A51">
        <w:rPr>
          <w:szCs w:val="24"/>
          <w:lang w:val="fr-CH"/>
        </w:rPr>
        <w:t>’ordre du jour relatif à l’</w:t>
      </w:r>
      <w:r w:rsidRPr="000C33B8">
        <w:rPr>
          <w:szCs w:val="24"/>
          <w:lang w:val="fr-CH"/>
        </w:rPr>
        <w:t>élaboration d</w:t>
      </w:r>
      <w:r w:rsidR="005F2A51">
        <w:rPr>
          <w:szCs w:val="24"/>
          <w:lang w:val="fr-CH"/>
        </w:rPr>
        <w:t>’</w:t>
      </w:r>
      <w:r w:rsidRPr="000C33B8">
        <w:rPr>
          <w:szCs w:val="24"/>
          <w:lang w:val="fr-CH"/>
        </w:rPr>
        <w:t xml:space="preserve">un nouveau règlement </w:t>
      </w:r>
      <w:r w:rsidR="00253EF5" w:rsidRPr="000C33B8">
        <w:rPr>
          <w:szCs w:val="24"/>
          <w:lang w:val="fr-CH"/>
        </w:rPr>
        <w:t>sur les systèmes actifs</w:t>
      </w:r>
      <w:r w:rsidRPr="000C33B8">
        <w:rPr>
          <w:szCs w:val="24"/>
          <w:lang w:val="fr-CH"/>
        </w:rPr>
        <w:t xml:space="preserve"> d</w:t>
      </w:r>
      <w:r w:rsidR="00253EF5" w:rsidRPr="000C33B8">
        <w:rPr>
          <w:szCs w:val="24"/>
          <w:lang w:val="fr-CH"/>
        </w:rPr>
        <w:t>’</w:t>
      </w:r>
      <w:r w:rsidRPr="000C33B8">
        <w:rPr>
          <w:szCs w:val="24"/>
          <w:lang w:val="fr-CH"/>
        </w:rPr>
        <w:t>aide à la conduite (ADAS).</w:t>
      </w:r>
    </w:p>
    <w:p w:rsidR="00FA1C01" w:rsidRPr="000C33B8" w:rsidRDefault="00FA1C01" w:rsidP="002864BC">
      <w:pPr>
        <w:pStyle w:val="SingleTxt"/>
        <w:rPr>
          <w:i/>
          <w:szCs w:val="24"/>
          <w:lang w:val="fr-CH"/>
        </w:rPr>
      </w:pPr>
      <w:r w:rsidRPr="000C33B8">
        <w:rPr>
          <w:i/>
          <w:szCs w:val="24"/>
          <w:lang w:val="fr-CH"/>
        </w:rPr>
        <w:t xml:space="preserve">Mesures de la </w:t>
      </w:r>
      <w:r w:rsidR="00253EF5" w:rsidRPr="000C33B8">
        <w:rPr>
          <w:i/>
          <w:szCs w:val="24"/>
          <w:lang w:val="fr-CH"/>
        </w:rPr>
        <w:t>f</w:t>
      </w:r>
      <w:r w:rsidRPr="000C33B8">
        <w:rPr>
          <w:i/>
          <w:szCs w:val="24"/>
          <w:lang w:val="fr-CH"/>
        </w:rPr>
        <w:t>euille de route visées</w:t>
      </w:r>
      <w:r w:rsidR="002864BC" w:rsidRPr="000C33B8">
        <w:rPr>
          <w:i/>
          <w:szCs w:val="24"/>
          <w:lang w:val="fr-CH"/>
        </w:rPr>
        <w:t> </w:t>
      </w:r>
      <w:r w:rsidRPr="000C33B8">
        <w:rPr>
          <w:i/>
          <w:szCs w:val="24"/>
          <w:lang w:val="fr-CH"/>
        </w:rPr>
        <w:t xml:space="preserve">: </w:t>
      </w:r>
      <w:r w:rsidR="00253EF5" w:rsidRPr="000C33B8">
        <w:rPr>
          <w:i/>
          <w:szCs w:val="24"/>
          <w:lang w:val="fr-CH"/>
        </w:rPr>
        <w:t>m</w:t>
      </w:r>
      <w:r w:rsidRPr="000C33B8">
        <w:rPr>
          <w:i/>
          <w:szCs w:val="24"/>
          <w:lang w:val="fr-CH"/>
        </w:rPr>
        <w:t>esures 3, 4, 5, 7 et 9.</w:t>
      </w:r>
    </w:p>
    <w:p w:rsidR="002864BC" w:rsidRPr="000C33B8" w:rsidRDefault="002864BC" w:rsidP="002864BC">
      <w:pPr>
        <w:pStyle w:val="SingleTxt"/>
        <w:spacing w:after="0" w:line="120" w:lineRule="exact"/>
        <w:rPr>
          <w:i/>
          <w:sz w:val="10"/>
          <w:szCs w:val="24"/>
          <w:lang w:val="fr-CH"/>
        </w:rPr>
      </w:pPr>
    </w:p>
    <w:p w:rsidR="00FA1C01" w:rsidRPr="000C33B8" w:rsidRDefault="005B2F7C" w:rsidP="005B2F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33B8">
        <w:rPr>
          <w:lang w:val="fr-CH"/>
        </w:rPr>
        <w:tab/>
      </w:r>
      <w:r w:rsidR="00FA1C01" w:rsidRPr="000C33B8">
        <w:rPr>
          <w:lang w:val="fr-CH"/>
        </w:rPr>
        <w:t>f)</w:t>
      </w:r>
      <w:r w:rsidR="00FA1C01" w:rsidRPr="000C33B8">
        <w:rPr>
          <w:lang w:val="fr-CH"/>
        </w:rPr>
        <w:tab/>
        <w:t xml:space="preserve">Groupe de travail informel </w:t>
      </w:r>
      <w:r w:rsidRPr="000C33B8">
        <w:rPr>
          <w:lang w:val="fr-CH"/>
        </w:rPr>
        <w:t xml:space="preserve">des systèmes de transport intelligents </w:t>
      </w:r>
      <w:r w:rsidRPr="000C33B8">
        <w:rPr>
          <w:lang w:val="fr-CH"/>
        </w:rPr>
        <w:br/>
        <w:t xml:space="preserve">et de la conduite automatisée du Forum mondial de l’harmonisation </w:t>
      </w:r>
      <w:r w:rsidRPr="000C33B8">
        <w:rPr>
          <w:lang w:val="fr-CH"/>
        </w:rPr>
        <w:br/>
        <w:t>des Règlements concernant les véhicules</w:t>
      </w:r>
      <w:r w:rsidR="00FA1C01" w:rsidRPr="000C33B8">
        <w:rPr>
          <w:lang w:val="fr-CH"/>
        </w:rPr>
        <w:t xml:space="preserve"> (WP.29)</w:t>
      </w:r>
    </w:p>
    <w:p w:rsidR="002864BC" w:rsidRPr="000C33B8" w:rsidRDefault="002864BC" w:rsidP="002864BC">
      <w:pPr>
        <w:pStyle w:val="SingleTxt"/>
        <w:spacing w:after="0" w:line="120" w:lineRule="exact"/>
        <w:rPr>
          <w:sz w:val="10"/>
          <w:lang w:val="fr-CH"/>
        </w:rPr>
      </w:pP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Le mandat du </w:t>
      </w:r>
      <w:r w:rsidR="005B2F7C" w:rsidRPr="000C33B8">
        <w:rPr>
          <w:szCs w:val="24"/>
          <w:lang w:val="fr-CH"/>
        </w:rPr>
        <w:t>g</w:t>
      </w:r>
      <w:r w:rsidRPr="000C33B8">
        <w:rPr>
          <w:szCs w:val="24"/>
          <w:lang w:val="fr-CH"/>
        </w:rPr>
        <w:t xml:space="preserve">roupe de travail informel </w:t>
      </w:r>
      <w:r w:rsidR="005F2A51" w:rsidRPr="000C33B8">
        <w:rPr>
          <w:lang w:val="fr-CH"/>
        </w:rPr>
        <w:t xml:space="preserve">des systèmes de transport intelligents et de la conduite automatisée du Forum mondial de l’harmonisation des Règlements concernant les véhicules </w:t>
      </w:r>
      <w:r w:rsidRPr="000C33B8">
        <w:rPr>
          <w:szCs w:val="24"/>
          <w:lang w:val="fr-CH"/>
        </w:rPr>
        <w:t>énonce les points inscrits au programme de travail devant faire l</w:t>
      </w:r>
      <w:r w:rsidR="005F2A51">
        <w:rPr>
          <w:szCs w:val="24"/>
          <w:lang w:val="fr-CH"/>
        </w:rPr>
        <w:t>’</w:t>
      </w:r>
      <w:r w:rsidRPr="000C33B8">
        <w:rPr>
          <w:szCs w:val="24"/>
          <w:lang w:val="fr-CH"/>
        </w:rPr>
        <w:t xml:space="preserve">objet des activités du </w:t>
      </w:r>
      <w:r w:rsidR="005F2A51">
        <w:rPr>
          <w:szCs w:val="24"/>
          <w:lang w:val="fr-CH"/>
        </w:rPr>
        <w:t xml:space="preserve">groupe </w:t>
      </w:r>
      <w:r w:rsidRPr="000C33B8">
        <w:rPr>
          <w:szCs w:val="24"/>
          <w:lang w:val="fr-CH"/>
        </w:rPr>
        <w:t xml:space="preserve"> dans tro</w:t>
      </w:r>
      <w:r w:rsidR="005B2F7C" w:rsidRPr="000C33B8">
        <w:rPr>
          <w:szCs w:val="24"/>
          <w:lang w:val="fr-CH"/>
        </w:rPr>
        <w:t>is domaines d</w:t>
      </w:r>
      <w:r w:rsidR="005F2A51">
        <w:rPr>
          <w:szCs w:val="24"/>
          <w:lang w:val="fr-CH"/>
        </w:rPr>
        <w:t>’</w:t>
      </w:r>
      <w:r w:rsidR="005B2F7C" w:rsidRPr="000C33B8">
        <w:rPr>
          <w:szCs w:val="24"/>
          <w:lang w:val="fr-CH"/>
        </w:rPr>
        <w:t>action principaux </w:t>
      </w:r>
      <w:r w:rsidRPr="000C33B8">
        <w:rPr>
          <w:szCs w:val="24"/>
          <w:lang w:val="fr-CH"/>
        </w:rPr>
        <w:t xml:space="preserve">: </w:t>
      </w:r>
    </w:p>
    <w:p w:rsidR="00FA1C01" w:rsidRPr="000C33B8" w:rsidRDefault="00FA1C01" w:rsidP="008B18CB">
      <w:pPr>
        <w:pStyle w:val="SingleTxt"/>
        <w:rPr>
          <w:lang w:val="fr-CH"/>
        </w:rPr>
      </w:pPr>
      <w:r w:rsidRPr="000C33B8">
        <w:rPr>
          <w:lang w:val="fr-CH"/>
        </w:rPr>
        <w:tab/>
        <w:t>a)</w:t>
      </w:r>
      <w:r w:rsidRPr="000C33B8">
        <w:rPr>
          <w:lang w:val="fr-CH"/>
        </w:rPr>
        <w:tab/>
        <w:t xml:space="preserve">Préparer des propositions de définition harmonisées des technologies de conduite automatisée (TCA); </w:t>
      </w:r>
    </w:p>
    <w:p w:rsidR="00FA1C01" w:rsidRPr="000C33B8" w:rsidRDefault="00FA1C01" w:rsidP="008B18CB">
      <w:pPr>
        <w:pStyle w:val="SingleTxt"/>
        <w:rPr>
          <w:lang w:val="fr-CH"/>
        </w:rPr>
      </w:pPr>
      <w:r w:rsidRPr="000C33B8">
        <w:rPr>
          <w:lang w:val="fr-CH"/>
        </w:rPr>
        <w:tab/>
        <w:t>b)</w:t>
      </w:r>
      <w:r w:rsidRPr="000C33B8">
        <w:rPr>
          <w:lang w:val="fr-CH"/>
        </w:rPr>
        <w:tab/>
      </w:r>
      <w:r w:rsidR="005F2A51">
        <w:rPr>
          <w:lang w:val="fr-CH"/>
        </w:rPr>
        <w:t>Recenser</w:t>
      </w:r>
      <w:r w:rsidRPr="000C33B8">
        <w:rPr>
          <w:lang w:val="fr-CH"/>
        </w:rPr>
        <w:t xml:space="preserve"> les principales questions horizontales ainsi que les </w:t>
      </w:r>
      <w:r w:rsidR="00966CF2" w:rsidRPr="000C33B8">
        <w:rPr>
          <w:lang w:val="fr-CH"/>
        </w:rPr>
        <w:t xml:space="preserve">principaux </w:t>
      </w:r>
      <w:r w:rsidRPr="000C33B8">
        <w:rPr>
          <w:lang w:val="fr-CH"/>
        </w:rPr>
        <w:t xml:space="preserve">obstacles juridiques concernant les technologies de conduite automatisée, en incluant, si possible et approprié, </w:t>
      </w:r>
      <w:r w:rsidR="00966CF2" w:rsidRPr="000C33B8">
        <w:rPr>
          <w:lang w:val="fr-CH"/>
        </w:rPr>
        <w:t>tout ce qui ne relève</w:t>
      </w:r>
      <w:r w:rsidRPr="000C33B8">
        <w:rPr>
          <w:lang w:val="fr-CH"/>
        </w:rPr>
        <w:t xml:space="preserve"> pas de la compétence du WP.29.</w:t>
      </w:r>
    </w:p>
    <w:p w:rsidR="00FA1C01" w:rsidRPr="000C33B8" w:rsidRDefault="00FA1C01" w:rsidP="008B18CB">
      <w:pPr>
        <w:pStyle w:val="SingleTxt"/>
        <w:rPr>
          <w:lang w:val="fr-CH"/>
        </w:rPr>
      </w:pPr>
      <w:r w:rsidRPr="000C33B8">
        <w:rPr>
          <w:lang w:val="fr-CH"/>
        </w:rPr>
        <w:tab/>
        <w:t>c)</w:t>
      </w:r>
      <w:r w:rsidRPr="000C33B8">
        <w:rPr>
          <w:lang w:val="fr-CH"/>
        </w:rPr>
        <w:tab/>
      </w:r>
      <w:r w:rsidR="000C33B8" w:rsidRPr="000C33B8">
        <w:rPr>
          <w:lang w:val="fr-CH"/>
        </w:rPr>
        <w:t>Élaborer</w:t>
      </w:r>
      <w:r w:rsidRPr="000C33B8">
        <w:rPr>
          <w:lang w:val="fr-CH"/>
        </w:rPr>
        <w:t xml:space="preserve"> une proposition de lignes directrices harmonisées en matière de cybersécurité (eSecurity et eSafety) dans les véhicules à moteur. </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En outre, le </w:t>
      </w:r>
      <w:r w:rsidR="00966CF2" w:rsidRPr="000C33B8">
        <w:rPr>
          <w:szCs w:val="24"/>
          <w:lang w:val="fr-CH"/>
        </w:rPr>
        <w:t>g</w:t>
      </w:r>
      <w:r w:rsidRPr="000C33B8">
        <w:rPr>
          <w:szCs w:val="24"/>
          <w:lang w:val="fr-CH"/>
        </w:rPr>
        <w:t xml:space="preserve">roupe </w:t>
      </w:r>
      <w:r w:rsidR="00966CF2" w:rsidRPr="000C33B8">
        <w:rPr>
          <w:szCs w:val="24"/>
          <w:lang w:val="fr-CH"/>
        </w:rPr>
        <w:t>de travail</w:t>
      </w:r>
      <w:r w:rsidRPr="000C33B8">
        <w:rPr>
          <w:szCs w:val="24"/>
          <w:lang w:val="fr-CH"/>
        </w:rPr>
        <w:t xml:space="preserve"> continue à échanger des informations sur les technologies en matière de conduite totalement autonome (sans conducteur).</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Le </w:t>
      </w:r>
      <w:r w:rsidR="00966CF2" w:rsidRPr="000C33B8">
        <w:rPr>
          <w:szCs w:val="24"/>
          <w:lang w:val="fr-CH"/>
        </w:rPr>
        <w:t>g</w:t>
      </w:r>
      <w:r w:rsidRPr="000C33B8">
        <w:rPr>
          <w:szCs w:val="24"/>
          <w:lang w:val="fr-CH"/>
        </w:rPr>
        <w:t>roupe a avancé dans la définition des niveaux d</w:t>
      </w:r>
      <w:r w:rsidR="005F2A51">
        <w:rPr>
          <w:szCs w:val="24"/>
          <w:lang w:val="fr-CH"/>
        </w:rPr>
        <w:t>’</w:t>
      </w:r>
      <w:r w:rsidRPr="000C33B8">
        <w:rPr>
          <w:szCs w:val="24"/>
          <w:lang w:val="fr-CH"/>
        </w:rPr>
        <w:t>automatisation en s’appuyant sur la norme SAE J3016. Il a entendu un exposé de l</w:t>
      </w:r>
      <w:r w:rsidR="00966CF2" w:rsidRPr="000C33B8">
        <w:rPr>
          <w:szCs w:val="24"/>
          <w:lang w:val="fr-CH"/>
        </w:rPr>
        <w:t>’</w:t>
      </w:r>
      <w:r w:rsidRPr="000C33B8">
        <w:rPr>
          <w:szCs w:val="24"/>
          <w:lang w:val="fr-CH"/>
        </w:rPr>
        <w:t xml:space="preserve">expert </w:t>
      </w:r>
      <w:r w:rsidR="00966CF2" w:rsidRPr="000C33B8">
        <w:rPr>
          <w:szCs w:val="24"/>
          <w:lang w:val="fr-CH"/>
        </w:rPr>
        <w:t>des Pays-Bas</w:t>
      </w:r>
      <w:r w:rsidRPr="000C33B8">
        <w:rPr>
          <w:szCs w:val="24"/>
          <w:lang w:val="fr-CH"/>
        </w:rPr>
        <w:t xml:space="preserve"> sur </w:t>
      </w:r>
      <w:r w:rsidR="00966CF2" w:rsidRPr="000C33B8">
        <w:rPr>
          <w:szCs w:val="24"/>
          <w:lang w:val="fr-CH"/>
        </w:rPr>
        <w:t>la</w:t>
      </w:r>
      <w:r w:rsidRPr="000C33B8">
        <w:rPr>
          <w:szCs w:val="24"/>
          <w:lang w:val="fr-CH"/>
        </w:rPr>
        <w:t xml:space="preserve"> sécurité</w:t>
      </w:r>
      <w:r w:rsidR="00966CF2" w:rsidRPr="000C33B8">
        <w:rPr>
          <w:szCs w:val="24"/>
          <w:lang w:val="fr-CH"/>
        </w:rPr>
        <w:t xml:space="preserve"> relative aux logiciels</w:t>
      </w:r>
      <w:r w:rsidRPr="000C33B8">
        <w:rPr>
          <w:szCs w:val="24"/>
          <w:lang w:val="fr-CH"/>
        </w:rPr>
        <w:t xml:space="preserve">. Il a examiné les lignes directrices en matière de </w:t>
      </w:r>
      <w:r w:rsidR="00966CF2" w:rsidRPr="000C33B8">
        <w:rPr>
          <w:szCs w:val="24"/>
          <w:lang w:val="fr-CH"/>
        </w:rPr>
        <w:t>cyber</w:t>
      </w:r>
      <w:r w:rsidRPr="000C33B8">
        <w:rPr>
          <w:szCs w:val="24"/>
          <w:lang w:val="fr-CH"/>
        </w:rPr>
        <w:t>sécurité élaborées par le Japon. L</w:t>
      </w:r>
      <w:r w:rsidR="005B2F7C" w:rsidRPr="000C33B8">
        <w:rPr>
          <w:szCs w:val="24"/>
          <w:lang w:val="fr-CH"/>
        </w:rPr>
        <w:t>’</w:t>
      </w:r>
      <w:r w:rsidR="000C33B8" w:rsidRPr="000C33B8">
        <w:rPr>
          <w:szCs w:val="24"/>
          <w:lang w:val="fr-CH"/>
        </w:rPr>
        <w:t>Allemagne</w:t>
      </w:r>
      <w:r w:rsidRPr="000C33B8">
        <w:rPr>
          <w:szCs w:val="24"/>
          <w:lang w:val="fr-CH"/>
        </w:rPr>
        <w:t xml:space="preserve"> a présenté un document sur la cybersécurité reflétant les débats qui </w:t>
      </w:r>
      <w:r w:rsidR="00966CF2" w:rsidRPr="000C33B8">
        <w:rPr>
          <w:szCs w:val="24"/>
          <w:lang w:val="fr-CH"/>
        </w:rPr>
        <w:t>s’étaient</w:t>
      </w:r>
      <w:r w:rsidRPr="000C33B8">
        <w:rPr>
          <w:szCs w:val="24"/>
          <w:lang w:val="fr-CH"/>
        </w:rPr>
        <w:t xml:space="preserve"> déroulés lors de la réunion des ministres de</w:t>
      </w:r>
      <w:r w:rsidR="005B2F7C" w:rsidRPr="000C33B8">
        <w:rPr>
          <w:szCs w:val="24"/>
          <w:lang w:val="fr-CH"/>
        </w:rPr>
        <w:t>s transports du G</w:t>
      </w:r>
      <w:r w:rsidR="00966CF2" w:rsidRPr="000C33B8">
        <w:rPr>
          <w:szCs w:val="24"/>
          <w:lang w:val="fr-CH"/>
        </w:rPr>
        <w:t> </w:t>
      </w:r>
      <w:r w:rsidR="005B2F7C" w:rsidRPr="000C33B8">
        <w:rPr>
          <w:szCs w:val="24"/>
          <w:lang w:val="fr-CH"/>
        </w:rPr>
        <w:t>7 le 17 </w:t>
      </w:r>
      <w:r w:rsidRPr="000C33B8">
        <w:rPr>
          <w:szCs w:val="24"/>
          <w:lang w:val="fr-CH"/>
        </w:rPr>
        <w:t xml:space="preserve">septembre 2015. Suite à </w:t>
      </w:r>
      <w:r w:rsidR="00966CF2" w:rsidRPr="000C33B8">
        <w:rPr>
          <w:szCs w:val="24"/>
          <w:lang w:val="fr-CH"/>
        </w:rPr>
        <w:t>l’</w:t>
      </w:r>
      <w:r w:rsidRPr="000C33B8">
        <w:rPr>
          <w:szCs w:val="24"/>
          <w:lang w:val="fr-CH"/>
        </w:rPr>
        <w:t>invitation à rechercher de nouvelles approches institutionnelles à la question du rôle du conducteur dans les systèmes d</w:t>
      </w:r>
      <w:r w:rsidR="005F2A51">
        <w:rPr>
          <w:szCs w:val="24"/>
          <w:lang w:val="fr-CH"/>
        </w:rPr>
        <w:t>’</w:t>
      </w:r>
      <w:r w:rsidRPr="000C33B8">
        <w:rPr>
          <w:szCs w:val="24"/>
          <w:lang w:val="fr-CH"/>
        </w:rPr>
        <w:t>automatisation plus perfectionnés, adressée par le CTI au WP.1 et au WP.29 (ECE/TRA</w:t>
      </w:r>
      <w:r w:rsidR="00966CF2" w:rsidRPr="000C33B8">
        <w:rPr>
          <w:szCs w:val="24"/>
          <w:lang w:val="fr-CH"/>
        </w:rPr>
        <w:t xml:space="preserve">NS/248, </w:t>
      </w:r>
      <w:r w:rsidRPr="000C33B8">
        <w:rPr>
          <w:szCs w:val="24"/>
          <w:lang w:val="fr-CH"/>
        </w:rPr>
        <w:t>par.</w:t>
      </w:r>
      <w:r w:rsidR="00970511" w:rsidRPr="000C33B8">
        <w:rPr>
          <w:szCs w:val="24"/>
          <w:lang w:val="fr-CH"/>
        </w:rPr>
        <w:t> </w:t>
      </w:r>
      <w:r w:rsidRPr="000C33B8">
        <w:rPr>
          <w:szCs w:val="24"/>
          <w:lang w:val="fr-CH"/>
        </w:rPr>
        <w:t>42</w:t>
      </w:r>
      <w:r w:rsidR="00966CF2" w:rsidRPr="000C33B8">
        <w:rPr>
          <w:szCs w:val="24"/>
          <w:lang w:val="fr-CH"/>
        </w:rPr>
        <w:t> d</w:t>
      </w:r>
      <w:r w:rsidRPr="000C33B8">
        <w:rPr>
          <w:szCs w:val="24"/>
          <w:lang w:val="fr-CH"/>
        </w:rPr>
        <w:t>)</w:t>
      </w:r>
      <w:r w:rsidR="00966CF2" w:rsidRPr="000C33B8">
        <w:rPr>
          <w:szCs w:val="24"/>
          <w:lang w:val="fr-CH"/>
        </w:rPr>
        <w:t>)</w:t>
      </w:r>
      <w:r w:rsidRPr="000C33B8">
        <w:rPr>
          <w:szCs w:val="24"/>
          <w:lang w:val="fr-CH"/>
        </w:rPr>
        <w:t xml:space="preserve">, le Groupe a été désigné comme interface avec le </w:t>
      </w:r>
      <w:r w:rsidR="005F2A51">
        <w:rPr>
          <w:szCs w:val="24"/>
          <w:lang w:val="fr-CH"/>
        </w:rPr>
        <w:t>g</w:t>
      </w:r>
      <w:r w:rsidRPr="000C33B8">
        <w:rPr>
          <w:szCs w:val="24"/>
          <w:lang w:val="fr-CH"/>
        </w:rPr>
        <w:t xml:space="preserve">roupe de travail informel </w:t>
      </w:r>
      <w:r w:rsidR="005F2A51">
        <w:rPr>
          <w:szCs w:val="24"/>
          <w:lang w:val="fr-CH"/>
        </w:rPr>
        <w:t xml:space="preserve">de </w:t>
      </w:r>
      <w:r w:rsidRPr="000C33B8">
        <w:rPr>
          <w:szCs w:val="24"/>
          <w:lang w:val="fr-CH"/>
        </w:rPr>
        <w:t>la conduite automat</w:t>
      </w:r>
      <w:r w:rsidR="005F2A51">
        <w:rPr>
          <w:szCs w:val="24"/>
          <w:lang w:val="fr-CH"/>
        </w:rPr>
        <w:t>isée</w:t>
      </w:r>
      <w:r w:rsidRPr="000C33B8">
        <w:rPr>
          <w:szCs w:val="24"/>
          <w:lang w:val="fr-CH"/>
        </w:rPr>
        <w:t xml:space="preserve"> du WP.1 et a chargé le représentant de</w:t>
      </w:r>
      <w:r w:rsidR="005F2A51">
        <w:rPr>
          <w:szCs w:val="24"/>
          <w:lang w:val="fr-CH"/>
        </w:rPr>
        <w:t xml:space="preserve"> la Finlande de jouer le rôle d’</w:t>
      </w:r>
      <w:r w:rsidRPr="000C33B8">
        <w:rPr>
          <w:szCs w:val="24"/>
          <w:lang w:val="fr-CH"/>
        </w:rPr>
        <w:t xml:space="preserve">ambassadeur entre </w:t>
      </w:r>
      <w:r w:rsidR="00966CF2" w:rsidRPr="000C33B8">
        <w:rPr>
          <w:szCs w:val="24"/>
          <w:lang w:val="fr-CH"/>
        </w:rPr>
        <w:t xml:space="preserve">lui </w:t>
      </w:r>
      <w:r w:rsidRPr="000C33B8">
        <w:rPr>
          <w:szCs w:val="24"/>
          <w:lang w:val="fr-CH"/>
        </w:rPr>
        <w:t xml:space="preserve">et le </w:t>
      </w:r>
      <w:r w:rsidR="00966CF2" w:rsidRPr="000C33B8">
        <w:rPr>
          <w:szCs w:val="24"/>
          <w:lang w:val="fr-CH"/>
        </w:rPr>
        <w:t>g</w:t>
      </w:r>
      <w:r w:rsidRPr="000C33B8">
        <w:rPr>
          <w:szCs w:val="24"/>
          <w:lang w:val="fr-CH"/>
        </w:rPr>
        <w:t>roupe de travail informel du WP.1.</w:t>
      </w:r>
    </w:p>
    <w:p w:rsidR="00FA1C01" w:rsidRPr="000C33B8" w:rsidRDefault="00FA1C01" w:rsidP="008B18CB">
      <w:pPr>
        <w:pStyle w:val="SingleTxt"/>
        <w:rPr>
          <w:i/>
          <w:szCs w:val="24"/>
          <w:lang w:val="fr-CH"/>
        </w:rPr>
      </w:pPr>
      <w:r w:rsidRPr="000C33B8">
        <w:rPr>
          <w:i/>
          <w:szCs w:val="24"/>
          <w:lang w:val="fr-CH"/>
        </w:rPr>
        <w:t xml:space="preserve">Mesures de la </w:t>
      </w:r>
      <w:r w:rsidR="00966CF2" w:rsidRPr="000C33B8">
        <w:rPr>
          <w:i/>
          <w:szCs w:val="24"/>
          <w:lang w:val="fr-CH"/>
        </w:rPr>
        <w:t>f</w:t>
      </w:r>
      <w:r w:rsidRPr="000C33B8">
        <w:rPr>
          <w:i/>
          <w:szCs w:val="24"/>
          <w:lang w:val="fr-CH"/>
        </w:rPr>
        <w:t>euille de route visées</w:t>
      </w:r>
      <w:r w:rsidR="008B18CB" w:rsidRPr="000C33B8">
        <w:rPr>
          <w:i/>
          <w:szCs w:val="24"/>
          <w:lang w:val="fr-CH"/>
        </w:rPr>
        <w:t> </w:t>
      </w:r>
      <w:r w:rsidRPr="000C33B8">
        <w:rPr>
          <w:i/>
          <w:szCs w:val="24"/>
          <w:lang w:val="fr-CH"/>
        </w:rPr>
        <w:t xml:space="preserve">: </w:t>
      </w:r>
      <w:r w:rsidR="00966CF2" w:rsidRPr="000C33B8">
        <w:rPr>
          <w:i/>
          <w:szCs w:val="24"/>
          <w:lang w:val="fr-CH"/>
        </w:rPr>
        <w:t>m</w:t>
      </w:r>
      <w:r w:rsidRPr="000C33B8">
        <w:rPr>
          <w:i/>
          <w:szCs w:val="24"/>
          <w:lang w:val="fr-CH"/>
        </w:rPr>
        <w:t xml:space="preserve">esures 1, 2, 3, 4, 5, 7, 9, 10, 15, 17, et </w:t>
      </w:r>
      <w:r w:rsidR="005F2A51">
        <w:rPr>
          <w:i/>
          <w:szCs w:val="24"/>
          <w:lang w:val="fr-CH"/>
        </w:rPr>
        <w:t>19</w:t>
      </w:r>
      <w:r w:rsidRPr="000C33B8">
        <w:rPr>
          <w:i/>
          <w:szCs w:val="24"/>
          <w:lang w:val="fr-CH"/>
        </w:rPr>
        <w:t>.</w:t>
      </w:r>
    </w:p>
    <w:p w:rsidR="008B18CB" w:rsidRPr="000C33B8" w:rsidRDefault="008B18CB" w:rsidP="008B18CB">
      <w:pPr>
        <w:pStyle w:val="SingleTxt"/>
        <w:spacing w:after="0" w:line="120" w:lineRule="exact"/>
        <w:rPr>
          <w:i/>
          <w:sz w:val="10"/>
          <w:szCs w:val="24"/>
          <w:lang w:val="fr-CH"/>
        </w:rPr>
      </w:pPr>
    </w:p>
    <w:p w:rsidR="00FA1C01" w:rsidRPr="000C33B8" w:rsidRDefault="00FA1C01" w:rsidP="005B2F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II.</w:t>
      </w:r>
      <w:r w:rsidRPr="000C33B8">
        <w:rPr>
          <w:lang w:val="fr-CH"/>
        </w:rPr>
        <w:tab/>
        <w:t>Activités extérieures à la CEE en 2015</w:t>
      </w:r>
    </w:p>
    <w:p w:rsidR="008B18CB" w:rsidRPr="000C33B8" w:rsidRDefault="008B18CB" w:rsidP="005B2F7C">
      <w:pPr>
        <w:pStyle w:val="SingleTxt"/>
        <w:keepNext/>
        <w:spacing w:after="0" w:line="120" w:lineRule="exact"/>
        <w:rPr>
          <w:sz w:val="10"/>
          <w:lang w:val="fr-CH"/>
        </w:rPr>
      </w:pPr>
    </w:p>
    <w:p w:rsidR="008B18CB" w:rsidRPr="000C33B8" w:rsidRDefault="008B18CB" w:rsidP="005B2F7C">
      <w:pPr>
        <w:pStyle w:val="SingleTxt"/>
        <w:keepNext/>
        <w:spacing w:after="0" w:line="120" w:lineRule="exact"/>
        <w:rPr>
          <w:sz w:val="10"/>
          <w:lang w:val="fr-CH"/>
        </w:rPr>
      </w:pPr>
    </w:p>
    <w:p w:rsidR="00FA1C01" w:rsidRPr="000C33B8" w:rsidRDefault="008B18CB" w:rsidP="005B2F7C">
      <w:pPr>
        <w:pStyle w:val="SingleTxt"/>
        <w:keepNext/>
        <w:numPr>
          <w:ilvl w:val="0"/>
          <w:numId w:val="8"/>
        </w:numPr>
        <w:tabs>
          <w:tab w:val="clear" w:pos="475"/>
          <w:tab w:val="num" w:pos="1742"/>
        </w:tabs>
        <w:ind w:left="1267"/>
        <w:rPr>
          <w:szCs w:val="24"/>
          <w:lang w:val="fr-CH"/>
        </w:rPr>
      </w:pPr>
      <w:r w:rsidRPr="000C33B8">
        <w:rPr>
          <w:szCs w:val="24"/>
          <w:lang w:val="fr-CH"/>
        </w:rPr>
        <w:t>À</w:t>
      </w:r>
      <w:r w:rsidR="00FA1C01" w:rsidRPr="000C33B8">
        <w:rPr>
          <w:szCs w:val="24"/>
          <w:lang w:val="fr-CH"/>
        </w:rPr>
        <w:t xml:space="preserve"> l</w:t>
      </w:r>
      <w:r w:rsidR="005F2A51">
        <w:rPr>
          <w:szCs w:val="24"/>
          <w:lang w:val="fr-CH"/>
        </w:rPr>
        <w:t>’</w:t>
      </w:r>
      <w:r w:rsidR="00FA1C01" w:rsidRPr="000C33B8">
        <w:rPr>
          <w:szCs w:val="24"/>
          <w:lang w:val="fr-CH"/>
        </w:rPr>
        <w:t>initiative de la France, l</w:t>
      </w:r>
      <w:r w:rsidR="005F2A51">
        <w:rPr>
          <w:szCs w:val="24"/>
          <w:lang w:val="fr-CH"/>
        </w:rPr>
        <w:t>’</w:t>
      </w:r>
      <w:r w:rsidR="00FA1C01" w:rsidRPr="000C33B8">
        <w:rPr>
          <w:szCs w:val="24"/>
          <w:lang w:val="fr-CH"/>
        </w:rPr>
        <w:t>ouverture officielle du vingt-deuxième Congrès mondial sur les systèmes de transport intelligents a été précédée par une table ronde au niveau ministériel. La Ministre de l</w:t>
      </w:r>
      <w:r w:rsidR="005F2A51">
        <w:rPr>
          <w:szCs w:val="24"/>
          <w:lang w:val="fr-CH"/>
        </w:rPr>
        <w:t>’</w:t>
      </w:r>
      <w:r w:rsidR="00FA1C01" w:rsidRPr="000C33B8">
        <w:rPr>
          <w:szCs w:val="24"/>
          <w:lang w:val="fr-CH"/>
        </w:rPr>
        <w:t>écologie, du développement durable et de l</w:t>
      </w:r>
      <w:r w:rsidRPr="000C33B8">
        <w:rPr>
          <w:szCs w:val="24"/>
          <w:lang w:val="fr-CH"/>
        </w:rPr>
        <w:t>’</w:t>
      </w:r>
      <w:r w:rsidR="00FA1C01" w:rsidRPr="000C33B8">
        <w:rPr>
          <w:szCs w:val="24"/>
          <w:lang w:val="fr-CH"/>
        </w:rPr>
        <w:t>énergie, M</w:t>
      </w:r>
      <w:r w:rsidR="00FA1C01" w:rsidRPr="000C33B8">
        <w:rPr>
          <w:szCs w:val="24"/>
          <w:vertAlign w:val="superscript"/>
          <w:lang w:val="fr-CH"/>
        </w:rPr>
        <w:t>me</w:t>
      </w:r>
      <w:r w:rsidR="00966CF2" w:rsidRPr="000C33B8">
        <w:rPr>
          <w:szCs w:val="24"/>
          <w:lang w:val="fr-CH"/>
        </w:rPr>
        <w:t> </w:t>
      </w:r>
      <w:r w:rsidR="00FA1C01" w:rsidRPr="000C33B8">
        <w:rPr>
          <w:szCs w:val="24"/>
          <w:lang w:val="fr-CH"/>
        </w:rPr>
        <w:t>Segolène Royal, ainsi que le Secrétaire d</w:t>
      </w:r>
      <w:r w:rsidRPr="000C33B8">
        <w:rPr>
          <w:szCs w:val="24"/>
          <w:lang w:val="fr-CH"/>
        </w:rPr>
        <w:t>’</w:t>
      </w:r>
      <w:r w:rsidR="00FA1C01" w:rsidRPr="000C33B8">
        <w:rPr>
          <w:szCs w:val="24"/>
          <w:lang w:val="fr-CH"/>
        </w:rPr>
        <w:t xml:space="preserve">État chargé des </w:t>
      </w:r>
      <w:r w:rsidR="00966CF2" w:rsidRPr="000C33B8">
        <w:rPr>
          <w:szCs w:val="24"/>
          <w:lang w:val="fr-CH"/>
        </w:rPr>
        <w:t>t</w:t>
      </w:r>
      <w:r w:rsidR="00FA1C01" w:rsidRPr="000C33B8">
        <w:rPr>
          <w:szCs w:val="24"/>
          <w:lang w:val="fr-CH"/>
        </w:rPr>
        <w:t xml:space="preserve">ransports, de la </w:t>
      </w:r>
      <w:r w:rsidR="00966CF2" w:rsidRPr="000C33B8">
        <w:rPr>
          <w:szCs w:val="24"/>
          <w:lang w:val="fr-CH"/>
        </w:rPr>
        <w:t>m</w:t>
      </w:r>
      <w:r w:rsidR="00FA1C01" w:rsidRPr="000C33B8">
        <w:rPr>
          <w:szCs w:val="24"/>
          <w:lang w:val="fr-CH"/>
        </w:rPr>
        <w:t xml:space="preserve">er et de la </w:t>
      </w:r>
      <w:r w:rsidR="00966CF2" w:rsidRPr="000C33B8">
        <w:rPr>
          <w:szCs w:val="24"/>
          <w:lang w:val="fr-CH"/>
        </w:rPr>
        <w:t>p</w:t>
      </w:r>
      <w:r w:rsidR="00FA1C01" w:rsidRPr="000C33B8">
        <w:rPr>
          <w:szCs w:val="24"/>
          <w:lang w:val="fr-CH"/>
        </w:rPr>
        <w:t xml:space="preserve">êche, M. Alain Vidalies, ont invité leurs homologues de tous les pays à y participer sur le thème des perspectives de développement offertes par les STI en faveur de </w:t>
      </w:r>
      <w:r w:rsidR="005F2A51">
        <w:rPr>
          <w:szCs w:val="24"/>
          <w:lang w:val="fr-CH"/>
        </w:rPr>
        <w:t>l’</w:t>
      </w:r>
      <w:r w:rsidR="00FA1C01" w:rsidRPr="000C33B8">
        <w:rPr>
          <w:szCs w:val="24"/>
          <w:lang w:val="fr-CH"/>
        </w:rPr>
        <w:t xml:space="preserve">environnement et </w:t>
      </w:r>
      <w:r w:rsidR="00966CF2" w:rsidRPr="000C33B8">
        <w:rPr>
          <w:szCs w:val="24"/>
          <w:lang w:val="fr-CH"/>
        </w:rPr>
        <w:t>du</w:t>
      </w:r>
      <w:r w:rsidR="00FA1C01" w:rsidRPr="000C33B8">
        <w:rPr>
          <w:szCs w:val="24"/>
          <w:lang w:val="fr-CH"/>
        </w:rPr>
        <w:t xml:space="preserve"> climat.</w:t>
      </w:r>
    </w:p>
    <w:p w:rsidR="00FA1C01" w:rsidRPr="005F2A51" w:rsidRDefault="00FA1C01" w:rsidP="004D28E7">
      <w:pPr>
        <w:pStyle w:val="SingleTxt"/>
        <w:numPr>
          <w:ilvl w:val="0"/>
          <w:numId w:val="8"/>
        </w:numPr>
        <w:tabs>
          <w:tab w:val="clear" w:pos="475"/>
          <w:tab w:val="num" w:pos="1742"/>
        </w:tabs>
        <w:ind w:left="1267"/>
        <w:rPr>
          <w:szCs w:val="20"/>
          <w:lang w:val="fr-CH"/>
        </w:rPr>
      </w:pPr>
      <w:r w:rsidRPr="005F2A51">
        <w:rPr>
          <w:szCs w:val="20"/>
          <w:lang w:val="fr-CH"/>
        </w:rPr>
        <w:t>La table ronde était coprésidée par la Commissaire V. Bulc (CE) et par le Secrétaire d</w:t>
      </w:r>
      <w:r w:rsidR="00970511" w:rsidRPr="005F2A51">
        <w:rPr>
          <w:szCs w:val="20"/>
          <w:lang w:val="fr-CH"/>
        </w:rPr>
        <w:t>’</w:t>
      </w:r>
      <w:r w:rsidRPr="005F2A51">
        <w:rPr>
          <w:szCs w:val="20"/>
          <w:lang w:val="fr-CH"/>
        </w:rPr>
        <w:t>État A.Vidalies (France)</w:t>
      </w:r>
      <w:r w:rsidR="00966CF2" w:rsidRPr="005F2A51">
        <w:rPr>
          <w:szCs w:val="20"/>
          <w:lang w:val="fr-CH"/>
        </w:rPr>
        <w:t>,</w:t>
      </w:r>
      <w:r w:rsidRPr="005F2A51">
        <w:rPr>
          <w:szCs w:val="20"/>
          <w:lang w:val="fr-CH"/>
        </w:rPr>
        <w:t xml:space="preserve"> et animée par M</w:t>
      </w:r>
      <w:r w:rsidRPr="005F2A51">
        <w:rPr>
          <w:szCs w:val="20"/>
          <w:vertAlign w:val="superscript"/>
          <w:lang w:val="fr-CH"/>
        </w:rPr>
        <w:t>me</w:t>
      </w:r>
      <w:r w:rsidR="00970511" w:rsidRPr="005F2A51">
        <w:rPr>
          <w:szCs w:val="20"/>
          <w:lang w:val="fr-CH"/>
        </w:rPr>
        <w:t> </w:t>
      </w:r>
      <w:r w:rsidRPr="005F2A51">
        <w:rPr>
          <w:szCs w:val="20"/>
          <w:lang w:val="fr-CH"/>
        </w:rPr>
        <w:t>E. Molnar (CEE).</w:t>
      </w:r>
    </w:p>
    <w:p w:rsidR="00FA1C01" w:rsidRPr="005F2A51" w:rsidRDefault="00FA1C01" w:rsidP="00214E60">
      <w:pPr>
        <w:pStyle w:val="SingleTxt"/>
        <w:numPr>
          <w:ilvl w:val="0"/>
          <w:numId w:val="8"/>
        </w:numPr>
        <w:tabs>
          <w:tab w:val="clear" w:pos="475"/>
          <w:tab w:val="num" w:pos="1742"/>
        </w:tabs>
        <w:ind w:left="1267"/>
        <w:rPr>
          <w:szCs w:val="20"/>
          <w:lang w:val="fr-CH"/>
        </w:rPr>
      </w:pPr>
      <w:r w:rsidRPr="005F2A51">
        <w:rPr>
          <w:szCs w:val="20"/>
          <w:lang w:val="fr-CH"/>
        </w:rPr>
        <w:t>Les ministres de plus de trente gouvernements ont contribué au débat sur les systèmes de transport intelligents et l</w:t>
      </w:r>
      <w:r w:rsidR="005F2A51">
        <w:rPr>
          <w:szCs w:val="20"/>
          <w:lang w:val="fr-CH"/>
        </w:rPr>
        <w:t>’</w:t>
      </w:r>
      <w:r w:rsidRPr="005F2A51">
        <w:rPr>
          <w:szCs w:val="20"/>
          <w:lang w:val="fr-CH"/>
        </w:rPr>
        <w:t xml:space="preserve">atténuation </w:t>
      </w:r>
      <w:r w:rsidR="005F2A51">
        <w:rPr>
          <w:szCs w:val="20"/>
          <w:lang w:val="fr-CH"/>
        </w:rPr>
        <w:t>des changements climatiques. M. </w:t>
      </w:r>
      <w:r w:rsidRPr="005F2A51">
        <w:rPr>
          <w:szCs w:val="20"/>
          <w:lang w:val="fr-CH"/>
        </w:rPr>
        <w:t>José Viegas, Secrétaire général du Forum International des transports de l</w:t>
      </w:r>
      <w:r w:rsidR="00970511" w:rsidRPr="005F2A51">
        <w:rPr>
          <w:szCs w:val="20"/>
          <w:lang w:val="fr-CH"/>
        </w:rPr>
        <w:t>’</w:t>
      </w:r>
      <w:r w:rsidRPr="005F2A51">
        <w:rPr>
          <w:szCs w:val="20"/>
          <w:lang w:val="fr-CH"/>
        </w:rPr>
        <w:t xml:space="preserve">OCDE (FIT), M. Patrick Oliva </w:t>
      </w:r>
      <w:r w:rsidR="00214E60" w:rsidRPr="005F2A51">
        <w:rPr>
          <w:szCs w:val="20"/>
          <w:lang w:val="fr-CH"/>
        </w:rPr>
        <w:t>(Michelin Challenge Bibendum), s’</w:t>
      </w:r>
      <w:r w:rsidRPr="005F2A51">
        <w:rPr>
          <w:szCs w:val="20"/>
          <w:lang w:val="fr-CH"/>
        </w:rPr>
        <w:t xml:space="preserve">exprimant au nom du </w:t>
      </w:r>
      <w:r w:rsidR="005F2A51">
        <w:rPr>
          <w:szCs w:val="20"/>
          <w:lang w:val="fr-CH"/>
        </w:rPr>
        <w:t>Programme d’action</w:t>
      </w:r>
      <w:r w:rsidRPr="005F2A51">
        <w:rPr>
          <w:szCs w:val="20"/>
          <w:lang w:val="fr-CH"/>
        </w:rPr>
        <w:t xml:space="preserve"> Lima-Paris de la vingt et unième session de </w:t>
      </w:r>
      <w:r w:rsidR="005F2A51">
        <w:rPr>
          <w:szCs w:val="20"/>
          <w:lang w:val="fr-CH"/>
        </w:rPr>
        <w:t>la Conférence des Parties, et M. </w:t>
      </w:r>
      <w:r w:rsidRPr="005F2A51">
        <w:rPr>
          <w:szCs w:val="20"/>
          <w:lang w:val="fr-CH"/>
        </w:rPr>
        <w:t>Hermann Meyer, PDG d</w:t>
      </w:r>
      <w:r w:rsidR="00214E60" w:rsidRPr="005F2A51">
        <w:rPr>
          <w:szCs w:val="20"/>
          <w:lang w:val="fr-CH"/>
        </w:rPr>
        <w:t>’</w:t>
      </w:r>
      <w:r w:rsidRPr="005F2A51">
        <w:rPr>
          <w:szCs w:val="20"/>
          <w:lang w:val="fr-CH"/>
        </w:rPr>
        <w:t>ERTICO, ont fait de brèves interventions. Les participants à la réunion ministérielle ont approuvé la déclaration de Bordeaux</w:t>
      </w:r>
      <w:r w:rsidR="005F2A51">
        <w:rPr>
          <w:szCs w:val="20"/>
          <w:lang w:val="fr-CH"/>
        </w:rPr>
        <w:t>,</w:t>
      </w:r>
      <w:r w:rsidRPr="005F2A51">
        <w:rPr>
          <w:szCs w:val="20"/>
          <w:lang w:val="fr-CH"/>
        </w:rPr>
        <w:t xml:space="preserve"> qui </w:t>
      </w:r>
      <w:r w:rsidR="005F2A51">
        <w:rPr>
          <w:szCs w:val="20"/>
          <w:lang w:val="fr-CH"/>
        </w:rPr>
        <w:t xml:space="preserve">devait être </w:t>
      </w:r>
      <w:r w:rsidRPr="005F2A51">
        <w:rPr>
          <w:szCs w:val="20"/>
          <w:lang w:val="fr-CH"/>
        </w:rPr>
        <w:t>présentée en décembre 2015 à la vingt et unième session de la Conférence des parties à Paris.</w:t>
      </w:r>
    </w:p>
    <w:p w:rsidR="00FA1C01" w:rsidRPr="005F2A51" w:rsidRDefault="00FA1C01" w:rsidP="008B18CB">
      <w:pPr>
        <w:pStyle w:val="SingleTxt"/>
        <w:rPr>
          <w:i/>
          <w:szCs w:val="20"/>
          <w:lang w:val="fr-CH"/>
        </w:rPr>
      </w:pPr>
      <w:r w:rsidRPr="005F2A51">
        <w:rPr>
          <w:i/>
          <w:szCs w:val="20"/>
          <w:lang w:val="fr-CH"/>
        </w:rPr>
        <w:t xml:space="preserve">Mesures de la </w:t>
      </w:r>
      <w:r w:rsidR="00214E60" w:rsidRPr="005F2A51">
        <w:rPr>
          <w:i/>
          <w:szCs w:val="20"/>
          <w:lang w:val="fr-CH"/>
        </w:rPr>
        <w:t>f</w:t>
      </w:r>
      <w:r w:rsidRPr="005F2A51">
        <w:rPr>
          <w:i/>
          <w:szCs w:val="20"/>
          <w:lang w:val="fr-CH"/>
        </w:rPr>
        <w:t>euille de route visées</w:t>
      </w:r>
      <w:r w:rsidR="008B18CB" w:rsidRPr="005F2A51">
        <w:rPr>
          <w:i/>
          <w:szCs w:val="20"/>
          <w:lang w:val="fr-CH"/>
        </w:rPr>
        <w:t> </w:t>
      </w:r>
      <w:r w:rsidRPr="005F2A51">
        <w:rPr>
          <w:i/>
          <w:szCs w:val="20"/>
          <w:lang w:val="fr-CH"/>
        </w:rPr>
        <w:t xml:space="preserve">: </w:t>
      </w:r>
      <w:r w:rsidR="00214E60" w:rsidRPr="005F2A51">
        <w:rPr>
          <w:i/>
          <w:szCs w:val="20"/>
          <w:lang w:val="fr-CH"/>
        </w:rPr>
        <w:t>m</w:t>
      </w:r>
      <w:r w:rsidRPr="005F2A51">
        <w:rPr>
          <w:i/>
          <w:szCs w:val="20"/>
          <w:lang w:val="fr-CH"/>
        </w:rPr>
        <w:t>esures 1, 2, 3, 4, 6, 7, 8, 9, 10, 11, 13</w:t>
      </w:r>
      <w:r w:rsidRPr="005F2A51">
        <w:rPr>
          <w:szCs w:val="20"/>
          <w:lang w:val="fr-CH"/>
        </w:rPr>
        <w:t xml:space="preserve">, </w:t>
      </w:r>
      <w:r w:rsidRPr="005F2A51">
        <w:rPr>
          <w:i/>
          <w:szCs w:val="20"/>
          <w:lang w:val="fr-CH"/>
        </w:rPr>
        <w:t>14, 15, 16, 17, 18 et 19.</w:t>
      </w:r>
    </w:p>
    <w:p w:rsidR="008B18CB" w:rsidRPr="000C33B8" w:rsidRDefault="008B18CB" w:rsidP="008B18CB">
      <w:pPr>
        <w:pStyle w:val="SingleTxt"/>
        <w:spacing w:after="0" w:line="120" w:lineRule="exact"/>
        <w:rPr>
          <w:i/>
          <w:sz w:val="10"/>
          <w:szCs w:val="24"/>
          <w:lang w:val="fr-CH"/>
        </w:rPr>
      </w:pPr>
    </w:p>
    <w:p w:rsidR="008B18CB" w:rsidRPr="000C33B8" w:rsidRDefault="008B18CB" w:rsidP="008B18CB">
      <w:pPr>
        <w:pStyle w:val="SingleTxt"/>
        <w:spacing w:after="0" w:line="120" w:lineRule="exact"/>
        <w:rPr>
          <w:i/>
          <w:sz w:val="10"/>
          <w:szCs w:val="24"/>
          <w:lang w:val="fr-CH"/>
        </w:rPr>
      </w:pPr>
    </w:p>
    <w:p w:rsidR="00FA1C01" w:rsidRPr="000C33B8" w:rsidRDefault="008B18CB" w:rsidP="008B18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33B8">
        <w:rPr>
          <w:lang w:val="fr-CH"/>
        </w:rPr>
        <w:tab/>
      </w:r>
      <w:r w:rsidR="00FA1C01" w:rsidRPr="000C33B8">
        <w:rPr>
          <w:lang w:val="fr-CH"/>
        </w:rPr>
        <w:t>III.</w:t>
      </w:r>
      <w:r w:rsidR="00FA1C01" w:rsidRPr="000C33B8">
        <w:rPr>
          <w:lang w:val="fr-CH"/>
        </w:rPr>
        <w:tab/>
        <w:t xml:space="preserve">Faits nouveaux intervenus dans le domaine des systèmes </w:t>
      </w:r>
      <w:r w:rsidRPr="000C33B8">
        <w:rPr>
          <w:lang w:val="fr-CH"/>
        </w:rPr>
        <w:br/>
      </w:r>
      <w:r w:rsidR="00FA1C01" w:rsidRPr="000C33B8">
        <w:rPr>
          <w:lang w:val="fr-CH"/>
        </w:rPr>
        <w:t>de transport intelligents</w:t>
      </w:r>
    </w:p>
    <w:p w:rsidR="008B18CB" w:rsidRPr="000C33B8" w:rsidRDefault="008B18CB" w:rsidP="008B18CB">
      <w:pPr>
        <w:pStyle w:val="SingleTxt"/>
        <w:spacing w:after="0" w:line="120" w:lineRule="exact"/>
        <w:rPr>
          <w:sz w:val="10"/>
          <w:lang w:val="fr-CH"/>
        </w:rPr>
      </w:pPr>
    </w:p>
    <w:p w:rsidR="008B18CB" w:rsidRPr="000C33B8" w:rsidRDefault="008B18CB" w:rsidP="008B18CB">
      <w:pPr>
        <w:pStyle w:val="SingleTxt"/>
        <w:spacing w:after="0" w:line="120" w:lineRule="exact"/>
        <w:rPr>
          <w:sz w:val="10"/>
          <w:lang w:val="fr-CH"/>
        </w:rPr>
      </w:pPr>
    </w:p>
    <w:p w:rsidR="00FA1C01" w:rsidRPr="000C33B8" w:rsidRDefault="00FA1C01" w:rsidP="008B18C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A.</w:t>
      </w:r>
      <w:r w:rsidRPr="000C33B8">
        <w:rPr>
          <w:lang w:val="fr-CH"/>
        </w:rPr>
        <w:tab/>
        <w:t>STI et connectivité</w:t>
      </w:r>
    </w:p>
    <w:p w:rsidR="008B18CB" w:rsidRPr="000C33B8" w:rsidRDefault="008B18CB" w:rsidP="008B18CB">
      <w:pPr>
        <w:pStyle w:val="SingleTxt"/>
        <w:spacing w:after="0" w:line="120" w:lineRule="exact"/>
        <w:rPr>
          <w:sz w:val="10"/>
          <w:lang w:val="fr-CH"/>
        </w:rPr>
      </w:pPr>
    </w:p>
    <w:p w:rsidR="008B18CB" w:rsidRPr="000C33B8" w:rsidRDefault="008B18CB" w:rsidP="008B18CB">
      <w:pPr>
        <w:pStyle w:val="SingleTxt"/>
        <w:spacing w:after="0" w:line="120" w:lineRule="exact"/>
        <w:rPr>
          <w:sz w:val="10"/>
          <w:lang w:val="fr-CH"/>
        </w:rPr>
      </w:pPr>
    </w:p>
    <w:p w:rsidR="00FA1C01" w:rsidRPr="000C33B8" w:rsidRDefault="000C33B8" w:rsidP="004D28E7">
      <w:pPr>
        <w:pStyle w:val="SingleTxt"/>
        <w:numPr>
          <w:ilvl w:val="0"/>
          <w:numId w:val="8"/>
        </w:numPr>
        <w:tabs>
          <w:tab w:val="clear" w:pos="475"/>
          <w:tab w:val="num" w:pos="1742"/>
        </w:tabs>
        <w:ind w:left="1267"/>
        <w:rPr>
          <w:szCs w:val="24"/>
          <w:lang w:val="fr-CH"/>
        </w:rPr>
      </w:pPr>
      <w:r w:rsidRPr="000C33B8">
        <w:rPr>
          <w:szCs w:val="24"/>
          <w:lang w:val="fr-CH"/>
        </w:rPr>
        <w:t>Même si les acteurs du secteur des transports continuent de déployer des efforts extraordinaires dans le domaine des technologies classiques (gestion de la circulation routière, gestion des infrastructures routières, prévention des accidents, météorologie et gestion des incidents), malgré les difficultés connues (notamment la fragmentation des normes techniques, l’interdépendance des secteurs public et privé en termes de financement et l’absence de réseau mondial), la tendance à s</w:t>
      </w:r>
      <w:r w:rsidR="005F2A51">
        <w:rPr>
          <w:szCs w:val="24"/>
          <w:lang w:val="fr-CH"/>
        </w:rPr>
        <w:t>’</w:t>
      </w:r>
      <w:r w:rsidRPr="000C33B8">
        <w:rPr>
          <w:szCs w:val="24"/>
          <w:lang w:val="fr-CH"/>
        </w:rPr>
        <w:t>appuyer sur les technologies de l’information et de la communication (TIC), et notamment sur les technologies mobiles, s</w:t>
      </w:r>
      <w:r w:rsidR="005F2A51">
        <w:rPr>
          <w:szCs w:val="24"/>
          <w:lang w:val="fr-CH"/>
        </w:rPr>
        <w:t>’</w:t>
      </w:r>
      <w:r w:rsidRPr="000C33B8">
        <w:rPr>
          <w:szCs w:val="24"/>
          <w:lang w:val="fr-CH"/>
        </w:rPr>
        <w:t>est confirmée cette année, dans la mesure où ces technologies autorisent de nouvelles formes de mobilité, et a été visible da</w:t>
      </w:r>
      <w:r w:rsidR="005F2A51">
        <w:rPr>
          <w:szCs w:val="24"/>
          <w:lang w:val="fr-CH"/>
        </w:rPr>
        <w:t xml:space="preserve">ns </w:t>
      </w:r>
      <w:r w:rsidRPr="000C33B8">
        <w:rPr>
          <w:szCs w:val="24"/>
          <w:lang w:val="fr-CH"/>
        </w:rPr>
        <w:t xml:space="preserve">les différentes conférences organisées (y compris le vingt-deuxième Congrès mondial sur les STI organisé en octobre 2015 à Bordeaux). </w:t>
      </w:r>
      <w:r w:rsidR="00FA1C01" w:rsidRPr="000C33B8">
        <w:rPr>
          <w:szCs w:val="24"/>
          <w:lang w:val="fr-CH"/>
        </w:rPr>
        <w:t xml:space="preserve">Cette tendance est très attrayante car elle repose sur </w:t>
      </w:r>
      <w:r w:rsidR="00214E60" w:rsidRPr="000C33B8">
        <w:rPr>
          <w:szCs w:val="24"/>
          <w:lang w:val="fr-CH"/>
        </w:rPr>
        <w:t>d</w:t>
      </w:r>
      <w:r w:rsidR="00FA1C01" w:rsidRPr="000C33B8">
        <w:rPr>
          <w:szCs w:val="24"/>
          <w:lang w:val="fr-CH"/>
        </w:rPr>
        <w:t xml:space="preserve">es technologies en vogue et sur les changements de comportement qui en résultent, </w:t>
      </w:r>
      <w:r w:rsidR="00214E60" w:rsidRPr="000C33B8">
        <w:rPr>
          <w:szCs w:val="24"/>
          <w:lang w:val="fr-CH"/>
        </w:rPr>
        <w:t>lesquels ne</w:t>
      </w:r>
      <w:r w:rsidR="00FA1C01" w:rsidRPr="000C33B8">
        <w:rPr>
          <w:szCs w:val="24"/>
          <w:lang w:val="fr-CH"/>
        </w:rPr>
        <w:t xml:space="preserve"> sont pas initialement liés aux transports.</w:t>
      </w: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Pour les autorités chargées des transports, cette tendance entraîne des difficultés liées à la fragmentation ou à </w:t>
      </w:r>
      <w:r w:rsidR="00214E60" w:rsidRPr="000C33B8">
        <w:rPr>
          <w:szCs w:val="24"/>
          <w:lang w:val="fr-CH"/>
        </w:rPr>
        <w:t>l’</w:t>
      </w:r>
      <w:r w:rsidRPr="000C33B8">
        <w:rPr>
          <w:szCs w:val="24"/>
          <w:lang w:val="fr-CH"/>
        </w:rPr>
        <w:t>absence de</w:t>
      </w:r>
      <w:r w:rsidR="00214E60" w:rsidRPr="000C33B8">
        <w:rPr>
          <w:szCs w:val="24"/>
          <w:lang w:val="fr-CH"/>
        </w:rPr>
        <w:t>s</w:t>
      </w:r>
      <w:r w:rsidRPr="000C33B8">
        <w:rPr>
          <w:szCs w:val="24"/>
          <w:lang w:val="fr-CH"/>
        </w:rPr>
        <w:t xml:space="preserve"> normes techniques et au fait que les organismes des transports ne s</w:t>
      </w:r>
      <w:r w:rsidR="005F2A51">
        <w:rPr>
          <w:szCs w:val="24"/>
          <w:lang w:val="fr-CH"/>
        </w:rPr>
        <w:t>’</w:t>
      </w:r>
      <w:r w:rsidRPr="000C33B8">
        <w:rPr>
          <w:szCs w:val="24"/>
          <w:lang w:val="fr-CH"/>
        </w:rPr>
        <w:t>appuient pas sur ces technologies. Le caractère informel de celles-ci implique une absence de garantie et de permanence, alors que les organismes doivent assurer un système de transports durable tenant compte de cette tendance et des aménagements correspondants. Les responsables de l</w:t>
      </w:r>
      <w:r w:rsidR="005F2A51">
        <w:rPr>
          <w:szCs w:val="24"/>
          <w:lang w:val="fr-CH"/>
        </w:rPr>
        <w:t>’</w:t>
      </w:r>
      <w:r w:rsidRPr="000C33B8">
        <w:rPr>
          <w:szCs w:val="24"/>
          <w:lang w:val="fr-CH"/>
        </w:rPr>
        <w:t xml:space="preserve">élaboration des politiques devront parvenir à intégrer cette tendance dans le système de transports afin de veiller à tirer </w:t>
      </w:r>
      <w:proofErr w:type="gramStart"/>
      <w:r w:rsidRPr="000C33B8">
        <w:rPr>
          <w:szCs w:val="24"/>
          <w:lang w:val="fr-CH"/>
        </w:rPr>
        <w:t>profiter</w:t>
      </w:r>
      <w:proofErr w:type="gramEnd"/>
      <w:r w:rsidRPr="000C33B8">
        <w:rPr>
          <w:szCs w:val="24"/>
          <w:lang w:val="fr-CH"/>
        </w:rPr>
        <w:t xml:space="preserve"> de ces nouvelles technologies sans mettre en péril la sécurité, le respect de la vie privée, la sûreté et l</w:t>
      </w:r>
      <w:r w:rsidR="008B18CB" w:rsidRPr="000C33B8">
        <w:rPr>
          <w:szCs w:val="24"/>
          <w:lang w:val="fr-CH"/>
        </w:rPr>
        <w:t>’</w:t>
      </w:r>
      <w:r w:rsidRPr="000C33B8">
        <w:rPr>
          <w:szCs w:val="24"/>
          <w:lang w:val="fr-CH"/>
        </w:rPr>
        <w:t xml:space="preserve">interopérabilité. </w:t>
      </w:r>
    </w:p>
    <w:p w:rsidR="008B18CB" w:rsidRPr="000C33B8" w:rsidRDefault="008B18CB" w:rsidP="008B18CB">
      <w:pPr>
        <w:pStyle w:val="SingleTxt"/>
        <w:spacing w:after="0" w:line="120" w:lineRule="exact"/>
        <w:rPr>
          <w:sz w:val="10"/>
          <w:szCs w:val="24"/>
          <w:lang w:val="fr-CH"/>
        </w:rPr>
      </w:pPr>
    </w:p>
    <w:p w:rsidR="008B18CB" w:rsidRPr="000C33B8" w:rsidRDefault="008B18CB" w:rsidP="008B18CB">
      <w:pPr>
        <w:pStyle w:val="SingleTxt"/>
        <w:spacing w:after="0" w:line="120" w:lineRule="exact"/>
        <w:rPr>
          <w:sz w:val="10"/>
          <w:szCs w:val="24"/>
          <w:lang w:val="fr-CH"/>
        </w:rPr>
      </w:pPr>
    </w:p>
    <w:p w:rsidR="00FA1C01" w:rsidRPr="000C33B8" w:rsidRDefault="00FA1C01" w:rsidP="008B18C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b/>
        <w:t>B.</w:t>
      </w:r>
      <w:r w:rsidRPr="000C33B8">
        <w:rPr>
          <w:lang w:val="fr-CH"/>
        </w:rPr>
        <w:tab/>
        <w:t>Automatisation des véhicules</w:t>
      </w:r>
    </w:p>
    <w:p w:rsidR="008B18CB" w:rsidRPr="000C33B8" w:rsidRDefault="008B18CB" w:rsidP="008B18CB">
      <w:pPr>
        <w:pStyle w:val="SingleTxt"/>
        <w:spacing w:after="0" w:line="120" w:lineRule="exact"/>
        <w:rPr>
          <w:sz w:val="10"/>
          <w:lang w:val="fr-CH"/>
        </w:rPr>
      </w:pPr>
    </w:p>
    <w:p w:rsidR="008B18CB" w:rsidRPr="000C33B8" w:rsidRDefault="008B18CB" w:rsidP="008B18CB">
      <w:pPr>
        <w:pStyle w:val="SingleTxt"/>
        <w:spacing w:after="0" w:line="120" w:lineRule="exact"/>
        <w:rPr>
          <w:sz w:val="10"/>
          <w:lang w:val="fr-CH"/>
        </w:rPr>
      </w:pPr>
    </w:p>
    <w:p w:rsidR="00FA1C01" w:rsidRPr="000C33B8" w:rsidRDefault="00FA1C01" w:rsidP="004D28E7">
      <w:pPr>
        <w:pStyle w:val="SingleTxt"/>
        <w:numPr>
          <w:ilvl w:val="0"/>
          <w:numId w:val="8"/>
        </w:numPr>
        <w:tabs>
          <w:tab w:val="clear" w:pos="475"/>
          <w:tab w:val="num" w:pos="1742"/>
        </w:tabs>
        <w:ind w:left="1267"/>
        <w:rPr>
          <w:szCs w:val="24"/>
          <w:lang w:val="fr-CH"/>
        </w:rPr>
      </w:pPr>
      <w:r w:rsidRPr="000C33B8">
        <w:rPr>
          <w:szCs w:val="24"/>
          <w:lang w:val="fr-CH"/>
        </w:rPr>
        <w:t xml:space="preserve">Le domaine le plus visible </w:t>
      </w:r>
      <w:r w:rsidR="00214E60" w:rsidRPr="000C33B8">
        <w:rPr>
          <w:szCs w:val="24"/>
          <w:lang w:val="fr-CH"/>
        </w:rPr>
        <w:t xml:space="preserve">des STI </w:t>
      </w:r>
      <w:r w:rsidRPr="000C33B8">
        <w:rPr>
          <w:szCs w:val="24"/>
          <w:lang w:val="fr-CH"/>
        </w:rPr>
        <w:t>reste</w:t>
      </w:r>
      <w:r w:rsidR="00214E60" w:rsidRPr="000C33B8">
        <w:rPr>
          <w:szCs w:val="24"/>
          <w:lang w:val="fr-CH"/>
        </w:rPr>
        <w:t>ra</w:t>
      </w:r>
      <w:r w:rsidRPr="000C33B8">
        <w:rPr>
          <w:szCs w:val="24"/>
          <w:lang w:val="fr-CH"/>
        </w:rPr>
        <w:t xml:space="preserve"> l</w:t>
      </w:r>
      <w:r w:rsidR="005F2A51">
        <w:rPr>
          <w:szCs w:val="24"/>
          <w:lang w:val="fr-CH"/>
        </w:rPr>
        <w:t>’</w:t>
      </w:r>
      <w:r w:rsidRPr="000C33B8">
        <w:rPr>
          <w:szCs w:val="24"/>
          <w:lang w:val="fr-CH"/>
        </w:rPr>
        <w:t>automatisation des véhicules</w:t>
      </w:r>
      <w:r w:rsidR="00214E60" w:rsidRPr="000C33B8">
        <w:rPr>
          <w:szCs w:val="24"/>
          <w:lang w:val="fr-CH"/>
        </w:rPr>
        <w:t>. Dans ce domaine, il existe trois nouvelles tendances :</w:t>
      </w:r>
    </w:p>
    <w:p w:rsidR="00FA1C01" w:rsidRPr="000C33B8" w:rsidRDefault="008B18CB" w:rsidP="008B18CB">
      <w:pPr>
        <w:pStyle w:val="SingleTxt"/>
        <w:rPr>
          <w:lang w:val="fr-CH"/>
        </w:rPr>
      </w:pPr>
      <w:r w:rsidRPr="000C33B8">
        <w:rPr>
          <w:lang w:val="fr-CH"/>
        </w:rPr>
        <w:tab/>
      </w:r>
      <w:r w:rsidR="00FA1C01" w:rsidRPr="000C33B8">
        <w:rPr>
          <w:lang w:val="fr-CH"/>
        </w:rPr>
        <w:t>a)</w:t>
      </w:r>
      <w:r w:rsidR="00FA1C01" w:rsidRPr="000C33B8">
        <w:rPr>
          <w:lang w:val="fr-CH"/>
        </w:rPr>
        <w:tab/>
        <w:t xml:space="preserve">Les experts et les décideurs </w:t>
      </w:r>
      <w:r w:rsidR="00214E60" w:rsidRPr="000C33B8">
        <w:rPr>
          <w:lang w:val="fr-CH"/>
        </w:rPr>
        <w:t>imaginent</w:t>
      </w:r>
      <w:r w:rsidR="00FA1C01" w:rsidRPr="000C33B8">
        <w:rPr>
          <w:lang w:val="fr-CH"/>
        </w:rPr>
        <w:t xml:space="preserve"> un </w:t>
      </w:r>
      <w:r w:rsidR="00FA1C01" w:rsidRPr="000C33B8">
        <w:rPr>
          <w:i/>
          <w:iCs/>
          <w:lang w:val="fr-CH"/>
        </w:rPr>
        <w:t>véhicule autonome</w:t>
      </w:r>
      <w:r w:rsidR="00FA1C01" w:rsidRPr="000C33B8">
        <w:rPr>
          <w:lang w:val="fr-CH"/>
        </w:rPr>
        <w:t xml:space="preserve"> (présentant le degré d</w:t>
      </w:r>
      <w:r w:rsidR="005F2A51">
        <w:rPr>
          <w:lang w:val="fr-CH"/>
        </w:rPr>
        <w:t>’</w:t>
      </w:r>
      <w:r w:rsidR="00FA1C01" w:rsidRPr="000C33B8">
        <w:rPr>
          <w:lang w:val="fr-CH"/>
        </w:rPr>
        <w:t>automatisation le plus élevé), qui révolutionnerait les systèmes de transport, notamment avec l</w:t>
      </w:r>
      <w:r w:rsidR="005F2A51">
        <w:rPr>
          <w:lang w:val="fr-CH"/>
        </w:rPr>
        <w:t>’</w:t>
      </w:r>
      <w:r w:rsidR="00FA1C01" w:rsidRPr="000C33B8">
        <w:rPr>
          <w:lang w:val="fr-CH"/>
        </w:rPr>
        <w:t>apparition de taxis autonomes</w:t>
      </w:r>
      <w:r w:rsidR="00214E60" w:rsidRPr="000C33B8">
        <w:rPr>
          <w:lang w:val="fr-CH"/>
        </w:rPr>
        <w:t>,</w:t>
      </w:r>
      <w:r w:rsidR="00FA1C01" w:rsidRPr="000C33B8">
        <w:rPr>
          <w:lang w:val="fr-CH"/>
        </w:rPr>
        <w:t xml:space="preserve"> et favoriserait de nouveaux types de mobilité répondant aux concepts de mobilité porte à porte ou de mobilité comme service. </w:t>
      </w:r>
    </w:p>
    <w:p w:rsidR="00FA1C01" w:rsidRPr="000C33B8" w:rsidRDefault="008B18CB" w:rsidP="008B18CB">
      <w:pPr>
        <w:pStyle w:val="SingleTxt"/>
        <w:rPr>
          <w:lang w:val="fr-CH"/>
        </w:rPr>
      </w:pPr>
      <w:r w:rsidRPr="000C33B8">
        <w:rPr>
          <w:lang w:val="fr-CH"/>
        </w:rPr>
        <w:tab/>
      </w:r>
      <w:r w:rsidR="00FA1C01" w:rsidRPr="000C33B8">
        <w:rPr>
          <w:lang w:val="fr-CH"/>
        </w:rPr>
        <w:t>b)</w:t>
      </w:r>
      <w:r w:rsidR="00FA1C01" w:rsidRPr="000C33B8">
        <w:rPr>
          <w:lang w:val="fr-CH"/>
        </w:rPr>
        <w:tab/>
      </w:r>
      <w:r w:rsidR="00214E60" w:rsidRPr="000C33B8">
        <w:rPr>
          <w:lang w:val="fr-CH"/>
        </w:rPr>
        <w:t>Les constructeurs fabriquent</w:t>
      </w:r>
      <w:r w:rsidR="00FA1C01" w:rsidRPr="000C33B8">
        <w:rPr>
          <w:lang w:val="fr-CH"/>
        </w:rPr>
        <w:t xml:space="preserve"> des </w:t>
      </w:r>
      <w:r w:rsidR="00FA1C01" w:rsidRPr="000C33B8">
        <w:rPr>
          <w:i/>
          <w:iCs/>
          <w:lang w:val="fr-CH"/>
        </w:rPr>
        <w:t>véhicules automatisés</w:t>
      </w:r>
      <w:r w:rsidR="00FA1C01" w:rsidRPr="000C33B8">
        <w:rPr>
          <w:lang w:val="fr-CH"/>
        </w:rPr>
        <w:t>, présentant un degré d</w:t>
      </w:r>
      <w:r w:rsidR="005F2A51">
        <w:rPr>
          <w:lang w:val="fr-CH"/>
        </w:rPr>
        <w:t>’</w:t>
      </w:r>
      <w:r w:rsidR="00FA1C01" w:rsidRPr="000C33B8">
        <w:rPr>
          <w:lang w:val="fr-CH"/>
        </w:rPr>
        <w:t xml:space="preserve">automatisation inférieur. </w:t>
      </w:r>
      <w:r w:rsidR="00214E60" w:rsidRPr="000C33B8">
        <w:rPr>
          <w:lang w:val="fr-CH"/>
        </w:rPr>
        <w:t>Les technologies correspondantes</w:t>
      </w:r>
      <w:r w:rsidR="00FA1C01" w:rsidRPr="000C33B8">
        <w:rPr>
          <w:lang w:val="fr-CH"/>
        </w:rPr>
        <w:t xml:space="preserve"> ne </w:t>
      </w:r>
      <w:r w:rsidR="00214E60" w:rsidRPr="000C33B8">
        <w:rPr>
          <w:lang w:val="fr-CH"/>
        </w:rPr>
        <w:t>viennent</w:t>
      </w:r>
      <w:r w:rsidR="00FA1C01" w:rsidRPr="000C33B8">
        <w:rPr>
          <w:lang w:val="fr-CH"/>
        </w:rPr>
        <w:t xml:space="preserve"> pas encore </w:t>
      </w:r>
      <w:r w:rsidR="00214E60" w:rsidRPr="000C33B8">
        <w:rPr>
          <w:lang w:val="fr-CH"/>
        </w:rPr>
        <w:t xml:space="preserve">appuyer </w:t>
      </w:r>
      <w:r w:rsidR="00FA1C01" w:rsidRPr="000C33B8">
        <w:rPr>
          <w:lang w:val="fr-CH"/>
        </w:rPr>
        <w:t>les nouveaux concepts de mobilité qui révolutionneraient les systèmes de transport</w:t>
      </w:r>
      <w:r w:rsidR="00214E60" w:rsidRPr="000C33B8">
        <w:rPr>
          <w:lang w:val="fr-CH"/>
        </w:rPr>
        <w:t xml:space="preserve">, </w:t>
      </w:r>
      <w:r w:rsidR="00FA1C01" w:rsidRPr="000C33B8">
        <w:rPr>
          <w:lang w:val="fr-CH"/>
        </w:rPr>
        <w:t>mais il convient de noter que ces innovations présentent des avantages en termes de sécurit</w:t>
      </w:r>
      <w:r w:rsidR="005F2A51">
        <w:rPr>
          <w:lang w:val="fr-CH"/>
        </w:rPr>
        <w:t>é routière et de consommation d’</w:t>
      </w:r>
      <w:r w:rsidR="00FA1C01" w:rsidRPr="000C33B8">
        <w:rPr>
          <w:lang w:val="fr-CH"/>
        </w:rPr>
        <w:t>énergie (émissions de CO</w:t>
      </w:r>
      <w:r w:rsidR="00FA1C01" w:rsidRPr="005F2A51">
        <w:rPr>
          <w:vertAlign w:val="subscript"/>
          <w:lang w:val="fr-CH"/>
        </w:rPr>
        <w:t>2</w:t>
      </w:r>
      <w:r w:rsidR="00FA1C01" w:rsidRPr="000C33B8">
        <w:rPr>
          <w:lang w:val="fr-CH"/>
        </w:rPr>
        <w:t>) ainsi que d</w:t>
      </w:r>
      <w:r w:rsidR="00214E60" w:rsidRPr="000C33B8">
        <w:rPr>
          <w:lang w:val="fr-CH"/>
        </w:rPr>
        <w:t>’</w:t>
      </w:r>
      <w:r w:rsidR="00FA1C01" w:rsidRPr="000C33B8">
        <w:rPr>
          <w:lang w:val="fr-CH"/>
        </w:rPr>
        <w:t xml:space="preserve">émission de polluants. </w:t>
      </w:r>
    </w:p>
    <w:p w:rsidR="00FA1C01" w:rsidRPr="000C33B8" w:rsidRDefault="008B18CB" w:rsidP="008B18CB">
      <w:pPr>
        <w:pStyle w:val="SingleTxt"/>
        <w:rPr>
          <w:lang w:val="fr-CH"/>
        </w:rPr>
      </w:pPr>
      <w:r w:rsidRPr="000C33B8">
        <w:rPr>
          <w:lang w:val="fr-CH"/>
        </w:rPr>
        <w:tab/>
      </w:r>
      <w:r w:rsidR="005F2A51">
        <w:rPr>
          <w:lang w:val="fr-CH"/>
        </w:rPr>
        <w:t>c)</w:t>
      </w:r>
      <w:r w:rsidR="005F2A51">
        <w:rPr>
          <w:lang w:val="fr-CH"/>
        </w:rPr>
        <w:tab/>
        <w:t>Les pays mettent à l’</w:t>
      </w:r>
      <w:r w:rsidR="00FA1C01" w:rsidRPr="000C33B8">
        <w:rPr>
          <w:lang w:val="fr-CH"/>
        </w:rPr>
        <w:t xml:space="preserve">essai des </w:t>
      </w:r>
      <w:r w:rsidR="00FA1C01" w:rsidRPr="000C33B8">
        <w:rPr>
          <w:i/>
          <w:iCs/>
          <w:lang w:val="fr-CH"/>
        </w:rPr>
        <w:t>applications spécifiques</w:t>
      </w:r>
      <w:r w:rsidR="00FA1C01" w:rsidRPr="000C33B8">
        <w:rPr>
          <w:lang w:val="fr-CH"/>
        </w:rPr>
        <w:t xml:space="preserve">. Certaines ont trait </w:t>
      </w:r>
      <w:r w:rsidR="00214E60" w:rsidRPr="000C33B8">
        <w:rPr>
          <w:lang w:val="fr-CH"/>
        </w:rPr>
        <w:t>à</w:t>
      </w:r>
      <w:r w:rsidR="00FA1C01" w:rsidRPr="000C33B8">
        <w:rPr>
          <w:lang w:val="fr-CH"/>
        </w:rPr>
        <w:t xml:space="preserve"> la conduite autonome </w:t>
      </w:r>
      <w:r w:rsidR="00214E60" w:rsidRPr="000C33B8">
        <w:rPr>
          <w:lang w:val="fr-CH"/>
        </w:rPr>
        <w:t>et à ses</w:t>
      </w:r>
      <w:r w:rsidR="005F2A51">
        <w:rPr>
          <w:lang w:val="fr-CH"/>
        </w:rPr>
        <w:t xml:space="preserve"> incidences sur l’</w:t>
      </w:r>
      <w:r w:rsidR="00FA1C01" w:rsidRPr="000C33B8">
        <w:rPr>
          <w:lang w:val="fr-CH"/>
        </w:rPr>
        <w:t>environnement urbain (comme les unités sans conducteurs testées dans le cadre du projet de sys</w:t>
      </w:r>
      <w:r w:rsidR="005F2A51">
        <w:rPr>
          <w:lang w:val="fr-CH"/>
        </w:rPr>
        <w:t>tème de transports Catapult); D’</w:t>
      </w:r>
      <w:r w:rsidR="00FA1C01" w:rsidRPr="000C33B8">
        <w:rPr>
          <w:lang w:val="fr-CH"/>
        </w:rPr>
        <w:t>autres projets, comme le système de communication entre véhicules (V2V</w:t>
      </w:r>
      <w:r w:rsidR="00214E60" w:rsidRPr="000C33B8">
        <w:rPr>
          <w:lang w:val="fr-CH"/>
        </w:rPr>
        <w:t>), portent sur</w:t>
      </w:r>
      <w:r w:rsidR="00FA1C01" w:rsidRPr="000C33B8">
        <w:rPr>
          <w:lang w:val="fr-CH"/>
        </w:rPr>
        <w:t xml:space="preserve"> la connectivité. D</w:t>
      </w:r>
      <w:r w:rsidR="00214E60" w:rsidRPr="000C33B8">
        <w:rPr>
          <w:lang w:val="fr-CH"/>
        </w:rPr>
        <w:t>’</w:t>
      </w:r>
      <w:r w:rsidR="00FA1C01" w:rsidRPr="000C33B8">
        <w:rPr>
          <w:lang w:val="fr-CH"/>
        </w:rPr>
        <w:t xml:space="preserve">autres projets encore </w:t>
      </w:r>
      <w:r w:rsidR="00214E60" w:rsidRPr="000C33B8">
        <w:rPr>
          <w:lang w:val="fr-CH"/>
        </w:rPr>
        <w:t>mettent à l’essai</w:t>
      </w:r>
      <w:r w:rsidR="00FA1C01" w:rsidRPr="000C33B8">
        <w:rPr>
          <w:lang w:val="fr-CH"/>
        </w:rPr>
        <w:t xml:space="preserve"> des applications comme la circulation en peloton (</w:t>
      </w:r>
      <w:r w:rsidR="00214E60" w:rsidRPr="000C33B8">
        <w:rPr>
          <w:lang w:val="fr-CH"/>
        </w:rPr>
        <w:t>p</w:t>
      </w:r>
      <w:r w:rsidR="00FA1C01" w:rsidRPr="000C33B8">
        <w:rPr>
          <w:lang w:val="fr-CH"/>
        </w:rPr>
        <w:t>latooning).</w:t>
      </w:r>
    </w:p>
    <w:p w:rsidR="008B18CB" w:rsidRPr="000C33B8" w:rsidRDefault="008B18CB">
      <w:pPr>
        <w:spacing w:line="240" w:lineRule="auto"/>
        <w:rPr>
          <w:lang w:val="fr-CH"/>
        </w:rPr>
      </w:pPr>
      <w:r w:rsidRPr="000C33B8">
        <w:rPr>
          <w:lang w:val="fr-CH"/>
        </w:rPr>
        <w:br w:type="page"/>
      </w:r>
    </w:p>
    <w:p w:rsidR="00FA1C01" w:rsidRPr="000C33B8" w:rsidRDefault="00FA1C01" w:rsidP="008B18C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33B8">
        <w:rPr>
          <w:lang w:val="fr-CH"/>
        </w:rPr>
        <w:t>Annexe</w:t>
      </w:r>
    </w:p>
    <w:p w:rsidR="008B18CB" w:rsidRPr="000C33B8" w:rsidRDefault="008B18CB" w:rsidP="008B18CB">
      <w:pPr>
        <w:pStyle w:val="SingleTxt"/>
        <w:spacing w:after="0" w:line="120" w:lineRule="exact"/>
        <w:rPr>
          <w:sz w:val="10"/>
          <w:lang w:val="fr-CH"/>
        </w:rPr>
      </w:pPr>
    </w:p>
    <w:p w:rsidR="008B18CB" w:rsidRPr="000C33B8" w:rsidRDefault="008B18CB" w:rsidP="008B18CB">
      <w:pPr>
        <w:pStyle w:val="SingleTxt"/>
        <w:spacing w:after="0" w:line="120" w:lineRule="exact"/>
        <w:rPr>
          <w:sz w:val="10"/>
          <w:lang w:val="fr-CH"/>
        </w:rPr>
      </w:pPr>
    </w:p>
    <w:p w:rsidR="00FA1C01" w:rsidRPr="000C33B8" w:rsidRDefault="008B18CB" w:rsidP="008B18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33B8">
        <w:rPr>
          <w:lang w:val="fr-CH"/>
        </w:rPr>
        <w:tab/>
      </w:r>
      <w:r w:rsidRPr="000C33B8">
        <w:rPr>
          <w:lang w:val="fr-CH"/>
        </w:rPr>
        <w:tab/>
      </w:r>
      <w:r w:rsidR="00FA1C01" w:rsidRPr="000C33B8">
        <w:rPr>
          <w:lang w:val="fr-CH"/>
        </w:rPr>
        <w:t>Feuille de route de la CEE pour les systèmes de</w:t>
      </w:r>
      <w:r w:rsidRPr="000C33B8">
        <w:rPr>
          <w:lang w:val="fr-CH"/>
        </w:rPr>
        <w:t xml:space="preserve"> </w:t>
      </w:r>
      <w:r w:rsidR="00FA1C01" w:rsidRPr="000C33B8">
        <w:rPr>
          <w:lang w:val="fr-CH"/>
        </w:rPr>
        <w:t xml:space="preserve">transport </w:t>
      </w:r>
      <w:r w:rsidRPr="000C33B8">
        <w:rPr>
          <w:lang w:val="fr-CH"/>
        </w:rPr>
        <w:br/>
      </w:r>
      <w:r w:rsidR="00FA1C01" w:rsidRPr="000C33B8">
        <w:rPr>
          <w:lang w:val="fr-CH"/>
        </w:rPr>
        <w:t>intelligents (STI)</w:t>
      </w:r>
    </w:p>
    <w:p w:rsidR="008B18CB" w:rsidRPr="000C33B8" w:rsidRDefault="008B18CB" w:rsidP="008B18CB">
      <w:pPr>
        <w:pStyle w:val="SingleTxt"/>
        <w:spacing w:after="0" w:line="120" w:lineRule="exact"/>
        <w:rPr>
          <w:sz w:val="10"/>
          <w:lang w:val="fr-CH"/>
        </w:rPr>
      </w:pPr>
    </w:p>
    <w:p w:rsidR="008B18CB" w:rsidRPr="000C33B8" w:rsidRDefault="008B18CB" w:rsidP="008B18CB">
      <w:pPr>
        <w:pStyle w:val="SingleTxt"/>
        <w:spacing w:after="0" w:line="120" w:lineRule="exact"/>
        <w:rPr>
          <w:sz w:val="10"/>
          <w:lang w:val="fr-CH"/>
        </w:rPr>
      </w:pPr>
    </w:p>
    <w:p w:rsidR="008B18CB" w:rsidRPr="000C33B8" w:rsidRDefault="008B18CB" w:rsidP="008B18CB">
      <w:pPr>
        <w:pStyle w:val="SingleT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87"/>
      </w:tblGrid>
      <w:tr w:rsidR="008B18CB" w:rsidRPr="000C33B8" w:rsidTr="000402C5">
        <w:trPr>
          <w:trHeight w:hRule="exact" w:val="115"/>
          <w:tblHeader/>
        </w:trPr>
        <w:tc>
          <w:tcPr>
            <w:tcW w:w="3787" w:type="dxa"/>
            <w:tcBorders>
              <w:top w:val="single" w:sz="12" w:space="0" w:color="auto"/>
            </w:tcBorders>
            <w:shd w:val="clear" w:color="auto" w:fill="auto"/>
            <w:vAlign w:val="bottom"/>
          </w:tcPr>
          <w:p w:rsidR="008B18CB" w:rsidRPr="000C33B8" w:rsidRDefault="008B18CB" w:rsidP="000402C5">
            <w:pPr>
              <w:tabs>
                <w:tab w:val="left" w:pos="288"/>
                <w:tab w:val="left" w:pos="576"/>
                <w:tab w:val="left" w:pos="864"/>
                <w:tab w:val="left" w:pos="1152"/>
              </w:tabs>
              <w:suppressAutoHyphens/>
              <w:spacing w:before="40" w:after="80"/>
              <w:ind w:right="40"/>
              <w:rPr>
                <w:lang w:val="fr-CH"/>
              </w:rPr>
            </w:pPr>
          </w:p>
        </w:tc>
        <w:tc>
          <w:tcPr>
            <w:tcW w:w="3787" w:type="dxa"/>
            <w:tcBorders>
              <w:top w:val="single" w:sz="12" w:space="0" w:color="auto"/>
            </w:tcBorders>
            <w:shd w:val="clear" w:color="auto" w:fill="auto"/>
            <w:vAlign w:val="bottom"/>
          </w:tcPr>
          <w:p w:rsidR="008B18CB" w:rsidRPr="000C33B8" w:rsidRDefault="008B18CB" w:rsidP="000402C5">
            <w:pPr>
              <w:tabs>
                <w:tab w:val="left" w:pos="288"/>
                <w:tab w:val="left" w:pos="576"/>
                <w:tab w:val="left" w:pos="864"/>
                <w:tab w:val="left" w:pos="1152"/>
              </w:tabs>
              <w:suppressAutoHyphens/>
              <w:spacing w:before="40" w:after="80"/>
              <w:ind w:right="397"/>
              <w:rPr>
                <w:lang w:val="fr-CH"/>
              </w:rPr>
            </w:pPr>
          </w:p>
        </w:tc>
      </w:tr>
      <w:tr w:rsidR="000402C5" w:rsidRPr="000C33B8" w:rsidTr="008B18CB">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Arrêter une définition commune des STI</w:t>
            </w:r>
          </w:p>
        </w:tc>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11</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Harmoniser les panneaux à message variable</w:t>
            </w:r>
          </w:p>
        </w:tc>
      </w:tr>
      <w:tr w:rsidR="000402C5" w:rsidRPr="000C33B8" w:rsidTr="008B18CB">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2</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Harmoniser les politiques</w:t>
            </w:r>
          </w:p>
        </w:tc>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12</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 xml:space="preserve">Réduire les risques liés au transport </w:t>
            </w:r>
            <w:r w:rsidRPr="000C33B8">
              <w:rPr>
                <w:szCs w:val="24"/>
                <w:lang w:val="fr-CH"/>
              </w:rPr>
              <w:br/>
              <w:t>des marchandises dangereuses</w:t>
            </w:r>
          </w:p>
        </w:tc>
      </w:tr>
      <w:tr w:rsidR="000402C5" w:rsidRPr="000C33B8" w:rsidTr="008B18CB">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3</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Mettre en place une coopération internationale</w:t>
            </w:r>
          </w:p>
        </w:tc>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13</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 xml:space="preserve">Procéder à </w:t>
            </w:r>
            <w:r w:rsidR="005F2A51">
              <w:rPr>
                <w:szCs w:val="24"/>
                <w:lang w:val="fr-CH"/>
              </w:rPr>
              <w:t>l’</w:t>
            </w:r>
            <w:r w:rsidRPr="000C33B8">
              <w:rPr>
                <w:szCs w:val="24"/>
                <w:lang w:val="fr-CH"/>
              </w:rPr>
              <w:t>intégration avec le transport ferroviaire</w:t>
            </w:r>
          </w:p>
        </w:tc>
      </w:tr>
      <w:tr w:rsidR="000402C5" w:rsidRPr="000C33B8" w:rsidTr="008B18CB">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4</w:t>
            </w:r>
          </w:p>
          <w:p w:rsidR="000402C5" w:rsidRPr="000C33B8" w:rsidRDefault="005F2A51" w:rsidP="000402C5">
            <w:pPr>
              <w:kinsoku w:val="0"/>
              <w:overflowPunct w:val="0"/>
              <w:autoSpaceDE w:val="0"/>
              <w:autoSpaceDN w:val="0"/>
              <w:adjustRightInd w:val="0"/>
              <w:snapToGrid w:val="0"/>
              <w:spacing w:before="40" w:after="40" w:line="210" w:lineRule="exact"/>
              <w:ind w:right="43"/>
              <w:rPr>
                <w:sz w:val="24"/>
                <w:szCs w:val="24"/>
                <w:lang w:val="fr-CH"/>
              </w:rPr>
            </w:pPr>
            <w:r>
              <w:rPr>
                <w:szCs w:val="24"/>
                <w:lang w:val="fr-CH"/>
              </w:rPr>
              <w:t>Faciliter l’interopérabilité et l’</w:t>
            </w:r>
            <w:r w:rsidR="000402C5" w:rsidRPr="000C33B8">
              <w:rPr>
                <w:szCs w:val="24"/>
                <w:lang w:val="fr-CH"/>
              </w:rPr>
              <w:t>architecture des STI</w:t>
            </w:r>
          </w:p>
        </w:tc>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14</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Procéder à l’intégration avec le transport par voie navigable</w:t>
            </w:r>
          </w:p>
        </w:tc>
      </w:tr>
      <w:tr w:rsidR="000402C5" w:rsidRPr="000C33B8" w:rsidTr="008B18CB">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5</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Garantir la sécurité des données</w:t>
            </w:r>
          </w:p>
        </w:tc>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15</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Renforcer le rôle des STI en matière d’intégration modale</w:t>
            </w:r>
          </w:p>
        </w:tc>
      </w:tr>
      <w:tr w:rsidR="000402C5" w:rsidRPr="000C33B8" w:rsidTr="008B18CB">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6</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 xml:space="preserve">Développer les travaux sur les STI dans tous les groupes de travail du Comité </w:t>
            </w:r>
            <w:r w:rsidRPr="000C33B8">
              <w:rPr>
                <w:szCs w:val="24"/>
                <w:lang w:val="fr-CH"/>
              </w:rPr>
              <w:br/>
              <w:t>des transports intérieurs (CTI) de la CEE</w:t>
            </w:r>
          </w:p>
        </w:tc>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16</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Mettre au point des méthodes d’évaluation des coûts et des avantages</w:t>
            </w:r>
          </w:p>
        </w:tc>
      </w:tr>
      <w:tr w:rsidR="000402C5" w:rsidRPr="000C33B8" w:rsidTr="008B18CB">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7</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Promouvoir la communication véhicules-infrastructures</w:t>
            </w:r>
          </w:p>
        </w:tc>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17</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 xml:space="preserve">Contribuer à l’atténuation des effets </w:t>
            </w:r>
            <w:r w:rsidRPr="000C33B8">
              <w:rPr>
                <w:szCs w:val="24"/>
                <w:lang w:val="fr-CH"/>
              </w:rPr>
              <w:br/>
              <w:t xml:space="preserve">des changements climatiques </w:t>
            </w:r>
            <w:r w:rsidRPr="000C33B8">
              <w:rPr>
                <w:szCs w:val="24"/>
                <w:lang w:val="fr-CH"/>
              </w:rPr>
              <w:br/>
              <w:t>et à l’adaptation à ces effets</w:t>
            </w:r>
          </w:p>
        </w:tc>
      </w:tr>
      <w:tr w:rsidR="000402C5" w:rsidRPr="000C33B8" w:rsidTr="008B18CB">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8</w:t>
            </w:r>
          </w:p>
          <w:p w:rsidR="000402C5" w:rsidRPr="000C33B8" w:rsidRDefault="000402C5" w:rsidP="000402C5">
            <w:pPr>
              <w:spacing w:before="40" w:after="40" w:line="210" w:lineRule="exact"/>
              <w:ind w:right="43"/>
              <w:rPr>
                <w:szCs w:val="24"/>
                <w:lang w:val="fr-CH"/>
              </w:rPr>
            </w:pPr>
            <w:r w:rsidRPr="000C33B8">
              <w:rPr>
                <w:szCs w:val="24"/>
                <w:lang w:val="fr-CH"/>
              </w:rPr>
              <w:t>Promouvoir la communication entre véhicules</w:t>
            </w:r>
          </w:p>
        </w:tc>
        <w:tc>
          <w:tcPr>
            <w:tcW w:w="3787" w:type="dxa"/>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18</w:t>
            </w:r>
          </w:p>
          <w:p w:rsidR="000402C5" w:rsidRPr="000C33B8" w:rsidRDefault="000402C5" w:rsidP="000402C5">
            <w:pPr>
              <w:spacing w:before="40" w:after="40" w:line="210" w:lineRule="exact"/>
              <w:ind w:right="43"/>
              <w:rPr>
                <w:szCs w:val="24"/>
                <w:lang w:val="fr-CH"/>
              </w:rPr>
            </w:pPr>
            <w:r w:rsidRPr="000C33B8">
              <w:rPr>
                <w:szCs w:val="24"/>
                <w:lang w:val="fr-CH"/>
              </w:rPr>
              <w:t>Entreprendre des travaux d’analyse</w:t>
            </w:r>
          </w:p>
        </w:tc>
      </w:tr>
      <w:tr w:rsidR="000402C5" w:rsidRPr="000C33B8" w:rsidTr="008B18CB">
        <w:tc>
          <w:tcPr>
            <w:tcW w:w="3787" w:type="dxa"/>
            <w:shd w:val="clear" w:color="auto" w:fill="auto"/>
          </w:tcPr>
          <w:p w:rsidR="000402C5" w:rsidRPr="000C33B8" w:rsidRDefault="00214E60" w:rsidP="000402C5">
            <w:pPr>
              <w:spacing w:before="40" w:after="40" w:line="210" w:lineRule="exact"/>
              <w:ind w:right="43"/>
              <w:rPr>
                <w:b/>
                <w:szCs w:val="24"/>
                <w:lang w:val="fr-CH"/>
              </w:rPr>
            </w:pPr>
            <w:r w:rsidRPr="000C33B8">
              <w:rPr>
                <w:b/>
                <w:szCs w:val="24"/>
                <w:lang w:val="fr-CH"/>
              </w:rPr>
              <w:t>Mesure 9</w:t>
            </w:r>
          </w:p>
          <w:p w:rsidR="000402C5" w:rsidRPr="000C33B8" w:rsidRDefault="000402C5" w:rsidP="000402C5">
            <w:pPr>
              <w:tabs>
                <w:tab w:val="left" w:pos="288"/>
                <w:tab w:val="left" w:pos="576"/>
                <w:tab w:val="left" w:pos="864"/>
                <w:tab w:val="left" w:pos="1152"/>
              </w:tabs>
              <w:suppressAutoHyphens/>
              <w:spacing w:before="40" w:after="40" w:line="210" w:lineRule="exact"/>
              <w:ind w:right="43"/>
              <w:rPr>
                <w:lang w:val="fr-CH"/>
              </w:rPr>
            </w:pPr>
            <w:r w:rsidRPr="000C33B8">
              <w:rPr>
                <w:szCs w:val="24"/>
                <w:lang w:val="fr-CH"/>
              </w:rPr>
              <w:t>Répondre à la crise de la sécurité routière</w:t>
            </w:r>
          </w:p>
        </w:tc>
        <w:tc>
          <w:tcPr>
            <w:tcW w:w="3787" w:type="dxa"/>
            <w:shd w:val="clear" w:color="auto" w:fill="auto"/>
          </w:tcPr>
          <w:p w:rsidR="000402C5" w:rsidRPr="000C33B8" w:rsidRDefault="000402C5" w:rsidP="000402C5">
            <w:pPr>
              <w:spacing w:before="40" w:after="40" w:line="210" w:lineRule="exact"/>
              <w:ind w:right="43"/>
              <w:rPr>
                <w:b/>
                <w:szCs w:val="24"/>
                <w:lang w:val="fr-CH"/>
              </w:rPr>
            </w:pPr>
            <w:r w:rsidRPr="000C33B8">
              <w:rPr>
                <w:b/>
                <w:szCs w:val="24"/>
                <w:lang w:val="fr-CH"/>
              </w:rPr>
              <w:t>Mesure 19</w:t>
            </w:r>
          </w:p>
          <w:p w:rsidR="000402C5" w:rsidRPr="000C33B8" w:rsidRDefault="000402C5" w:rsidP="000402C5">
            <w:pPr>
              <w:tabs>
                <w:tab w:val="left" w:pos="288"/>
                <w:tab w:val="left" w:pos="576"/>
                <w:tab w:val="left" w:pos="864"/>
                <w:tab w:val="left" w:pos="1152"/>
              </w:tabs>
              <w:suppressAutoHyphens/>
              <w:spacing w:before="40" w:after="40" w:line="210" w:lineRule="exact"/>
              <w:ind w:right="43"/>
              <w:rPr>
                <w:lang w:val="fr-CH"/>
              </w:rPr>
            </w:pPr>
            <w:r w:rsidRPr="000C33B8">
              <w:rPr>
                <w:szCs w:val="24"/>
                <w:lang w:val="fr-CH"/>
              </w:rPr>
              <w:t xml:space="preserve"> Contribuer au renforcement des capacités, à l’éducation et à la sensibilisation, </w:t>
            </w:r>
            <w:r w:rsidRPr="000C33B8">
              <w:rPr>
                <w:szCs w:val="24"/>
                <w:lang w:val="fr-CH"/>
              </w:rPr>
              <w:br/>
              <w:t>en mettant l’accent sur les pays émergents</w:t>
            </w:r>
          </w:p>
        </w:tc>
      </w:tr>
      <w:tr w:rsidR="000402C5" w:rsidRPr="000C33B8" w:rsidTr="008B18CB">
        <w:tc>
          <w:tcPr>
            <w:tcW w:w="3787" w:type="dxa"/>
            <w:tcBorders>
              <w:bottom w:val="single" w:sz="12" w:space="0" w:color="auto"/>
            </w:tcBorders>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10</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Régler les problèmes de responsabilité</w:t>
            </w:r>
          </w:p>
        </w:tc>
        <w:tc>
          <w:tcPr>
            <w:tcW w:w="3787" w:type="dxa"/>
            <w:tcBorders>
              <w:bottom w:val="single" w:sz="12" w:space="0" w:color="auto"/>
            </w:tcBorders>
            <w:shd w:val="clear" w:color="auto" w:fill="auto"/>
          </w:tcPr>
          <w:p w:rsidR="000402C5" w:rsidRPr="000C33B8" w:rsidRDefault="000402C5" w:rsidP="000402C5">
            <w:pPr>
              <w:spacing w:before="40" w:after="40" w:line="210" w:lineRule="exact"/>
              <w:ind w:right="43"/>
              <w:rPr>
                <w:b/>
                <w:sz w:val="24"/>
                <w:szCs w:val="24"/>
                <w:lang w:val="fr-CH"/>
              </w:rPr>
            </w:pPr>
            <w:r w:rsidRPr="000C33B8">
              <w:rPr>
                <w:b/>
                <w:szCs w:val="24"/>
                <w:lang w:val="fr-CH"/>
              </w:rPr>
              <w:t>Mesure 20</w:t>
            </w:r>
          </w:p>
          <w:p w:rsidR="000402C5" w:rsidRPr="000C33B8" w:rsidRDefault="000402C5" w:rsidP="000402C5">
            <w:pPr>
              <w:kinsoku w:val="0"/>
              <w:overflowPunct w:val="0"/>
              <w:autoSpaceDE w:val="0"/>
              <w:autoSpaceDN w:val="0"/>
              <w:adjustRightInd w:val="0"/>
              <w:snapToGrid w:val="0"/>
              <w:spacing w:before="40" w:after="40" w:line="210" w:lineRule="exact"/>
              <w:ind w:right="43"/>
              <w:rPr>
                <w:sz w:val="24"/>
                <w:szCs w:val="24"/>
                <w:lang w:val="fr-CH"/>
              </w:rPr>
            </w:pPr>
            <w:r w:rsidRPr="000C33B8">
              <w:rPr>
                <w:szCs w:val="24"/>
                <w:lang w:val="fr-CH"/>
              </w:rPr>
              <w:t xml:space="preserve">Organiser la table ronde annuelle </w:t>
            </w:r>
            <w:r w:rsidRPr="000C33B8">
              <w:rPr>
                <w:szCs w:val="24"/>
                <w:lang w:val="fr-CH"/>
              </w:rPr>
              <w:br/>
              <w:t>de l’ONU sur les systèmes de transport intelligents</w:t>
            </w:r>
          </w:p>
        </w:tc>
      </w:tr>
    </w:tbl>
    <w:p w:rsidR="000402C5" w:rsidRPr="000C33B8" w:rsidRDefault="000402C5" w:rsidP="000402C5">
      <w:pPr>
        <w:spacing w:line="240" w:lineRule="auto"/>
        <w:ind w:right="1134"/>
        <w:rPr>
          <w:szCs w:val="24"/>
          <w:u w:val="single"/>
          <w:lang w:val="fr-CH"/>
        </w:rPr>
      </w:pPr>
      <w:r w:rsidRPr="000C33B8">
        <w:rPr>
          <w:noProof/>
          <w:w w:val="100"/>
          <w:szCs w:val="24"/>
          <w:u w:val="single"/>
          <w:lang w:val="en-US"/>
        </w:rPr>
        <mc:AlternateContent>
          <mc:Choice Requires="wps">
            <w:drawing>
              <wp:anchor distT="0" distB="0" distL="114300" distR="114300" simplePos="0" relativeHeight="251659264" behindDoc="0" locked="0" layoutInCell="1" allowOverlap="1" wp14:anchorId="673AD5E0" wp14:editId="572BE635">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402C5" w:rsidRPr="000C33B8" w:rsidSect="00F609E3">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15T08:28:00Z" w:initials="Start">
    <w:p w:rsidR="005F2A51" w:rsidRDefault="005F2A5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NO&gt;&gt;N1528487F&lt;&lt;ODS JOB NO&gt;&gt;</w:t>
      </w:r>
    </w:p>
    <w:p w:rsidR="005F2A51" w:rsidRDefault="005F2A51">
      <w:pPr>
        <w:pStyle w:val="CommentText"/>
      </w:pPr>
      <w:r>
        <w:t>&lt;&lt;ODS DOC SYMBOL1&gt;&gt;ECE/TRANS/2016/9&lt;&lt;ODS DOC SYMBOL1&gt;&gt;</w:t>
      </w:r>
    </w:p>
    <w:p w:rsidR="005F2A51" w:rsidRDefault="005F2A5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51" w:rsidRDefault="005F2A51" w:rsidP="00F3330B">
      <w:pPr>
        <w:spacing w:line="240" w:lineRule="auto"/>
      </w:pPr>
      <w:r>
        <w:separator/>
      </w:r>
    </w:p>
  </w:endnote>
  <w:endnote w:type="continuationSeparator" w:id="0">
    <w:p w:rsidR="005F2A51" w:rsidRDefault="005F2A5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F2A51" w:rsidTr="00F609E3">
      <w:trPr>
        <w:jc w:val="center"/>
      </w:trPr>
      <w:tc>
        <w:tcPr>
          <w:tcW w:w="5126" w:type="dxa"/>
          <w:shd w:val="clear" w:color="auto" w:fill="auto"/>
        </w:tcPr>
        <w:p w:rsidR="005F2A51" w:rsidRPr="00F609E3" w:rsidRDefault="005F2A51" w:rsidP="00F609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2BCF">
            <w:rPr>
              <w:b w:val="0"/>
              <w:w w:val="103"/>
              <w:sz w:val="14"/>
            </w:rPr>
            <w:t>GE.15-21998</w:t>
          </w:r>
          <w:r>
            <w:rPr>
              <w:b w:val="0"/>
              <w:w w:val="103"/>
              <w:sz w:val="14"/>
            </w:rPr>
            <w:fldChar w:fldCharType="end"/>
          </w:r>
        </w:p>
      </w:tc>
      <w:tc>
        <w:tcPr>
          <w:tcW w:w="5127" w:type="dxa"/>
          <w:shd w:val="clear" w:color="auto" w:fill="auto"/>
        </w:tcPr>
        <w:p w:rsidR="005F2A51" w:rsidRPr="00F609E3" w:rsidRDefault="005F2A51" w:rsidP="00F609E3">
          <w:pPr>
            <w:pStyle w:val="Footer"/>
            <w:rPr>
              <w:w w:val="103"/>
            </w:rPr>
          </w:pPr>
          <w:r>
            <w:rPr>
              <w:w w:val="103"/>
            </w:rPr>
            <w:fldChar w:fldCharType="begin"/>
          </w:r>
          <w:r>
            <w:rPr>
              <w:w w:val="103"/>
            </w:rPr>
            <w:instrText xml:space="preserve"> PAGE  \* Arabic  \* MERGEFORMAT </w:instrText>
          </w:r>
          <w:r>
            <w:rPr>
              <w:w w:val="103"/>
            </w:rPr>
            <w:fldChar w:fldCharType="separate"/>
          </w:r>
          <w:r w:rsidR="00367C0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7C04">
            <w:rPr>
              <w:noProof/>
              <w:w w:val="103"/>
            </w:rPr>
            <w:t>4</w:t>
          </w:r>
          <w:r>
            <w:rPr>
              <w:w w:val="103"/>
            </w:rPr>
            <w:fldChar w:fldCharType="end"/>
          </w:r>
        </w:p>
      </w:tc>
    </w:tr>
  </w:tbl>
  <w:p w:rsidR="005F2A51" w:rsidRPr="00F609E3" w:rsidRDefault="005F2A51" w:rsidP="00F60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F2A51" w:rsidTr="00F609E3">
      <w:trPr>
        <w:jc w:val="center"/>
      </w:trPr>
      <w:tc>
        <w:tcPr>
          <w:tcW w:w="5126" w:type="dxa"/>
          <w:shd w:val="clear" w:color="auto" w:fill="auto"/>
        </w:tcPr>
        <w:p w:rsidR="005F2A51" w:rsidRPr="00F609E3" w:rsidRDefault="005F2A51" w:rsidP="00F609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67C04">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7C04">
            <w:rPr>
              <w:noProof/>
              <w:w w:val="103"/>
            </w:rPr>
            <w:t>3</w:t>
          </w:r>
          <w:r>
            <w:rPr>
              <w:w w:val="103"/>
            </w:rPr>
            <w:fldChar w:fldCharType="end"/>
          </w:r>
        </w:p>
      </w:tc>
      <w:tc>
        <w:tcPr>
          <w:tcW w:w="5127" w:type="dxa"/>
          <w:shd w:val="clear" w:color="auto" w:fill="auto"/>
        </w:tcPr>
        <w:p w:rsidR="005F2A51" w:rsidRPr="00F609E3" w:rsidRDefault="005F2A51" w:rsidP="00F609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2BCF">
            <w:rPr>
              <w:b w:val="0"/>
              <w:w w:val="103"/>
              <w:sz w:val="14"/>
            </w:rPr>
            <w:t>GE.15-21998</w:t>
          </w:r>
          <w:r>
            <w:rPr>
              <w:b w:val="0"/>
              <w:w w:val="103"/>
              <w:sz w:val="14"/>
            </w:rPr>
            <w:fldChar w:fldCharType="end"/>
          </w:r>
        </w:p>
      </w:tc>
    </w:tr>
  </w:tbl>
  <w:p w:rsidR="005F2A51" w:rsidRPr="00F609E3" w:rsidRDefault="005F2A51" w:rsidP="00F60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51" w:rsidRDefault="005F2A51">
    <w:pPr>
      <w:pStyle w:val="Footer"/>
    </w:pPr>
    <w:r>
      <w:rPr>
        <w:noProof/>
      </w:rPr>
      <w:drawing>
        <wp:anchor distT="0" distB="0" distL="114300" distR="114300" simplePos="0" relativeHeight="251658240" behindDoc="0" locked="0" layoutInCell="1" allowOverlap="1" wp14:anchorId="7A5518FF" wp14:editId="2DACE25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F2A51" w:rsidTr="00F609E3">
      <w:tc>
        <w:tcPr>
          <w:tcW w:w="3859" w:type="dxa"/>
        </w:tcPr>
        <w:p w:rsidR="005F2A51" w:rsidRDefault="005F2A51" w:rsidP="00F609E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42BCF">
            <w:rPr>
              <w:b w:val="0"/>
              <w:sz w:val="20"/>
            </w:rPr>
            <w:t>GE.15-21998 (F)</w:t>
          </w:r>
          <w:r>
            <w:rPr>
              <w:b w:val="0"/>
              <w:sz w:val="20"/>
            </w:rPr>
            <w:fldChar w:fldCharType="end"/>
          </w:r>
          <w:r>
            <w:rPr>
              <w:b w:val="0"/>
              <w:sz w:val="20"/>
            </w:rPr>
            <w:t xml:space="preserve">    110216    150216</w:t>
          </w:r>
        </w:p>
        <w:p w:rsidR="005F2A51" w:rsidRPr="00F609E3" w:rsidRDefault="005F2A51" w:rsidP="00F609E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42BCF">
            <w:rPr>
              <w:rFonts w:ascii="Barcode 3 of 9 by request" w:hAnsi="Barcode 3 of 9 by request"/>
              <w:b w:val="0"/>
              <w:spacing w:val="0"/>
              <w:w w:val="100"/>
              <w:sz w:val="24"/>
            </w:rPr>
            <w:t>*1521998*</w:t>
          </w:r>
          <w:r>
            <w:rPr>
              <w:rFonts w:ascii="Barcode 3 of 9 by request" w:hAnsi="Barcode 3 of 9 by request"/>
              <w:b w:val="0"/>
              <w:spacing w:val="0"/>
              <w:w w:val="100"/>
              <w:sz w:val="24"/>
            </w:rPr>
            <w:fldChar w:fldCharType="end"/>
          </w:r>
        </w:p>
      </w:tc>
      <w:tc>
        <w:tcPr>
          <w:tcW w:w="5127" w:type="dxa"/>
        </w:tcPr>
        <w:p w:rsidR="005F2A51" w:rsidRDefault="005F2A51" w:rsidP="00F609E3">
          <w:pPr>
            <w:pStyle w:val="Footer"/>
            <w:spacing w:line="240" w:lineRule="atLeast"/>
            <w:jc w:val="right"/>
            <w:rPr>
              <w:b w:val="0"/>
              <w:sz w:val="20"/>
            </w:rPr>
          </w:pPr>
          <w:r>
            <w:rPr>
              <w:b w:val="0"/>
              <w:noProof/>
              <w:sz w:val="20"/>
            </w:rPr>
            <w:drawing>
              <wp:inline distT="0" distB="0" distL="0" distR="0" wp14:anchorId="5C737560" wp14:editId="546ABAF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F2A51" w:rsidRPr="00F609E3" w:rsidRDefault="005F2A51" w:rsidP="00F609E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51" w:rsidRPr="003E47D8" w:rsidRDefault="005F2A51" w:rsidP="003E47D8">
      <w:pPr>
        <w:pStyle w:val="Footer"/>
        <w:spacing w:after="80"/>
        <w:rPr>
          <w:sz w:val="16"/>
        </w:rPr>
      </w:pPr>
      <w:r w:rsidRPr="003E47D8">
        <w:rPr>
          <w:sz w:val="16"/>
        </w:rPr>
        <w:t>__________________</w:t>
      </w:r>
    </w:p>
  </w:footnote>
  <w:footnote w:type="continuationSeparator" w:id="0">
    <w:p w:rsidR="005F2A51" w:rsidRPr="003E47D8" w:rsidRDefault="005F2A51"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F2A51" w:rsidTr="00F609E3">
      <w:trPr>
        <w:trHeight w:hRule="exact" w:val="864"/>
        <w:jc w:val="center"/>
      </w:trPr>
      <w:tc>
        <w:tcPr>
          <w:tcW w:w="4882" w:type="dxa"/>
          <w:shd w:val="clear" w:color="auto" w:fill="auto"/>
          <w:vAlign w:val="bottom"/>
        </w:tcPr>
        <w:p w:rsidR="005F2A51" w:rsidRPr="00F609E3" w:rsidRDefault="005F2A51" w:rsidP="00F609E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42BCF">
            <w:rPr>
              <w:b/>
              <w:color w:val="000000"/>
            </w:rPr>
            <w:t>ECE/TRANS/2016/9</w:t>
          </w:r>
          <w:r>
            <w:rPr>
              <w:b/>
              <w:color w:val="000000"/>
            </w:rPr>
            <w:fldChar w:fldCharType="end"/>
          </w:r>
        </w:p>
      </w:tc>
      <w:tc>
        <w:tcPr>
          <w:tcW w:w="5127" w:type="dxa"/>
          <w:shd w:val="clear" w:color="auto" w:fill="auto"/>
          <w:vAlign w:val="bottom"/>
        </w:tcPr>
        <w:p w:rsidR="005F2A51" w:rsidRDefault="005F2A51" w:rsidP="00F609E3">
          <w:pPr>
            <w:pStyle w:val="Header"/>
          </w:pPr>
        </w:p>
      </w:tc>
    </w:tr>
  </w:tbl>
  <w:p w:rsidR="005F2A51" w:rsidRPr="00F609E3" w:rsidRDefault="005F2A51" w:rsidP="00F609E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F2A51" w:rsidTr="00F609E3">
      <w:trPr>
        <w:trHeight w:hRule="exact" w:val="864"/>
        <w:jc w:val="center"/>
      </w:trPr>
      <w:tc>
        <w:tcPr>
          <w:tcW w:w="4882" w:type="dxa"/>
          <w:shd w:val="clear" w:color="auto" w:fill="auto"/>
          <w:vAlign w:val="bottom"/>
        </w:tcPr>
        <w:p w:rsidR="005F2A51" w:rsidRDefault="005F2A51" w:rsidP="00F609E3">
          <w:pPr>
            <w:pStyle w:val="Header"/>
          </w:pPr>
        </w:p>
      </w:tc>
      <w:tc>
        <w:tcPr>
          <w:tcW w:w="5127" w:type="dxa"/>
          <w:shd w:val="clear" w:color="auto" w:fill="auto"/>
          <w:vAlign w:val="bottom"/>
        </w:tcPr>
        <w:p w:rsidR="005F2A51" w:rsidRPr="00F609E3" w:rsidRDefault="005F2A51" w:rsidP="00F609E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42BCF">
            <w:rPr>
              <w:b/>
              <w:color w:val="000000"/>
            </w:rPr>
            <w:t>ECE/TRANS/2016/9</w:t>
          </w:r>
          <w:r>
            <w:rPr>
              <w:b/>
              <w:color w:val="000000"/>
            </w:rPr>
            <w:fldChar w:fldCharType="end"/>
          </w:r>
        </w:p>
      </w:tc>
    </w:tr>
  </w:tbl>
  <w:p w:rsidR="005F2A51" w:rsidRPr="00F609E3" w:rsidRDefault="005F2A51" w:rsidP="00F609E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F2A51" w:rsidTr="00F609E3">
      <w:trPr>
        <w:trHeight w:hRule="exact" w:val="864"/>
      </w:trPr>
      <w:tc>
        <w:tcPr>
          <w:tcW w:w="1267" w:type="dxa"/>
          <w:tcBorders>
            <w:bottom w:val="single" w:sz="4" w:space="0" w:color="auto"/>
          </w:tcBorders>
          <w:shd w:val="clear" w:color="auto" w:fill="auto"/>
          <w:vAlign w:val="bottom"/>
        </w:tcPr>
        <w:p w:rsidR="005F2A51" w:rsidRDefault="005F2A51" w:rsidP="00F609E3">
          <w:pPr>
            <w:pStyle w:val="Header"/>
            <w:spacing w:after="120"/>
          </w:pPr>
        </w:p>
      </w:tc>
      <w:tc>
        <w:tcPr>
          <w:tcW w:w="2059" w:type="dxa"/>
          <w:tcBorders>
            <w:bottom w:val="single" w:sz="4" w:space="0" w:color="auto"/>
          </w:tcBorders>
          <w:shd w:val="clear" w:color="auto" w:fill="auto"/>
          <w:vAlign w:val="bottom"/>
        </w:tcPr>
        <w:p w:rsidR="005F2A51" w:rsidRPr="00F609E3" w:rsidRDefault="005F2A51" w:rsidP="00F609E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F2A51" w:rsidRDefault="005F2A51" w:rsidP="00F609E3">
          <w:pPr>
            <w:pStyle w:val="Header"/>
            <w:spacing w:after="120"/>
          </w:pPr>
        </w:p>
      </w:tc>
      <w:tc>
        <w:tcPr>
          <w:tcW w:w="6653" w:type="dxa"/>
          <w:gridSpan w:val="4"/>
          <w:tcBorders>
            <w:bottom w:val="single" w:sz="4" w:space="0" w:color="auto"/>
          </w:tcBorders>
          <w:shd w:val="clear" w:color="auto" w:fill="auto"/>
          <w:vAlign w:val="bottom"/>
        </w:tcPr>
        <w:p w:rsidR="005F2A51" w:rsidRPr="00F609E3" w:rsidRDefault="005F2A51" w:rsidP="00F609E3">
          <w:pPr>
            <w:spacing w:after="80" w:line="240" w:lineRule="auto"/>
            <w:jc w:val="right"/>
            <w:rPr>
              <w:position w:val="-4"/>
            </w:rPr>
          </w:pPr>
          <w:r>
            <w:rPr>
              <w:position w:val="-4"/>
              <w:sz w:val="40"/>
            </w:rPr>
            <w:t>ECE</w:t>
          </w:r>
          <w:r>
            <w:rPr>
              <w:position w:val="-4"/>
            </w:rPr>
            <w:t>/TRANS/2016/9</w:t>
          </w:r>
        </w:p>
      </w:tc>
    </w:tr>
    <w:tr w:rsidR="005F2A51" w:rsidRPr="00F609E3" w:rsidTr="00F609E3">
      <w:trPr>
        <w:gridAfter w:val="1"/>
        <w:wAfter w:w="18" w:type="dxa"/>
        <w:trHeight w:hRule="exact" w:val="2880"/>
      </w:trPr>
      <w:tc>
        <w:tcPr>
          <w:tcW w:w="1267" w:type="dxa"/>
          <w:tcBorders>
            <w:top w:val="single" w:sz="4" w:space="0" w:color="auto"/>
            <w:bottom w:val="single" w:sz="12" w:space="0" w:color="auto"/>
          </w:tcBorders>
          <w:shd w:val="clear" w:color="auto" w:fill="auto"/>
        </w:tcPr>
        <w:p w:rsidR="005F2A51" w:rsidRPr="00F609E3" w:rsidRDefault="005F2A51" w:rsidP="00F609E3">
          <w:pPr>
            <w:pStyle w:val="Header"/>
            <w:spacing w:before="120" w:line="240" w:lineRule="auto"/>
            <w:ind w:left="-72"/>
            <w:jc w:val="center"/>
          </w:pPr>
          <w:r>
            <w:t xml:space="preserve">  </w:t>
          </w:r>
          <w:r>
            <w:rPr>
              <w:noProof/>
            </w:rPr>
            <w:drawing>
              <wp:inline distT="0" distB="0" distL="0" distR="0" wp14:anchorId="38851995" wp14:editId="6533411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F2A51" w:rsidRPr="00F609E3" w:rsidRDefault="005F2A51" w:rsidP="00F609E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F2A51" w:rsidRPr="00F609E3" w:rsidRDefault="005F2A51" w:rsidP="00F609E3">
          <w:pPr>
            <w:pStyle w:val="Header"/>
            <w:spacing w:before="109"/>
          </w:pPr>
        </w:p>
      </w:tc>
      <w:tc>
        <w:tcPr>
          <w:tcW w:w="3280" w:type="dxa"/>
          <w:tcBorders>
            <w:top w:val="single" w:sz="4" w:space="0" w:color="auto"/>
            <w:bottom w:val="single" w:sz="12" w:space="0" w:color="auto"/>
          </w:tcBorders>
          <w:shd w:val="clear" w:color="auto" w:fill="auto"/>
        </w:tcPr>
        <w:p w:rsidR="005F2A51" w:rsidRDefault="005F2A51" w:rsidP="00F609E3">
          <w:pPr>
            <w:pStyle w:val="Distribution"/>
            <w:rPr>
              <w:color w:val="000000"/>
            </w:rPr>
          </w:pPr>
          <w:r>
            <w:rPr>
              <w:color w:val="000000"/>
            </w:rPr>
            <w:t>Distr. générale</w:t>
          </w:r>
        </w:p>
        <w:p w:rsidR="005F2A51" w:rsidRDefault="005F2A51" w:rsidP="00F609E3">
          <w:pPr>
            <w:pStyle w:val="Publication"/>
            <w:rPr>
              <w:color w:val="000000"/>
            </w:rPr>
          </w:pPr>
          <w:r>
            <w:rPr>
              <w:color w:val="000000"/>
            </w:rPr>
            <w:t>15 décembre 2015</w:t>
          </w:r>
        </w:p>
        <w:p w:rsidR="005F2A51" w:rsidRDefault="005F2A51" w:rsidP="00F609E3">
          <w:pPr>
            <w:rPr>
              <w:lang w:val="en-US"/>
            </w:rPr>
          </w:pPr>
          <w:r>
            <w:rPr>
              <w:lang w:val="en-US"/>
            </w:rPr>
            <w:t>Français</w:t>
          </w:r>
        </w:p>
        <w:p w:rsidR="005F2A51" w:rsidRPr="00F609E3" w:rsidRDefault="005F2A51" w:rsidP="00F609E3">
          <w:pPr>
            <w:pStyle w:val="Original"/>
            <w:rPr>
              <w:color w:val="000000"/>
            </w:rPr>
          </w:pPr>
          <w:r>
            <w:rPr>
              <w:color w:val="000000"/>
            </w:rPr>
            <w:t>Original : anglais</w:t>
          </w:r>
        </w:p>
      </w:tc>
    </w:tr>
  </w:tbl>
  <w:p w:rsidR="005F2A51" w:rsidRPr="00F609E3" w:rsidRDefault="005F2A51" w:rsidP="00F609E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F1514"/>
    <w:multiLevelType w:val="singleLevel"/>
    <w:tmpl w:val="917009B8"/>
    <w:lvl w:ilvl="0">
      <w:start w:val="1"/>
      <w:numFmt w:val="decimal"/>
      <w:lvlRestart w:val="0"/>
      <w:lvlText w:val="%1."/>
      <w:lvlJc w:val="left"/>
      <w:pPr>
        <w:tabs>
          <w:tab w:val="num" w:pos="475"/>
        </w:tabs>
        <w:ind w:left="0" w:firstLine="0"/>
      </w:pPr>
      <w:rPr>
        <w:w w:val="100"/>
      </w:rPr>
    </w:lvl>
  </w:abstractNum>
  <w:abstractNum w:abstractNumId="5">
    <w:nsid w:val="4467636D"/>
    <w:multiLevelType w:val="singleLevel"/>
    <w:tmpl w:val="917009B8"/>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D22B4"/>
    <w:multiLevelType w:val="hybridMultilevel"/>
    <w:tmpl w:val="59404C82"/>
    <w:lvl w:ilvl="0" w:tplc="1C1015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98*"/>
    <w:docVar w:name="CreationDt" w:val="2/15/2016 8:28: AM"/>
    <w:docVar w:name="DocCategory" w:val="Doc"/>
    <w:docVar w:name="DocType" w:val="Final"/>
    <w:docVar w:name="DutyStation" w:val="Geneva"/>
    <w:docVar w:name="FooterJN" w:val="GE.15-21998"/>
    <w:docVar w:name="jobn" w:val="GE.15-21998 (F)"/>
    <w:docVar w:name="jobnDT" w:val="GE.15-21998 (F)   150216"/>
    <w:docVar w:name="jobnDTDT" w:val="GE.15-21998 (F)   150216   150216"/>
    <w:docVar w:name="JobNo" w:val="GE.1521998F"/>
    <w:docVar w:name="JobNo2" w:val="GE.1528487F"/>
    <w:docVar w:name="LocalDrive" w:val="0"/>
    <w:docVar w:name="OandT" w:val="BEAUNEE"/>
    <w:docVar w:name="PaperSize" w:val="A4"/>
    <w:docVar w:name="sss1" w:val="ECE/TRANS/2016/9"/>
    <w:docVar w:name="sss2" w:val="-"/>
    <w:docVar w:name="Symbol1" w:val="ECE/TRANS/2016/9"/>
    <w:docVar w:name="Symbol2" w:val="-"/>
  </w:docVars>
  <w:rsids>
    <w:rsidRoot w:val="00500BC3"/>
    <w:rsid w:val="000015B8"/>
    <w:rsid w:val="000046A5"/>
    <w:rsid w:val="000055FB"/>
    <w:rsid w:val="00010C97"/>
    <w:rsid w:val="00016483"/>
    <w:rsid w:val="0002121B"/>
    <w:rsid w:val="00022173"/>
    <w:rsid w:val="0002226F"/>
    <w:rsid w:val="00022B4A"/>
    <w:rsid w:val="00023E37"/>
    <w:rsid w:val="000249FF"/>
    <w:rsid w:val="00025DE5"/>
    <w:rsid w:val="000274C2"/>
    <w:rsid w:val="00033DC9"/>
    <w:rsid w:val="000378DE"/>
    <w:rsid w:val="000402C5"/>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3B8"/>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4015"/>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4E60"/>
    <w:rsid w:val="002178A7"/>
    <w:rsid w:val="002220FF"/>
    <w:rsid w:val="00237D01"/>
    <w:rsid w:val="00240F64"/>
    <w:rsid w:val="002410E3"/>
    <w:rsid w:val="00241F29"/>
    <w:rsid w:val="00243D1C"/>
    <w:rsid w:val="00245B48"/>
    <w:rsid w:val="00246425"/>
    <w:rsid w:val="002515C7"/>
    <w:rsid w:val="002523F6"/>
    <w:rsid w:val="00252402"/>
    <w:rsid w:val="00253EF5"/>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4BC"/>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140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7C04"/>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2C75"/>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0EF0"/>
    <w:rsid w:val="004C1A6A"/>
    <w:rsid w:val="004C304C"/>
    <w:rsid w:val="004C38FF"/>
    <w:rsid w:val="004C5C41"/>
    <w:rsid w:val="004D13C8"/>
    <w:rsid w:val="004D28E7"/>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0BC3"/>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2F7C"/>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A51"/>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18C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17524"/>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6CF2"/>
    <w:rsid w:val="009676D3"/>
    <w:rsid w:val="0096782D"/>
    <w:rsid w:val="00970511"/>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2BCF"/>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C5F98"/>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58AF"/>
    <w:rsid w:val="00F51EF7"/>
    <w:rsid w:val="00F5253C"/>
    <w:rsid w:val="00F52A72"/>
    <w:rsid w:val="00F52EDF"/>
    <w:rsid w:val="00F54C59"/>
    <w:rsid w:val="00F6067A"/>
    <w:rsid w:val="00F609CB"/>
    <w:rsid w:val="00F609E3"/>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1D36"/>
    <w:rsid w:val="00F9239B"/>
    <w:rsid w:val="00F92E85"/>
    <w:rsid w:val="00F9336C"/>
    <w:rsid w:val="00F93BDC"/>
    <w:rsid w:val="00F95080"/>
    <w:rsid w:val="00F9544F"/>
    <w:rsid w:val="00F9741A"/>
    <w:rsid w:val="00FA1C01"/>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609E3"/>
    <w:rPr>
      <w:sz w:val="16"/>
      <w:szCs w:val="16"/>
    </w:rPr>
  </w:style>
  <w:style w:type="paragraph" w:styleId="CommentText">
    <w:name w:val="annotation text"/>
    <w:basedOn w:val="Normal"/>
    <w:link w:val="CommentTextChar"/>
    <w:uiPriority w:val="99"/>
    <w:semiHidden/>
    <w:unhideWhenUsed/>
    <w:rsid w:val="00F609E3"/>
    <w:pPr>
      <w:spacing w:line="240" w:lineRule="auto"/>
    </w:pPr>
    <w:rPr>
      <w:szCs w:val="20"/>
    </w:rPr>
  </w:style>
  <w:style w:type="character" w:customStyle="1" w:styleId="CommentTextChar">
    <w:name w:val="Comment Text Char"/>
    <w:basedOn w:val="DefaultParagraphFont"/>
    <w:link w:val="CommentText"/>
    <w:uiPriority w:val="99"/>
    <w:semiHidden/>
    <w:rsid w:val="00F609E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609E3"/>
    <w:rPr>
      <w:b/>
      <w:bCs/>
    </w:rPr>
  </w:style>
  <w:style w:type="character" w:customStyle="1" w:styleId="CommentSubjectChar">
    <w:name w:val="Comment Subject Char"/>
    <w:basedOn w:val="CommentTextChar"/>
    <w:link w:val="CommentSubject"/>
    <w:uiPriority w:val="99"/>
    <w:semiHidden/>
    <w:rsid w:val="00F609E3"/>
    <w:rPr>
      <w:rFonts w:ascii="Times New Roman" w:hAnsi="Times New Roman"/>
      <w:b/>
      <w:bCs/>
      <w:spacing w:val="4"/>
      <w:w w:val="103"/>
      <w:kern w:val="14"/>
      <w:lang w:val="fr-CA"/>
    </w:rPr>
  </w:style>
  <w:style w:type="paragraph" w:customStyle="1" w:styleId="HChG">
    <w:name w:val="_ H _Ch_G"/>
    <w:basedOn w:val="Normal"/>
    <w:next w:val="Normal"/>
    <w:qFormat/>
    <w:rsid w:val="00FA1C0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SingleTxtGChar">
    <w:name w:val="_ Single Txt_G Char"/>
    <w:link w:val="SingleTxtG"/>
    <w:locked/>
    <w:rsid w:val="00FA1C01"/>
    <w:rPr>
      <w:sz w:val="24"/>
      <w:lang w:val="fr-CH"/>
    </w:rPr>
  </w:style>
  <w:style w:type="paragraph" w:customStyle="1" w:styleId="SingleTxtG">
    <w:name w:val="_ Single Txt_G"/>
    <w:basedOn w:val="Normal"/>
    <w:link w:val="SingleTxtGChar"/>
    <w:qFormat/>
    <w:rsid w:val="00FA1C01"/>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609E3"/>
    <w:rPr>
      <w:sz w:val="16"/>
      <w:szCs w:val="16"/>
    </w:rPr>
  </w:style>
  <w:style w:type="paragraph" w:styleId="CommentText">
    <w:name w:val="annotation text"/>
    <w:basedOn w:val="Normal"/>
    <w:link w:val="CommentTextChar"/>
    <w:uiPriority w:val="99"/>
    <w:semiHidden/>
    <w:unhideWhenUsed/>
    <w:rsid w:val="00F609E3"/>
    <w:pPr>
      <w:spacing w:line="240" w:lineRule="auto"/>
    </w:pPr>
    <w:rPr>
      <w:szCs w:val="20"/>
    </w:rPr>
  </w:style>
  <w:style w:type="character" w:customStyle="1" w:styleId="CommentTextChar">
    <w:name w:val="Comment Text Char"/>
    <w:basedOn w:val="DefaultParagraphFont"/>
    <w:link w:val="CommentText"/>
    <w:uiPriority w:val="99"/>
    <w:semiHidden/>
    <w:rsid w:val="00F609E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609E3"/>
    <w:rPr>
      <w:b/>
      <w:bCs/>
    </w:rPr>
  </w:style>
  <w:style w:type="character" w:customStyle="1" w:styleId="CommentSubjectChar">
    <w:name w:val="Comment Subject Char"/>
    <w:basedOn w:val="CommentTextChar"/>
    <w:link w:val="CommentSubject"/>
    <w:uiPriority w:val="99"/>
    <w:semiHidden/>
    <w:rsid w:val="00F609E3"/>
    <w:rPr>
      <w:rFonts w:ascii="Times New Roman" w:hAnsi="Times New Roman"/>
      <w:b/>
      <w:bCs/>
      <w:spacing w:val="4"/>
      <w:w w:val="103"/>
      <w:kern w:val="14"/>
      <w:lang w:val="fr-CA"/>
    </w:rPr>
  </w:style>
  <w:style w:type="paragraph" w:customStyle="1" w:styleId="HChG">
    <w:name w:val="_ H _Ch_G"/>
    <w:basedOn w:val="Normal"/>
    <w:next w:val="Normal"/>
    <w:qFormat/>
    <w:rsid w:val="00FA1C0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SingleTxtGChar">
    <w:name w:val="_ Single Txt_G Char"/>
    <w:link w:val="SingleTxtG"/>
    <w:locked/>
    <w:rsid w:val="00FA1C01"/>
    <w:rPr>
      <w:sz w:val="24"/>
      <w:lang w:val="fr-CH"/>
    </w:rPr>
  </w:style>
  <w:style w:type="paragraph" w:customStyle="1" w:styleId="SingleTxtG">
    <w:name w:val="_ Single Txt_G"/>
    <w:basedOn w:val="Normal"/>
    <w:link w:val="SingleTxtGChar"/>
    <w:qFormat/>
    <w:rsid w:val="00FA1C01"/>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AAD4-4925-4296-A60A-A640B5BC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3163</Words>
  <Characters>18030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Anastasia Barinova</cp:lastModifiedBy>
  <cp:revision>2</cp:revision>
  <cp:lastPrinted>2016-02-15T10:41:00Z</cp:lastPrinted>
  <dcterms:created xsi:type="dcterms:W3CDTF">2016-02-15T11:02:00Z</dcterms:created>
  <dcterms:modified xsi:type="dcterms:W3CDTF">2016-02-15T11:02:00Z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1521998F</vt:lpwstr>
  </property>
  <property fmtid="{D5CDD505-2E9C-101B-9397-08002B2CF9AE}" pid="3" name="ODSRefJobNo">
    <vt:lpwstr>1528487F</vt:lpwstr>
  </property>
  <property fmtid="{D5CDD505-2E9C-101B-9397-08002B2CF9AE}" pid="4" name="Symbol1">
    <vt:lpwstr>ECE/TRANS/2016/9</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150216</vt:lpwstr>
  </property>
</Properties>
</file>