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95" w:rsidRPr="001B7248" w:rsidRDefault="00F41095" w:rsidP="00F41095">
      <w:pPr>
        <w:spacing w:line="240" w:lineRule="auto"/>
        <w:rPr>
          <w:sz w:val="2"/>
          <w:lang w:val="fr-CH"/>
        </w:rPr>
        <w:sectPr w:rsidR="00F41095" w:rsidRPr="001B7248" w:rsidSect="00F4109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F41095" w:rsidRPr="001B7248" w:rsidRDefault="00F41095" w:rsidP="001B724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B7248">
        <w:rPr>
          <w:lang w:val="fr-CH"/>
        </w:rPr>
        <w:lastRenderedPageBreak/>
        <w:t>Commission économique pour l’Europe</w:t>
      </w:r>
    </w:p>
    <w:p w:rsidR="001B7248" w:rsidRPr="001B7248" w:rsidRDefault="001B7248" w:rsidP="001B724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F41095" w:rsidRPr="001B7248" w:rsidRDefault="00F41095" w:rsidP="001B724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1B7248">
        <w:rPr>
          <w:b w:val="0"/>
          <w:bCs/>
          <w:lang w:val="fr-CH"/>
        </w:rPr>
        <w:t>Comité des transports intérieurs</w:t>
      </w:r>
    </w:p>
    <w:p w:rsidR="001B7248" w:rsidRPr="001B7248" w:rsidRDefault="001B7248" w:rsidP="001B7248">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B7248" w:rsidRPr="001B7248" w:rsidRDefault="001B7248" w:rsidP="001B724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B7248">
        <w:rPr>
          <w:lang w:val="fr-CH"/>
        </w:rPr>
        <w:t xml:space="preserve">Forum mondial de l’harmonisation </w:t>
      </w:r>
      <w:r w:rsidRPr="001B7248">
        <w:rPr>
          <w:lang w:val="fr-CH"/>
        </w:rPr>
        <w:br/>
        <w:t>des Règlements</w:t>
      </w:r>
      <w:r>
        <w:rPr>
          <w:lang w:val="fr-CH"/>
        </w:rPr>
        <w:t xml:space="preserve"> </w:t>
      </w:r>
      <w:r w:rsidRPr="001B7248">
        <w:rPr>
          <w:lang w:val="fr-CH"/>
        </w:rPr>
        <w:t>concernant les véhicules</w:t>
      </w:r>
    </w:p>
    <w:p w:rsidR="001B7248" w:rsidRPr="001B7248" w:rsidRDefault="001B7248" w:rsidP="001B7248">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B7248" w:rsidRPr="001B7248" w:rsidRDefault="001B7248" w:rsidP="001B72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B7248">
        <w:rPr>
          <w:lang w:val="fr-CH"/>
        </w:rPr>
        <w:t>168</w:t>
      </w:r>
      <w:r w:rsidRPr="001B7248">
        <w:rPr>
          <w:vertAlign w:val="superscript"/>
          <w:lang w:val="fr-CH"/>
        </w:rPr>
        <w:t>e</w:t>
      </w:r>
      <w:r w:rsidRPr="001B7248">
        <w:rPr>
          <w:lang w:val="fr-CH"/>
        </w:rPr>
        <w:t xml:space="preserve"> session</w:t>
      </w:r>
    </w:p>
    <w:p w:rsidR="001B7248" w:rsidRPr="001B7248" w:rsidRDefault="001B7248" w:rsidP="001B7248">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B7248">
        <w:rPr>
          <w:lang w:val="fr-CH"/>
        </w:rPr>
        <w:t>Genève, 8-11 mars 2016</w:t>
      </w:r>
    </w:p>
    <w:p w:rsidR="001B7248" w:rsidRPr="001B7248" w:rsidRDefault="001B7248" w:rsidP="001B7248">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B7248">
        <w:rPr>
          <w:lang w:val="fr-CH"/>
        </w:rPr>
        <w:t>Point 4.8.4 de l’ordre du jour provisoire</w:t>
      </w:r>
    </w:p>
    <w:p w:rsidR="001B7248" w:rsidRPr="001B7248" w:rsidRDefault="001B7248" w:rsidP="001B72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B7248">
        <w:rPr>
          <w:lang w:val="fr-CH"/>
        </w:rPr>
        <w:t xml:space="preserve">Accord de 1958 – Examen de projets d’amendements </w:t>
      </w:r>
      <w:r w:rsidRPr="001B7248">
        <w:rPr>
          <w:lang w:val="fr-CH"/>
        </w:rPr>
        <w:br/>
        <w:t>à des Règlements existants, proposés par le GRSG</w:t>
      </w:r>
    </w:p>
    <w:p w:rsidR="001B7248" w:rsidRPr="001B7248" w:rsidRDefault="001B7248" w:rsidP="001B7248">
      <w:pPr>
        <w:pStyle w:val="SingleTxt"/>
        <w:spacing w:after="0" w:line="120" w:lineRule="exact"/>
        <w:rPr>
          <w:b/>
          <w:sz w:val="10"/>
          <w:lang w:val="fr-CH"/>
        </w:rPr>
      </w:pPr>
    </w:p>
    <w:p w:rsidR="001B7248" w:rsidRPr="001B7248" w:rsidRDefault="001B7248" w:rsidP="001B7248">
      <w:pPr>
        <w:pStyle w:val="SingleTxt"/>
        <w:spacing w:after="0" w:line="120" w:lineRule="exact"/>
        <w:rPr>
          <w:b/>
          <w:sz w:val="10"/>
          <w:lang w:val="fr-CH"/>
        </w:rPr>
      </w:pPr>
    </w:p>
    <w:p w:rsidR="001B7248" w:rsidRPr="001B7248" w:rsidRDefault="001B7248" w:rsidP="001B7248">
      <w:pPr>
        <w:pStyle w:val="SingleTxt"/>
        <w:spacing w:after="0" w:line="120" w:lineRule="exact"/>
        <w:rPr>
          <w:b/>
          <w:sz w:val="10"/>
          <w:lang w:val="fr-CH"/>
        </w:rPr>
      </w:pPr>
    </w:p>
    <w:p w:rsidR="001B7248" w:rsidRPr="001B7248" w:rsidRDefault="001B7248" w:rsidP="001B72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B7248">
        <w:rPr>
          <w:lang w:val="fr-CH"/>
        </w:rPr>
        <w:tab/>
      </w:r>
      <w:r w:rsidRPr="001B7248">
        <w:rPr>
          <w:lang w:val="fr-CH"/>
        </w:rPr>
        <w:tab/>
        <w:t xml:space="preserve">Proposition de complément 5 à la série 06 d’amendements </w:t>
      </w:r>
      <w:r w:rsidRPr="001B7248">
        <w:rPr>
          <w:lang w:val="fr-CH"/>
        </w:rPr>
        <w:br/>
      </w:r>
      <w:r>
        <w:rPr>
          <w:lang w:val="fr-CH"/>
        </w:rPr>
        <w:t>au Règlement n</w:t>
      </w:r>
      <w:r w:rsidRPr="001B7248">
        <w:rPr>
          <w:vertAlign w:val="superscript"/>
          <w:lang w:val="fr-CH"/>
        </w:rPr>
        <w:t>o</w:t>
      </w:r>
      <w:r>
        <w:rPr>
          <w:lang w:val="fr-CH"/>
        </w:rPr>
        <w:t> </w:t>
      </w:r>
      <w:r w:rsidRPr="001B7248">
        <w:rPr>
          <w:lang w:val="fr-CH"/>
        </w:rPr>
        <w:t xml:space="preserve">107 (Construction générale des autobus </w:t>
      </w:r>
      <w:r w:rsidRPr="001B7248">
        <w:rPr>
          <w:lang w:val="fr-CH"/>
        </w:rPr>
        <w:br/>
      </w:r>
      <w:proofErr w:type="gramStart"/>
      <w:r w:rsidRPr="001B7248">
        <w:rPr>
          <w:lang w:val="fr-CH"/>
        </w:rPr>
        <w:t>et</w:t>
      </w:r>
      <w:proofErr w:type="gramEnd"/>
      <w:r w:rsidRPr="001B7248">
        <w:rPr>
          <w:lang w:val="fr-CH"/>
        </w:rPr>
        <w:t xml:space="preserve"> autocars) </w:t>
      </w:r>
    </w:p>
    <w:p w:rsidR="001B7248" w:rsidRPr="001B7248" w:rsidRDefault="001B7248" w:rsidP="001B7248">
      <w:pPr>
        <w:pStyle w:val="SingleTxt"/>
        <w:spacing w:after="0" w:line="120" w:lineRule="exact"/>
        <w:rPr>
          <w:b/>
          <w:sz w:val="10"/>
          <w:lang w:val="fr-CH"/>
        </w:rPr>
      </w:pPr>
    </w:p>
    <w:p w:rsidR="001B7248" w:rsidRPr="001B7248" w:rsidRDefault="001B7248" w:rsidP="001B7248">
      <w:pPr>
        <w:pStyle w:val="SingleTxt"/>
        <w:spacing w:after="0" w:line="120" w:lineRule="exact"/>
        <w:rPr>
          <w:b/>
          <w:sz w:val="10"/>
          <w:lang w:val="fr-CH"/>
        </w:rPr>
      </w:pPr>
    </w:p>
    <w:p w:rsidR="001B7248" w:rsidRPr="001B7248" w:rsidRDefault="001B7248" w:rsidP="001B7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B7248">
        <w:rPr>
          <w:lang w:val="fr-CH"/>
        </w:rPr>
        <w:tab/>
      </w:r>
      <w:r w:rsidRPr="001B7248">
        <w:rPr>
          <w:lang w:val="fr-CH"/>
        </w:rPr>
        <w:tab/>
        <w:t xml:space="preserve">Communication du Groupe de travail des dispositions </w:t>
      </w:r>
      <w:r w:rsidRPr="001B7248">
        <w:rPr>
          <w:lang w:val="fr-CH"/>
        </w:rPr>
        <w:br/>
        <w:t>générales de sécurité</w:t>
      </w:r>
      <w:r w:rsidRPr="001B7248">
        <w:rPr>
          <w:b w:val="0"/>
          <w:bCs/>
          <w:sz w:val="20"/>
          <w:szCs w:val="20"/>
          <w:lang w:val="fr-CH"/>
        </w:rPr>
        <w:footnoteReference w:customMarkFollows="1" w:id="1"/>
        <w:t>*</w:t>
      </w:r>
    </w:p>
    <w:p w:rsidR="001B7248" w:rsidRPr="001B7248" w:rsidRDefault="001B7248" w:rsidP="001B7248">
      <w:pPr>
        <w:pStyle w:val="SingleTxt"/>
        <w:spacing w:after="0" w:line="120" w:lineRule="exact"/>
        <w:rPr>
          <w:sz w:val="10"/>
          <w:lang w:val="fr-CH"/>
        </w:rPr>
      </w:pPr>
    </w:p>
    <w:p w:rsidR="001B7248" w:rsidRPr="001B7248" w:rsidRDefault="001B7248" w:rsidP="001B7248">
      <w:pPr>
        <w:pStyle w:val="SingleTxt"/>
        <w:spacing w:after="0" w:line="120" w:lineRule="exact"/>
        <w:rPr>
          <w:sz w:val="10"/>
          <w:lang w:val="fr-CH"/>
        </w:rPr>
      </w:pPr>
    </w:p>
    <w:p w:rsidR="001B7248" w:rsidRPr="001B7248" w:rsidRDefault="001B7248" w:rsidP="00312B9D">
      <w:pPr>
        <w:pStyle w:val="SingleTxt"/>
        <w:rPr>
          <w:spacing w:val="2"/>
          <w:lang w:val="fr-CH"/>
        </w:rPr>
      </w:pPr>
      <w:r w:rsidRPr="001B7248">
        <w:rPr>
          <w:spacing w:val="2"/>
          <w:lang w:val="fr-CH"/>
        </w:rPr>
        <w:tab/>
        <w:t xml:space="preserve">Le texte reproduit ci-après, adopté par le </w:t>
      </w:r>
      <w:r w:rsidR="00312B9D" w:rsidRPr="001B7248">
        <w:rPr>
          <w:spacing w:val="2"/>
          <w:lang w:val="fr-CH"/>
        </w:rPr>
        <w:t xml:space="preserve">Groupe </w:t>
      </w:r>
      <w:r w:rsidRPr="001B7248">
        <w:rPr>
          <w:spacing w:val="2"/>
          <w:lang w:val="fr-CH"/>
        </w:rPr>
        <w:t>de travail des dispositions générales de sécurité (GRSG) à sa 109</w:t>
      </w:r>
      <w:r w:rsidRPr="001B7248">
        <w:rPr>
          <w:spacing w:val="2"/>
          <w:vertAlign w:val="superscript"/>
          <w:lang w:val="fr-CH"/>
        </w:rPr>
        <w:t>e</w:t>
      </w:r>
      <w:r w:rsidR="00312B9D" w:rsidRPr="00312B9D">
        <w:t> </w:t>
      </w:r>
      <w:r w:rsidRPr="001B7248">
        <w:rPr>
          <w:spacing w:val="2"/>
          <w:lang w:val="fr-CH"/>
        </w:rPr>
        <w:t xml:space="preserve">session (ECE/TRANS/WP.29/GRSG/88, par. 7, 9, 10, 11, 12 et 14), est fondé principalement sur les documents </w:t>
      </w:r>
      <w:r w:rsidRPr="001B7248">
        <w:rPr>
          <w:bCs/>
          <w:spacing w:val="2"/>
          <w:lang w:val="fr-CH"/>
        </w:rPr>
        <w:t>ECE/TRANS/WP.29/</w:t>
      </w:r>
      <w:r w:rsidRPr="001B7248">
        <w:rPr>
          <w:bCs/>
          <w:spacing w:val="2"/>
          <w:lang w:val="fr-CH"/>
        </w:rPr>
        <w:br/>
        <w:t>GRSG/2015/14, ECE/TRANS/WP.29/GRSG/2015/18, ECE/TRANS/WP.29/GRSG/</w:t>
      </w:r>
      <w:r w:rsidRPr="001B7248">
        <w:rPr>
          <w:bCs/>
          <w:spacing w:val="2"/>
          <w:lang w:val="fr-CH"/>
        </w:rPr>
        <w:br/>
        <w:t>2015/20, ECE/TRANS/WP.29/GRSG/2015/31,</w:t>
      </w:r>
      <w:r w:rsidRPr="001B7248">
        <w:rPr>
          <w:spacing w:val="2"/>
          <w:lang w:val="fr-CH"/>
        </w:rPr>
        <w:t xml:space="preserve"> </w:t>
      </w:r>
      <w:r w:rsidRPr="001B7248">
        <w:rPr>
          <w:bCs/>
          <w:spacing w:val="2"/>
          <w:lang w:val="fr-CH"/>
        </w:rPr>
        <w:t>ECE/TRANS/WP.29/GRSG/2015/33 et ECE/TRANS/WP.29/GRSG/2015/34 tels que reproduits dans l’annexe III du rapport</w:t>
      </w:r>
      <w:r w:rsidRPr="001B7248">
        <w:rPr>
          <w:spacing w:val="2"/>
          <w:lang w:val="fr-CH"/>
        </w:rPr>
        <w:t>. Il est soumis au Forum mondial de l’harmonisation des Règlements concernant les véhicules (WP.29) et au Comité d’administration (AC.1</w:t>
      </w:r>
      <w:r w:rsidR="00312B9D">
        <w:rPr>
          <w:spacing w:val="2"/>
          <w:lang w:val="fr-CH"/>
        </w:rPr>
        <w:t xml:space="preserve">) pour examen à leur session </w:t>
      </w:r>
      <w:r w:rsidR="00312B9D" w:rsidRPr="00312B9D">
        <w:t>de</w:t>
      </w:r>
      <w:r w:rsidR="00312B9D">
        <w:t> </w:t>
      </w:r>
      <w:r w:rsidRPr="00312B9D">
        <w:t>mars</w:t>
      </w:r>
      <w:r w:rsidRPr="001B7248">
        <w:rPr>
          <w:spacing w:val="2"/>
          <w:lang w:val="fr-CH"/>
        </w:rPr>
        <w:t xml:space="preserve"> 2016.</w:t>
      </w:r>
    </w:p>
    <w:p w:rsidR="001B7248" w:rsidRPr="001B7248" w:rsidRDefault="001B7248" w:rsidP="001B7248">
      <w:pPr>
        <w:pStyle w:val="SingleTxt"/>
        <w:rPr>
          <w:b/>
          <w:spacing w:val="2"/>
          <w:lang w:val="fr-CH"/>
        </w:rPr>
      </w:pPr>
    </w:p>
    <w:p w:rsidR="001B7248" w:rsidRPr="001B7248" w:rsidRDefault="001B7248" w:rsidP="001B7248">
      <w:pPr>
        <w:pStyle w:val="SingleTxt"/>
        <w:rPr>
          <w:iCs/>
          <w:lang w:val="fr-CH"/>
        </w:rPr>
      </w:pPr>
      <w:r w:rsidRPr="001B7248">
        <w:rPr>
          <w:lang w:val="fr-CH"/>
        </w:rPr>
        <w:br w:type="page"/>
      </w:r>
      <w:r w:rsidRPr="001B7248">
        <w:rPr>
          <w:i/>
          <w:iCs/>
          <w:lang w:val="fr-CH"/>
        </w:rPr>
        <w:lastRenderedPageBreak/>
        <w:t>Paragraphe</w:t>
      </w:r>
      <w:r w:rsidRPr="001B7248">
        <w:rPr>
          <w:i/>
          <w:lang w:val="fr-CH"/>
        </w:rPr>
        <w:t xml:space="preserve"> 2.3</w:t>
      </w:r>
      <w:r w:rsidRPr="001B7248">
        <w:rPr>
          <w:iCs/>
          <w:lang w:val="fr-CH"/>
        </w:rPr>
        <w:t>,</w:t>
      </w:r>
      <w:r w:rsidRPr="001B7248">
        <w:rPr>
          <w:i/>
          <w:lang w:val="fr-CH"/>
        </w:rPr>
        <w:t xml:space="preserve"> </w:t>
      </w:r>
      <w:r w:rsidRPr="001B7248">
        <w:rPr>
          <w:iCs/>
          <w:lang w:val="fr-CH"/>
        </w:rPr>
        <w:t>lire :</w:t>
      </w:r>
    </w:p>
    <w:p w:rsidR="001B7248" w:rsidRPr="001B7248" w:rsidRDefault="001B7248" w:rsidP="001B7248">
      <w:pPr>
        <w:pStyle w:val="SingleTxt"/>
        <w:ind w:left="2218" w:hanging="951"/>
        <w:rPr>
          <w:i/>
          <w:lang w:val="fr-CH"/>
        </w:rPr>
      </w:pPr>
      <w:r w:rsidRPr="001B7248">
        <w:rPr>
          <w:lang w:val="fr-CH"/>
        </w:rPr>
        <w:t>« 2.3</w:t>
      </w:r>
      <w:r w:rsidRPr="001B7248">
        <w:rPr>
          <w:lang w:val="fr-CH"/>
        </w:rPr>
        <w:tab/>
      </w:r>
      <w:r w:rsidRPr="001B7248">
        <w:rPr>
          <w:lang w:val="fr-CH"/>
        </w:rPr>
        <w:tab/>
        <w:t>“</w:t>
      </w:r>
      <w:r w:rsidRPr="001B7248">
        <w:rPr>
          <w:i/>
          <w:lang w:val="fr-CH"/>
        </w:rPr>
        <w:t>Homologation d’un véhicule, d’une entité technique distincte ou d’un composant</w:t>
      </w:r>
      <w:r w:rsidRPr="001B7248">
        <w:rPr>
          <w:iCs/>
          <w:lang w:val="fr-CH"/>
        </w:rPr>
        <w:t>”</w:t>
      </w:r>
      <w:r w:rsidRPr="001B7248">
        <w:rPr>
          <w:lang w:val="fr-CH"/>
        </w:rPr>
        <w:t xml:space="preserve"> l’homologation d’un type de véhicule, de carrosserie ou de composant tel que défini au paragraphe 2.2 en ce qui concerne les caractéristiques de construction spécifiées dans le présent Règlement; ».</w:t>
      </w:r>
    </w:p>
    <w:p w:rsidR="001B7248" w:rsidRPr="001B7248" w:rsidRDefault="001B7248" w:rsidP="001B7248">
      <w:pPr>
        <w:pStyle w:val="SingleTxt"/>
        <w:rPr>
          <w:i/>
          <w:lang w:val="fr-CH"/>
        </w:rPr>
      </w:pPr>
      <w:r w:rsidRPr="001B7248">
        <w:rPr>
          <w:i/>
          <w:lang w:val="fr-CH"/>
        </w:rPr>
        <w:t>Annexe 3</w:t>
      </w:r>
      <w:r w:rsidRPr="001B7248">
        <w:rPr>
          <w:iCs/>
          <w:lang w:val="fr-CH"/>
        </w:rPr>
        <w:t>,</w:t>
      </w:r>
    </w:p>
    <w:p w:rsidR="001B7248" w:rsidRPr="001B7248" w:rsidRDefault="001B7248" w:rsidP="001B7248">
      <w:pPr>
        <w:pStyle w:val="SingleTxt"/>
        <w:rPr>
          <w:lang w:val="fr-CH"/>
        </w:rPr>
      </w:pPr>
      <w:r w:rsidRPr="001B7248">
        <w:rPr>
          <w:i/>
          <w:lang w:val="fr-CH"/>
        </w:rPr>
        <w:t>Paragraphe 7.5.1.5.3</w:t>
      </w:r>
      <w:r w:rsidRPr="001B7248">
        <w:rPr>
          <w:iCs/>
          <w:lang w:val="fr-CH"/>
        </w:rPr>
        <w:t>,</w:t>
      </w:r>
      <w:r w:rsidRPr="001B7248">
        <w:rPr>
          <w:i/>
          <w:lang w:val="fr-CH"/>
        </w:rPr>
        <w:t xml:space="preserve"> </w:t>
      </w:r>
      <w:r w:rsidRPr="001B7248">
        <w:rPr>
          <w:lang w:val="fr-CH"/>
        </w:rPr>
        <w:t>lire :</w:t>
      </w:r>
    </w:p>
    <w:p w:rsidR="001B7248" w:rsidRPr="001B7248" w:rsidRDefault="001B7248" w:rsidP="001B7248">
      <w:pPr>
        <w:pStyle w:val="SingleTxt"/>
        <w:ind w:left="2218" w:hanging="951"/>
        <w:rPr>
          <w:lang w:val="fr-CH"/>
        </w:rPr>
      </w:pPr>
      <w:r w:rsidRPr="001B7248">
        <w:rPr>
          <w:lang w:val="fr-CH"/>
        </w:rPr>
        <w:t>« 7.5.1.5.3</w:t>
      </w:r>
      <w:r w:rsidRPr="001B7248">
        <w:rPr>
          <w:lang w:val="fr-CH"/>
        </w:rPr>
        <w:tab/>
        <w:t>Le système d’alarme et … est désactivé, selon le cas. Le système d’alarme reste opérationnel lorsque que le dispositif de chauffage à combustion est en fonction. ».</w:t>
      </w:r>
    </w:p>
    <w:p w:rsidR="001B7248" w:rsidRPr="001B7248" w:rsidRDefault="001B7248" w:rsidP="001B7248">
      <w:pPr>
        <w:pStyle w:val="SingleTxt"/>
        <w:rPr>
          <w:lang w:val="fr-CH"/>
        </w:rPr>
      </w:pPr>
      <w:r w:rsidRPr="001B7248">
        <w:rPr>
          <w:i/>
          <w:lang w:val="fr-CH"/>
        </w:rPr>
        <w:t>Paragraphe 7.5.1.5.4.2</w:t>
      </w:r>
      <w:r w:rsidRPr="001B7248">
        <w:rPr>
          <w:iCs/>
          <w:lang w:val="fr-CH"/>
        </w:rPr>
        <w:t xml:space="preserve">, </w:t>
      </w:r>
      <w:r w:rsidRPr="001B7248">
        <w:rPr>
          <w:lang w:val="fr-CH"/>
        </w:rPr>
        <w:t>sans objet en français.</w:t>
      </w:r>
    </w:p>
    <w:p w:rsidR="001B7248" w:rsidRPr="001B7248" w:rsidRDefault="001B7248" w:rsidP="001B7248">
      <w:pPr>
        <w:pStyle w:val="SingleTxt"/>
        <w:rPr>
          <w:lang w:val="fr-CH"/>
        </w:rPr>
      </w:pPr>
      <w:r w:rsidRPr="001B7248">
        <w:rPr>
          <w:i/>
          <w:lang w:val="fr-CH"/>
        </w:rPr>
        <w:t>Paragraphe 7.5.1.5.4.3</w:t>
      </w:r>
      <w:r w:rsidRPr="001B7248">
        <w:rPr>
          <w:iCs/>
          <w:lang w:val="fr-CH"/>
        </w:rPr>
        <w:t>,</w:t>
      </w:r>
      <w:r w:rsidRPr="001B7248">
        <w:rPr>
          <w:lang w:val="fr-CH"/>
        </w:rPr>
        <w:t xml:space="preserve"> remplacer « chauffage auxiliaire</w:t>
      </w:r>
      <w:r>
        <w:rPr>
          <w:lang w:val="fr-CH"/>
        </w:rPr>
        <w:t> »</w:t>
      </w:r>
      <w:r w:rsidRPr="001B7248">
        <w:rPr>
          <w:lang w:val="fr-CH"/>
        </w:rPr>
        <w:t xml:space="preserve"> </w:t>
      </w:r>
      <w:r>
        <w:rPr>
          <w:lang w:val="fr-CH"/>
        </w:rPr>
        <w:t>par « </w:t>
      </w:r>
      <w:r w:rsidRPr="001B7248">
        <w:rPr>
          <w:lang w:val="fr-CH"/>
        </w:rPr>
        <w:t>chauffage à combustion</w:t>
      </w:r>
      <w:r>
        <w:rPr>
          <w:lang w:val="fr-CH"/>
        </w:rPr>
        <w:t> »</w:t>
      </w:r>
      <w:r w:rsidRPr="001B7248">
        <w:rPr>
          <w:lang w:val="fr-CH"/>
        </w:rPr>
        <w:t xml:space="preserve"> (trois occurrences).</w:t>
      </w:r>
    </w:p>
    <w:p w:rsidR="001B7248" w:rsidRPr="001B7248" w:rsidRDefault="001B7248" w:rsidP="001B7248">
      <w:pPr>
        <w:pStyle w:val="SingleTxt"/>
        <w:rPr>
          <w:lang w:val="fr-CH"/>
        </w:rPr>
      </w:pPr>
      <w:r w:rsidRPr="001B7248">
        <w:rPr>
          <w:i/>
          <w:lang w:val="fr-CH"/>
        </w:rPr>
        <w:t>Paragraphe 7.6.5.1</w:t>
      </w:r>
      <w:r w:rsidRPr="001B7248">
        <w:rPr>
          <w:iCs/>
          <w:lang w:val="fr-CH"/>
        </w:rPr>
        <w:t>,</w:t>
      </w:r>
      <w:r w:rsidRPr="001B7248">
        <w:rPr>
          <w:i/>
          <w:lang w:val="fr-CH"/>
        </w:rPr>
        <w:t xml:space="preserve"> </w:t>
      </w:r>
      <w:r w:rsidRPr="001B7248">
        <w:rPr>
          <w:lang w:val="fr-CH"/>
        </w:rPr>
        <w:t>remplacer</w:t>
      </w:r>
      <w:r>
        <w:rPr>
          <w:lang w:val="fr-CH"/>
        </w:rPr>
        <w:t xml:space="preserve"> « </w:t>
      </w:r>
      <w:r w:rsidRPr="001B7248">
        <w:rPr>
          <w:lang w:val="fr-CH"/>
        </w:rPr>
        <w:t>5 km/</w:t>
      </w:r>
      <w:r>
        <w:rPr>
          <w:lang w:val="fr-CH"/>
        </w:rPr>
        <w:t>h »</w:t>
      </w:r>
      <w:r w:rsidRPr="001B7248">
        <w:rPr>
          <w:lang w:val="fr-CH"/>
        </w:rPr>
        <w:t xml:space="preserve"> par </w:t>
      </w:r>
      <w:r>
        <w:rPr>
          <w:lang w:val="fr-CH"/>
        </w:rPr>
        <w:t>« 3 km/h »</w:t>
      </w:r>
      <w:r w:rsidRPr="001B7248">
        <w:rPr>
          <w:lang w:val="fr-CH"/>
        </w:rPr>
        <w:t>.</w:t>
      </w:r>
    </w:p>
    <w:p w:rsidR="001B7248" w:rsidRPr="001B7248" w:rsidRDefault="001B7248" w:rsidP="001B7248">
      <w:pPr>
        <w:pStyle w:val="SingleTxt"/>
        <w:rPr>
          <w:i/>
          <w:lang w:val="fr-CH"/>
        </w:rPr>
      </w:pPr>
      <w:r w:rsidRPr="001B7248">
        <w:rPr>
          <w:i/>
          <w:lang w:val="fr-CH"/>
        </w:rPr>
        <w:t>Paragraphe 7.6.5.1.9</w:t>
      </w:r>
      <w:r w:rsidRPr="001B7248">
        <w:rPr>
          <w:iCs/>
          <w:lang w:val="fr-CH"/>
        </w:rPr>
        <w:t>,</w:t>
      </w:r>
      <w:r w:rsidRPr="001B7248">
        <w:rPr>
          <w:i/>
          <w:lang w:val="fr-CH"/>
        </w:rPr>
        <w:t xml:space="preserve"> </w:t>
      </w:r>
      <w:r w:rsidRPr="001B7248">
        <w:rPr>
          <w:lang w:val="fr-CH"/>
        </w:rPr>
        <w:t>lire</w:t>
      </w:r>
      <w:r>
        <w:rPr>
          <w:lang w:val="fr-CH"/>
        </w:rPr>
        <w:t> </w:t>
      </w:r>
      <w:r w:rsidRPr="001B7248">
        <w:rPr>
          <w:lang w:val="fr-CH"/>
        </w:rPr>
        <w:t>:</w:t>
      </w:r>
    </w:p>
    <w:p w:rsidR="001B7248" w:rsidRPr="001B7248" w:rsidRDefault="001B7248" w:rsidP="00312B9D">
      <w:pPr>
        <w:pStyle w:val="SingleTxt"/>
        <w:ind w:left="2218" w:hanging="951"/>
        <w:rPr>
          <w:lang w:val="fr-CH"/>
        </w:rPr>
      </w:pPr>
      <w:r>
        <w:rPr>
          <w:lang w:val="fr-CH"/>
        </w:rPr>
        <w:t>« </w:t>
      </w:r>
      <w:r w:rsidRPr="001B7248">
        <w:rPr>
          <w:lang w:val="fr-CH"/>
        </w:rPr>
        <w:t>7.6.5.1.9</w:t>
      </w:r>
      <w:r w:rsidRPr="001B7248">
        <w:rPr>
          <w:lang w:val="fr-CH"/>
        </w:rPr>
        <w:tab/>
        <w:t xml:space="preserve">S’agissant des commandes d’urgence intérieures, elles sont désactivées dès </w:t>
      </w:r>
      <w:r>
        <w:rPr>
          <w:lang w:val="fr-CH"/>
        </w:rPr>
        <w:t>que le véhicule roule à plus de</w:t>
      </w:r>
      <w:r w:rsidR="00312B9D">
        <w:rPr>
          <w:lang w:val="fr-CH"/>
        </w:rPr>
        <w:t xml:space="preserve"> 3 </w:t>
      </w:r>
      <w:r w:rsidRPr="001B7248">
        <w:rPr>
          <w:lang w:val="fr-CH"/>
        </w:rPr>
        <w:t>km/h. Cette prescription peut aussi s’appliquer aux commandes d’urgence extérieures</w:t>
      </w:r>
      <w:r>
        <w:rPr>
          <w:lang w:val="fr-CH"/>
        </w:rPr>
        <w:t>. »</w:t>
      </w:r>
      <w:r w:rsidRPr="001B7248">
        <w:rPr>
          <w:lang w:val="fr-CH"/>
        </w:rPr>
        <w:t>.</w:t>
      </w:r>
    </w:p>
    <w:p w:rsidR="001B7248" w:rsidRPr="001B7248" w:rsidRDefault="001B7248" w:rsidP="001B7248">
      <w:pPr>
        <w:pStyle w:val="SingleTxt"/>
        <w:rPr>
          <w:lang w:val="fr-CH"/>
        </w:rPr>
      </w:pPr>
      <w:r w:rsidRPr="001B7248">
        <w:rPr>
          <w:i/>
          <w:lang w:val="fr-CH"/>
        </w:rPr>
        <w:t>Paragraphe 7.7.1.8.4</w:t>
      </w:r>
      <w:r w:rsidRPr="001B7248">
        <w:rPr>
          <w:iCs/>
          <w:lang w:val="fr-CH"/>
        </w:rPr>
        <w:t>,</w:t>
      </w:r>
      <w:r w:rsidRPr="001B7248">
        <w:rPr>
          <w:lang w:val="fr-CH"/>
        </w:rPr>
        <w:t xml:space="preserve"> lire</w:t>
      </w:r>
      <w:r>
        <w:rPr>
          <w:lang w:val="fr-CH"/>
        </w:rPr>
        <w:t> </w:t>
      </w:r>
      <w:r w:rsidRPr="001B7248">
        <w:rPr>
          <w:lang w:val="fr-CH"/>
        </w:rPr>
        <w:t>:</w:t>
      </w:r>
    </w:p>
    <w:p w:rsidR="001B7248" w:rsidRPr="001B7248" w:rsidRDefault="001B7248" w:rsidP="001B7248">
      <w:pPr>
        <w:pStyle w:val="SingleTxt"/>
        <w:ind w:left="2218" w:hanging="951"/>
        <w:rPr>
          <w:lang w:val="fr-CH"/>
        </w:rPr>
      </w:pPr>
      <w:r>
        <w:rPr>
          <w:lang w:val="fr-CH"/>
        </w:rPr>
        <w:t>« </w:t>
      </w:r>
      <w:r w:rsidRPr="001B7248">
        <w:rPr>
          <w:lang w:val="fr-CH"/>
        </w:rPr>
        <w:t>7.7.1.8.4</w:t>
      </w:r>
      <w:r w:rsidRPr="001B7248">
        <w:rPr>
          <w:lang w:val="fr-CH"/>
        </w:rPr>
        <w:tab/>
        <w:t>Aussi bien en position d’utilisation qu’en position repliée, aucun élément du strapontin</w:t>
      </w:r>
      <w:r>
        <w:rPr>
          <w:lang w:val="fr-CH"/>
        </w:rPr>
        <w:t> </w:t>
      </w:r>
      <w:r w:rsidRPr="001B7248">
        <w:rPr>
          <w:lang w:val="fr-CH"/>
        </w:rPr>
        <w:t>:</w:t>
      </w:r>
    </w:p>
    <w:p w:rsidR="001B7248" w:rsidRPr="001B7248" w:rsidRDefault="001B7248" w:rsidP="001B7248">
      <w:pPr>
        <w:pStyle w:val="SingleTxt"/>
        <w:ind w:left="2693" w:hanging="1426"/>
        <w:rPr>
          <w:lang w:val="fr-CH"/>
        </w:rPr>
      </w:pPr>
      <w:r>
        <w:rPr>
          <w:lang w:val="fr-CH"/>
        </w:rPr>
        <w:tab/>
      </w:r>
      <w:r w:rsidRPr="001B7248">
        <w:rPr>
          <w:lang w:val="fr-CH"/>
        </w:rPr>
        <w:tab/>
        <w:t>a)</w:t>
      </w:r>
      <w:r w:rsidRPr="001B7248">
        <w:rPr>
          <w:lang w:val="fr-CH"/>
        </w:rPr>
        <w:tab/>
        <w:t xml:space="preserve">Ne dépasse un plan vertical passant par le centre de la surface du coussin du siège du conducteur dans sa position la plus reculée et la plus basse et par le centre du miroir rétroviseur extérieur monté du côté opposé du véhicule ou par le centre de tout moniteur utilisé comme dispositif de vision indirecte, selon le cas, </w:t>
      </w:r>
    </w:p>
    <w:p w:rsidR="001B7248" w:rsidRPr="001B7248" w:rsidRDefault="001B7248" w:rsidP="001B7248">
      <w:pPr>
        <w:pStyle w:val="SingleTxt"/>
        <w:rPr>
          <w:lang w:val="fr-CH"/>
        </w:rPr>
      </w:pPr>
      <w:r>
        <w:rPr>
          <w:lang w:val="fr-CH"/>
        </w:rPr>
        <w:tab/>
      </w:r>
      <w:r w:rsidRPr="001B7248">
        <w:rPr>
          <w:lang w:val="fr-CH"/>
        </w:rPr>
        <w:tab/>
      </w:r>
      <w:proofErr w:type="gramStart"/>
      <w:r w:rsidRPr="001B7248">
        <w:rPr>
          <w:lang w:val="fr-CH"/>
        </w:rPr>
        <w:t>et</w:t>
      </w:r>
      <w:proofErr w:type="gramEnd"/>
    </w:p>
    <w:p w:rsidR="001B7248" w:rsidRPr="001B7248" w:rsidRDefault="001B7248" w:rsidP="001B7248">
      <w:pPr>
        <w:pStyle w:val="SingleTxt"/>
        <w:ind w:left="2693" w:hanging="1426"/>
        <w:rPr>
          <w:lang w:val="fr-CH"/>
        </w:rPr>
      </w:pPr>
      <w:r>
        <w:rPr>
          <w:lang w:val="fr-CH"/>
        </w:rPr>
        <w:tab/>
      </w:r>
      <w:r w:rsidRPr="001B7248">
        <w:rPr>
          <w:lang w:val="fr-CH"/>
        </w:rPr>
        <w:tab/>
        <w:t>b)</w:t>
      </w:r>
      <w:r w:rsidRPr="001B7248">
        <w:rPr>
          <w:lang w:val="fr-CH"/>
        </w:rPr>
        <w:tab/>
        <w:t>Ne se trouve au-dessus d’un plan horizontal situé à</w:t>
      </w:r>
      <w:r>
        <w:rPr>
          <w:lang w:val="fr-CH"/>
        </w:rPr>
        <w:t xml:space="preserve"> 300 </w:t>
      </w:r>
      <w:r w:rsidRPr="001B7248">
        <w:rPr>
          <w:lang w:val="fr-CH"/>
        </w:rPr>
        <w:t>mm au-dessus de la surface du coussin du siège du conducteur dans sa position la plus reculée et la plus basse.</w:t>
      </w:r>
      <w:r>
        <w:rPr>
          <w:lang w:val="fr-CH"/>
        </w:rPr>
        <w:t> »</w:t>
      </w:r>
      <w:r w:rsidRPr="001B7248">
        <w:rPr>
          <w:lang w:val="fr-CH"/>
        </w:rPr>
        <w:t>.</w:t>
      </w:r>
    </w:p>
    <w:p w:rsidR="001B7248" w:rsidRPr="001B7248" w:rsidRDefault="001B7248" w:rsidP="001B7248">
      <w:pPr>
        <w:pStyle w:val="SingleTxt"/>
        <w:rPr>
          <w:lang w:val="fr-CH"/>
        </w:rPr>
      </w:pPr>
      <w:r w:rsidRPr="001B7248">
        <w:rPr>
          <w:i/>
          <w:lang w:val="fr-CH"/>
        </w:rPr>
        <w:t>Paragraphe7.12.1</w:t>
      </w:r>
      <w:r w:rsidRPr="001B7248">
        <w:rPr>
          <w:iCs/>
          <w:lang w:val="fr-CH"/>
        </w:rPr>
        <w:t xml:space="preserve">, </w:t>
      </w:r>
      <w:r w:rsidRPr="001B7248">
        <w:rPr>
          <w:lang w:val="fr-CH"/>
        </w:rPr>
        <w:t>lire</w:t>
      </w:r>
      <w:r>
        <w:rPr>
          <w:lang w:val="fr-CH"/>
        </w:rPr>
        <w:t> </w:t>
      </w:r>
      <w:r w:rsidRPr="001B7248">
        <w:rPr>
          <w:lang w:val="fr-CH"/>
        </w:rPr>
        <w:t>:</w:t>
      </w:r>
    </w:p>
    <w:p w:rsidR="001B7248" w:rsidRPr="001B7248" w:rsidRDefault="001B7248" w:rsidP="001B7248">
      <w:pPr>
        <w:pStyle w:val="SingleTxt"/>
        <w:ind w:left="2218" w:hanging="951"/>
        <w:rPr>
          <w:lang w:val="fr-CH"/>
        </w:rPr>
      </w:pPr>
      <w:r>
        <w:rPr>
          <w:lang w:val="fr-CH"/>
        </w:rPr>
        <w:t>« </w:t>
      </w:r>
      <w:r w:rsidRPr="001B7248">
        <w:rPr>
          <w:lang w:val="fr-CH"/>
        </w:rPr>
        <w:t>7.12.1</w:t>
      </w:r>
      <w:r w:rsidRPr="001B7248">
        <w:rPr>
          <w:lang w:val="fr-CH"/>
        </w:rPr>
        <w:tab/>
        <w:t xml:space="preserve">Aux points où un voyageur assis risque d’être projeté en avant dans un puits d’escalier, un espace pour fauteuils roulants, un espace pour poussettes ou un espace réservé aux passagers debout, par suite d’un freinage brusque, il faut installer un garde-corps ou, dans le cas d’un véhicule des classes A ou B, une ceinture de sécurité. Ce garde-corps éventuel doit avoir </w:t>
      </w:r>
      <w:r>
        <w:rPr>
          <w:lang w:val="fr-CH"/>
        </w:rPr>
        <w:t>une hauteur minimale de 800 </w:t>
      </w:r>
      <w:r w:rsidRPr="001B7248">
        <w:rPr>
          <w:lang w:val="fr-CH"/>
        </w:rPr>
        <w:t>mm au-dessus du plancher sur lequel reposent les pieds du voyageur et s’étendre à l’intérieur du véhicule, à parti</w:t>
      </w:r>
      <w:r>
        <w:rPr>
          <w:lang w:val="fr-CH"/>
        </w:rPr>
        <w:t>r de la paroi, soit jusqu’à 100 </w:t>
      </w:r>
      <w:r w:rsidRPr="001B7248">
        <w:rPr>
          <w:lang w:val="fr-CH"/>
        </w:rPr>
        <w:t>mm au moins au-delà de l’axe médian longitudinal de toute place assise à laquelle un voyageur est exposé à ce risque, soit, dans le cas d’un puits d’escalier, jusqu’au droit de la contremarche de la marche située le plus à l’intérieur, si cette distance est plus courte que la première.</w:t>
      </w:r>
      <w:r>
        <w:rPr>
          <w:lang w:val="fr-CH"/>
        </w:rPr>
        <w:t> »</w:t>
      </w:r>
      <w:r w:rsidRPr="001B7248">
        <w:rPr>
          <w:lang w:val="fr-CH"/>
        </w:rPr>
        <w:t>.</w:t>
      </w:r>
    </w:p>
    <w:p w:rsidR="001B7248" w:rsidRPr="001B7248" w:rsidRDefault="001B7248" w:rsidP="001B7248">
      <w:pPr>
        <w:pStyle w:val="SingleTxt"/>
        <w:keepNext/>
        <w:rPr>
          <w:lang w:val="fr-CH"/>
        </w:rPr>
      </w:pPr>
      <w:r w:rsidRPr="001B7248">
        <w:rPr>
          <w:i/>
          <w:lang w:val="fr-CH"/>
        </w:rPr>
        <w:lastRenderedPageBreak/>
        <w:t>Ajouter un nouveau paragraphe 7.12.2</w:t>
      </w:r>
      <w:r w:rsidRPr="001B7248">
        <w:rPr>
          <w:iCs/>
          <w:lang w:val="fr-CH"/>
        </w:rPr>
        <w:t xml:space="preserve">, </w:t>
      </w:r>
      <w:r w:rsidRPr="001B7248">
        <w:rPr>
          <w:lang w:val="fr-CH"/>
        </w:rPr>
        <w:t>ainsi conçu</w:t>
      </w:r>
      <w:r>
        <w:rPr>
          <w:lang w:val="fr-CH"/>
        </w:rPr>
        <w:t> </w:t>
      </w:r>
      <w:r w:rsidRPr="001B7248">
        <w:rPr>
          <w:lang w:val="fr-CH"/>
        </w:rPr>
        <w:t>:</w:t>
      </w:r>
    </w:p>
    <w:p w:rsidR="001B7248" w:rsidRPr="001B7248" w:rsidRDefault="001B7248" w:rsidP="001B7248">
      <w:pPr>
        <w:pStyle w:val="SingleTxt"/>
        <w:ind w:left="2218" w:hanging="951"/>
        <w:rPr>
          <w:lang w:val="fr-CH"/>
        </w:rPr>
      </w:pPr>
      <w:r>
        <w:rPr>
          <w:lang w:val="fr-CH"/>
        </w:rPr>
        <w:t>« </w:t>
      </w:r>
      <w:r w:rsidRPr="001B7248">
        <w:rPr>
          <w:lang w:val="fr-CH"/>
        </w:rPr>
        <w:t>7.12.2</w:t>
      </w:r>
      <w:r w:rsidRPr="001B7248">
        <w:rPr>
          <w:lang w:val="fr-CH"/>
        </w:rPr>
        <w:tab/>
        <w:t>Le paragraphe 7.12.1 ne s’applique pas aux sièges faisant face vers le côté, à ceux dont l’axe se trouve dans la projection longitudinale d’une allée, à ceux devant lesquels se trouve une structure du véhicule (par exemple une table fixe ou un porte-bagages) offrant un niveau de protection comparable à un garde-corps conforme aux exigences du paragraphe 7.12.1, ni aux sièges transversaux orientés face à face où la distance minimale entre la face avant des dossiers des sièges se faisant face, mesurée conformément au paragra</w:t>
      </w:r>
      <w:r>
        <w:rPr>
          <w:lang w:val="fr-CH"/>
        </w:rPr>
        <w:t>phe 7.7.8.4.3, ne dépasse pas 1 </w:t>
      </w:r>
      <w:r w:rsidRPr="001B7248">
        <w:rPr>
          <w:lang w:val="fr-CH"/>
        </w:rPr>
        <w:t xml:space="preserve">800 </w:t>
      </w:r>
      <w:proofErr w:type="spellStart"/>
      <w:r w:rsidRPr="001B7248">
        <w:rPr>
          <w:lang w:val="fr-CH"/>
        </w:rPr>
        <w:t>mm</w:t>
      </w:r>
      <w:r>
        <w:rPr>
          <w:lang w:val="fr-CH"/>
        </w:rPr>
        <w:t>.</w:t>
      </w:r>
      <w:proofErr w:type="spellEnd"/>
      <w:r>
        <w:rPr>
          <w:lang w:val="fr-CH"/>
        </w:rPr>
        <w:t> »</w:t>
      </w:r>
      <w:r w:rsidRPr="001B7248">
        <w:rPr>
          <w:lang w:val="fr-CH"/>
        </w:rPr>
        <w:t>.</w:t>
      </w:r>
    </w:p>
    <w:p w:rsidR="001B7248" w:rsidRPr="001B7248" w:rsidRDefault="001B7248" w:rsidP="001B7248">
      <w:pPr>
        <w:pStyle w:val="SingleTxt"/>
        <w:rPr>
          <w:iCs/>
          <w:spacing w:val="2"/>
          <w:lang w:val="fr-CH"/>
        </w:rPr>
      </w:pPr>
      <w:r w:rsidRPr="001B7248">
        <w:rPr>
          <w:i/>
          <w:spacing w:val="2"/>
          <w:lang w:val="fr-CH"/>
        </w:rPr>
        <w:t xml:space="preserve">Les paragraphes 7.12.2 à 7.12.4 (anciens) </w:t>
      </w:r>
      <w:r w:rsidRPr="001B7248">
        <w:rPr>
          <w:iCs/>
          <w:spacing w:val="2"/>
          <w:lang w:val="fr-CH"/>
        </w:rPr>
        <w:t>deviennent les paragraphes 7.12.3 à 7.12.5.</w:t>
      </w:r>
    </w:p>
    <w:p w:rsidR="001B7248" w:rsidRPr="001B7248" w:rsidRDefault="001B7248" w:rsidP="001B7248">
      <w:pPr>
        <w:pStyle w:val="SingleTxt"/>
        <w:rPr>
          <w:i/>
          <w:lang w:val="fr-CH"/>
        </w:rPr>
      </w:pPr>
      <w:r w:rsidRPr="001B7248">
        <w:rPr>
          <w:i/>
          <w:lang w:val="fr-CH"/>
        </w:rPr>
        <w:t>Annexe 8</w:t>
      </w:r>
      <w:r w:rsidRPr="001B7248">
        <w:rPr>
          <w:iCs/>
          <w:lang w:val="fr-CH"/>
        </w:rPr>
        <w:t>,</w:t>
      </w:r>
    </w:p>
    <w:p w:rsidR="001B7248" w:rsidRPr="001B7248" w:rsidRDefault="001B7248" w:rsidP="001B7248">
      <w:pPr>
        <w:pStyle w:val="SingleTxt"/>
        <w:rPr>
          <w:i/>
          <w:iCs/>
          <w:lang w:val="fr-CH"/>
        </w:rPr>
      </w:pPr>
      <w:r w:rsidRPr="001B7248">
        <w:rPr>
          <w:i/>
          <w:lang w:val="fr-CH"/>
        </w:rPr>
        <w:t>Paragraphe 3.1</w:t>
      </w:r>
      <w:r w:rsidRPr="001B7248">
        <w:rPr>
          <w:iCs/>
          <w:lang w:val="fr-CH"/>
        </w:rPr>
        <w:t>,</w:t>
      </w:r>
      <w:r w:rsidRPr="001B7248">
        <w:rPr>
          <w:i/>
          <w:lang w:val="fr-CH"/>
        </w:rPr>
        <w:t xml:space="preserve"> </w:t>
      </w:r>
      <w:r w:rsidRPr="001B7248">
        <w:rPr>
          <w:lang w:val="fr-CH"/>
        </w:rPr>
        <w:t>lire</w:t>
      </w:r>
      <w:r>
        <w:rPr>
          <w:lang w:val="fr-CH"/>
        </w:rPr>
        <w:t> </w:t>
      </w:r>
      <w:r w:rsidRPr="001B7248">
        <w:rPr>
          <w:iCs/>
          <w:lang w:val="fr-CH"/>
        </w:rPr>
        <w:t>:</w:t>
      </w:r>
    </w:p>
    <w:p w:rsidR="001B7248" w:rsidRPr="001B7248" w:rsidRDefault="001B7248" w:rsidP="001B7248">
      <w:pPr>
        <w:pStyle w:val="SingleTxt"/>
        <w:rPr>
          <w:lang w:val="fr-CH"/>
        </w:rPr>
      </w:pPr>
      <w:r>
        <w:rPr>
          <w:lang w:val="fr-CH"/>
        </w:rPr>
        <w:t>« </w:t>
      </w:r>
      <w:r w:rsidRPr="001B7248">
        <w:rPr>
          <w:lang w:val="fr-CH"/>
        </w:rPr>
        <w:t>3.1</w:t>
      </w:r>
      <w:r w:rsidRPr="001B7248">
        <w:rPr>
          <w:lang w:val="fr-CH"/>
        </w:rPr>
        <w:tab/>
      </w:r>
      <w:r w:rsidRPr="001B7248">
        <w:rPr>
          <w:lang w:val="fr-CH"/>
        </w:rPr>
        <w:tab/>
        <w:t>Marches</w:t>
      </w:r>
    </w:p>
    <w:p w:rsidR="001B7248" w:rsidRPr="001B7248" w:rsidRDefault="001B7248" w:rsidP="001B7248">
      <w:pPr>
        <w:pStyle w:val="SingleTxt"/>
        <w:rPr>
          <w:lang w:val="fr-CH"/>
        </w:rPr>
      </w:pPr>
      <w:r>
        <w:rPr>
          <w:lang w:val="fr-CH"/>
        </w:rPr>
        <w:tab/>
      </w:r>
      <w:r w:rsidRPr="001B7248">
        <w:rPr>
          <w:lang w:val="fr-CH"/>
        </w:rPr>
        <w:tab/>
        <w:t>…</w:t>
      </w:r>
    </w:p>
    <w:p w:rsidR="001B7248" w:rsidRPr="001B7248" w:rsidRDefault="001B7248" w:rsidP="001B7248">
      <w:pPr>
        <w:pStyle w:val="SingleTxt"/>
        <w:ind w:left="2218" w:hanging="951"/>
        <w:rPr>
          <w:lang w:val="fr-CH"/>
        </w:rPr>
      </w:pPr>
      <w:r>
        <w:rPr>
          <w:lang w:val="fr-CH"/>
        </w:rPr>
        <w:tab/>
      </w:r>
      <w:r w:rsidRPr="001B7248">
        <w:rPr>
          <w:lang w:val="fr-CH"/>
        </w:rPr>
        <w:tab/>
        <w:t>La hauteur des marches dans un passage d’accès au droit des portes précitées et tout au long de l’allée, ne doit pas dépasser…</w:t>
      </w:r>
    </w:p>
    <w:p w:rsidR="001B7248" w:rsidRPr="001B7248" w:rsidRDefault="001B7248" w:rsidP="001B7248">
      <w:pPr>
        <w:pStyle w:val="SingleTxt"/>
        <w:rPr>
          <w:lang w:val="fr-CH"/>
        </w:rPr>
      </w:pPr>
      <w:r>
        <w:rPr>
          <w:lang w:val="fr-CH"/>
        </w:rPr>
        <w:tab/>
      </w:r>
      <w:r>
        <w:rPr>
          <w:lang w:val="fr-CH"/>
        </w:rPr>
        <w:tab/>
        <w:t>… »</w:t>
      </w:r>
      <w:r w:rsidRPr="001B7248">
        <w:rPr>
          <w:lang w:val="fr-CH"/>
        </w:rPr>
        <w:t>.</w:t>
      </w:r>
    </w:p>
    <w:p w:rsidR="001B7248" w:rsidRPr="001B7248" w:rsidRDefault="001B7248" w:rsidP="001B7248">
      <w:pPr>
        <w:pStyle w:val="SingleTxt"/>
        <w:rPr>
          <w:i/>
          <w:iCs/>
          <w:lang w:val="fr-CH"/>
        </w:rPr>
      </w:pPr>
      <w:r w:rsidRPr="001B7248">
        <w:rPr>
          <w:i/>
          <w:lang w:val="fr-CH"/>
        </w:rPr>
        <w:t>Paragraphe 3.10.1</w:t>
      </w:r>
      <w:r w:rsidRPr="001B7248">
        <w:rPr>
          <w:iCs/>
          <w:lang w:val="fr-CH"/>
        </w:rPr>
        <w:t>,</w:t>
      </w:r>
      <w:r w:rsidRPr="001B7248">
        <w:rPr>
          <w:i/>
          <w:lang w:val="fr-CH"/>
        </w:rPr>
        <w:t xml:space="preserve"> </w:t>
      </w:r>
      <w:r w:rsidRPr="001B7248">
        <w:rPr>
          <w:lang w:val="fr-CH"/>
        </w:rPr>
        <w:t>lire</w:t>
      </w:r>
      <w:r>
        <w:rPr>
          <w:lang w:val="fr-CH"/>
        </w:rPr>
        <w:t> </w:t>
      </w:r>
      <w:r w:rsidRPr="001B7248">
        <w:rPr>
          <w:iCs/>
          <w:lang w:val="fr-CH"/>
        </w:rPr>
        <w:t>:</w:t>
      </w:r>
    </w:p>
    <w:p w:rsidR="001B7248" w:rsidRPr="001B7248" w:rsidRDefault="001B7248" w:rsidP="001B7248">
      <w:pPr>
        <w:pStyle w:val="SingleTxt"/>
        <w:rPr>
          <w:lang w:val="fr-CH"/>
        </w:rPr>
      </w:pPr>
      <w:r>
        <w:rPr>
          <w:lang w:val="fr-CH"/>
        </w:rPr>
        <w:t>« </w:t>
      </w:r>
      <w:r w:rsidRPr="001B7248">
        <w:rPr>
          <w:lang w:val="fr-CH"/>
        </w:rPr>
        <w:t>3.10.1</w:t>
      </w:r>
      <w:r w:rsidRPr="001B7248">
        <w:rPr>
          <w:lang w:val="fr-CH"/>
        </w:rPr>
        <w:tab/>
        <w:t>(Réservé)</w:t>
      </w:r>
      <w:r>
        <w:rPr>
          <w:lang w:val="fr-CH"/>
        </w:rPr>
        <w:t> »</w:t>
      </w:r>
      <w:r w:rsidRPr="001B7248">
        <w:rPr>
          <w:lang w:val="fr-CH"/>
        </w:rPr>
        <w:t>.</w:t>
      </w:r>
    </w:p>
    <w:p w:rsidR="00F41095" w:rsidRPr="001B7248" w:rsidRDefault="001B7248" w:rsidP="001B7248">
      <w:pPr>
        <w:pStyle w:val="SingleTxt"/>
        <w:spacing w:after="0" w:line="240" w:lineRule="auto"/>
        <w:rPr>
          <w:lang w:val="fr-CH"/>
        </w:rPr>
      </w:pPr>
      <w:r w:rsidRPr="001B7248">
        <w:rPr>
          <w:noProof/>
          <w:w w:val="100"/>
          <w:lang w:val="en-GB" w:eastAsia="en-GB"/>
        </w:rPr>
        <mc:AlternateContent>
          <mc:Choice Requires="wps">
            <w:drawing>
              <wp:anchor distT="0" distB="0" distL="114300" distR="114300" simplePos="0" relativeHeight="251659264" behindDoc="0" locked="0" layoutInCell="1" allowOverlap="1" wp14:anchorId="22AC09BB" wp14:editId="3CFE1184">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41095" w:rsidRPr="001B7248" w:rsidSect="00F4109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D3" w:rsidRDefault="006E32D3" w:rsidP="00F3330B">
      <w:pPr>
        <w:spacing w:line="240" w:lineRule="auto"/>
      </w:pPr>
      <w:r>
        <w:separator/>
      </w:r>
    </w:p>
  </w:endnote>
  <w:endnote w:type="continuationSeparator" w:id="0">
    <w:p w:rsidR="006E32D3" w:rsidRDefault="006E32D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F41095" w:rsidTr="00F41095">
      <w:trPr>
        <w:jc w:val="center"/>
      </w:trPr>
      <w:tc>
        <w:tcPr>
          <w:tcW w:w="5088" w:type="dxa"/>
          <w:shd w:val="clear" w:color="auto" w:fill="auto"/>
        </w:tcPr>
        <w:p w:rsidR="00F41095" w:rsidRPr="00F41095" w:rsidRDefault="00F41095" w:rsidP="00F410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2B4A">
            <w:rPr>
              <w:b w:val="0"/>
              <w:w w:val="103"/>
              <w:sz w:val="14"/>
            </w:rPr>
            <w:t>GE.15-22791</w:t>
          </w:r>
          <w:r>
            <w:rPr>
              <w:b w:val="0"/>
              <w:w w:val="103"/>
              <w:sz w:val="14"/>
            </w:rPr>
            <w:fldChar w:fldCharType="end"/>
          </w:r>
        </w:p>
      </w:tc>
      <w:tc>
        <w:tcPr>
          <w:tcW w:w="5089" w:type="dxa"/>
          <w:shd w:val="clear" w:color="auto" w:fill="auto"/>
        </w:tcPr>
        <w:p w:rsidR="00F41095" w:rsidRPr="00F41095" w:rsidRDefault="00F41095" w:rsidP="00F41095">
          <w:pPr>
            <w:pStyle w:val="Footer"/>
            <w:rPr>
              <w:w w:val="103"/>
            </w:rPr>
          </w:pPr>
          <w:r>
            <w:rPr>
              <w:w w:val="103"/>
            </w:rPr>
            <w:fldChar w:fldCharType="begin"/>
          </w:r>
          <w:r>
            <w:rPr>
              <w:w w:val="103"/>
            </w:rPr>
            <w:instrText xml:space="preserve"> PAGE  \* Arabic  \* MERGEFORMAT </w:instrText>
          </w:r>
          <w:r>
            <w:rPr>
              <w:w w:val="103"/>
            </w:rPr>
            <w:fldChar w:fldCharType="separate"/>
          </w:r>
          <w:r w:rsidR="00B7432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74321">
            <w:rPr>
              <w:noProof/>
              <w:w w:val="103"/>
            </w:rPr>
            <w:t>2</w:t>
          </w:r>
          <w:r>
            <w:rPr>
              <w:w w:val="103"/>
            </w:rPr>
            <w:fldChar w:fldCharType="end"/>
          </w:r>
        </w:p>
      </w:tc>
    </w:tr>
  </w:tbl>
  <w:p w:rsidR="00F41095" w:rsidRPr="00F41095" w:rsidRDefault="00F41095" w:rsidP="00F41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F41095" w:rsidTr="00F41095">
      <w:trPr>
        <w:jc w:val="center"/>
      </w:trPr>
      <w:tc>
        <w:tcPr>
          <w:tcW w:w="5088" w:type="dxa"/>
          <w:shd w:val="clear" w:color="auto" w:fill="auto"/>
        </w:tcPr>
        <w:p w:rsidR="00F41095" w:rsidRPr="00F41095" w:rsidRDefault="00F41095" w:rsidP="00F4109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74321">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74321">
            <w:rPr>
              <w:noProof/>
              <w:w w:val="103"/>
            </w:rPr>
            <w:t>3</w:t>
          </w:r>
          <w:r>
            <w:rPr>
              <w:w w:val="103"/>
            </w:rPr>
            <w:fldChar w:fldCharType="end"/>
          </w:r>
        </w:p>
      </w:tc>
      <w:tc>
        <w:tcPr>
          <w:tcW w:w="5089" w:type="dxa"/>
          <w:shd w:val="clear" w:color="auto" w:fill="auto"/>
        </w:tcPr>
        <w:p w:rsidR="00F41095" w:rsidRPr="00F41095" w:rsidRDefault="00F41095" w:rsidP="00F4109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2B4A">
            <w:rPr>
              <w:b w:val="0"/>
              <w:w w:val="103"/>
              <w:sz w:val="14"/>
            </w:rPr>
            <w:t>GE.15-22791</w:t>
          </w:r>
          <w:r>
            <w:rPr>
              <w:b w:val="0"/>
              <w:w w:val="103"/>
              <w:sz w:val="14"/>
            </w:rPr>
            <w:fldChar w:fldCharType="end"/>
          </w:r>
        </w:p>
      </w:tc>
    </w:tr>
  </w:tbl>
  <w:p w:rsidR="00F41095" w:rsidRPr="00F41095" w:rsidRDefault="00F41095" w:rsidP="00F41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95" w:rsidRDefault="00F41095">
    <w:pPr>
      <w:pStyle w:val="Footer"/>
    </w:pPr>
    <w:r>
      <w:rPr>
        <w:noProof/>
        <w:lang w:val="en-GB" w:eastAsia="en-GB"/>
      </w:rPr>
      <w:drawing>
        <wp:anchor distT="0" distB="0" distL="114300" distR="114300" simplePos="0" relativeHeight="251658240" behindDoc="0" locked="0" layoutInCell="1" allowOverlap="1" wp14:anchorId="5E6FE3F5" wp14:editId="05890AE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F41095" w:rsidTr="00F41095">
      <w:tc>
        <w:tcPr>
          <w:tcW w:w="3859" w:type="dxa"/>
        </w:tcPr>
        <w:p w:rsidR="00F41095" w:rsidRDefault="00F41095" w:rsidP="00F4109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92B4A">
            <w:rPr>
              <w:b w:val="0"/>
              <w:sz w:val="20"/>
            </w:rPr>
            <w:t>GE.15-22791 (F)</w:t>
          </w:r>
          <w:r>
            <w:rPr>
              <w:b w:val="0"/>
              <w:sz w:val="20"/>
            </w:rPr>
            <w:fldChar w:fldCharType="end"/>
          </w:r>
          <w:r>
            <w:rPr>
              <w:b w:val="0"/>
              <w:sz w:val="20"/>
            </w:rPr>
            <w:t xml:space="preserve">    120216    120216</w:t>
          </w:r>
        </w:p>
        <w:p w:rsidR="00F41095" w:rsidRPr="00F41095" w:rsidRDefault="00F41095" w:rsidP="00F4109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92B4A">
            <w:rPr>
              <w:rFonts w:ascii="Barcode 3 of 9 by request" w:hAnsi="Barcode 3 of 9 by request"/>
              <w:b w:val="0"/>
              <w:spacing w:val="0"/>
              <w:w w:val="100"/>
              <w:sz w:val="24"/>
            </w:rPr>
            <w:t>*1522791*</w:t>
          </w:r>
          <w:r>
            <w:rPr>
              <w:rFonts w:ascii="Barcode 3 of 9 by request" w:hAnsi="Barcode 3 of 9 by request"/>
              <w:b w:val="0"/>
              <w:spacing w:val="0"/>
              <w:w w:val="100"/>
              <w:sz w:val="24"/>
            </w:rPr>
            <w:fldChar w:fldCharType="end"/>
          </w:r>
        </w:p>
      </w:tc>
      <w:tc>
        <w:tcPr>
          <w:tcW w:w="5089" w:type="dxa"/>
        </w:tcPr>
        <w:p w:rsidR="00F41095" w:rsidRDefault="00F41095" w:rsidP="00F41095">
          <w:pPr>
            <w:pStyle w:val="Footer"/>
            <w:spacing w:line="240" w:lineRule="atLeast"/>
            <w:jc w:val="right"/>
            <w:rPr>
              <w:b w:val="0"/>
              <w:sz w:val="20"/>
            </w:rPr>
          </w:pPr>
          <w:r>
            <w:rPr>
              <w:b w:val="0"/>
              <w:noProof/>
              <w:sz w:val="20"/>
              <w:lang w:val="en-GB" w:eastAsia="en-GB"/>
            </w:rPr>
            <w:drawing>
              <wp:inline distT="0" distB="0" distL="0" distR="0" wp14:anchorId="757495D6" wp14:editId="14A522F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41095" w:rsidRPr="00F41095" w:rsidRDefault="00F41095" w:rsidP="00F4109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D3" w:rsidRPr="001B7248" w:rsidRDefault="001B7248" w:rsidP="001B7248">
      <w:pPr>
        <w:pStyle w:val="Footer"/>
        <w:spacing w:after="80"/>
        <w:ind w:left="792"/>
        <w:rPr>
          <w:sz w:val="16"/>
        </w:rPr>
      </w:pPr>
      <w:r w:rsidRPr="001B7248">
        <w:rPr>
          <w:sz w:val="16"/>
        </w:rPr>
        <w:t>__________________</w:t>
      </w:r>
    </w:p>
  </w:footnote>
  <w:footnote w:type="continuationSeparator" w:id="0">
    <w:p w:rsidR="006E32D3" w:rsidRPr="001B7248" w:rsidRDefault="001B7248" w:rsidP="001B7248">
      <w:pPr>
        <w:pStyle w:val="Footer"/>
        <w:spacing w:after="80"/>
        <w:ind w:left="792"/>
        <w:rPr>
          <w:sz w:val="16"/>
        </w:rPr>
      </w:pPr>
      <w:r w:rsidRPr="001B7248">
        <w:rPr>
          <w:sz w:val="16"/>
        </w:rPr>
        <w:t>__________________</w:t>
      </w:r>
    </w:p>
  </w:footnote>
  <w:footnote w:id="1">
    <w:p w:rsidR="001B7248" w:rsidRPr="001B7248" w:rsidRDefault="001B7248" w:rsidP="001B7248">
      <w:pPr>
        <w:pStyle w:val="FootnoteText"/>
        <w:tabs>
          <w:tab w:val="right" w:pos="1195"/>
          <w:tab w:val="left" w:pos="1267"/>
          <w:tab w:val="left" w:pos="1742"/>
          <w:tab w:val="left" w:pos="2218"/>
          <w:tab w:val="left" w:pos="2693"/>
        </w:tabs>
        <w:ind w:left="1267" w:right="1260" w:hanging="432"/>
        <w:rPr>
          <w:spacing w:val="2"/>
        </w:rPr>
      </w:pPr>
      <w:r w:rsidRPr="009C57D3">
        <w:rPr>
          <w:spacing w:val="5"/>
          <w:w w:val="104"/>
          <w:lang w:val="en-GB"/>
        </w:rPr>
        <w:tab/>
      </w:r>
      <w:r w:rsidRPr="009C57D3">
        <w:rPr>
          <w:rStyle w:val="FootnoteReference"/>
          <w:w w:val="104"/>
          <w:vertAlign w:val="baseline"/>
        </w:rPr>
        <w:t>*</w:t>
      </w:r>
      <w:r w:rsidRPr="009C57D3">
        <w:rPr>
          <w:spacing w:val="5"/>
          <w:w w:val="104"/>
        </w:rPr>
        <w:tab/>
      </w:r>
      <w:r w:rsidRPr="001B7248">
        <w:rPr>
          <w:spacing w:val="2"/>
        </w:rPr>
        <w:t>Conformément au programme de travail du Comité des transports intérieurs pour la période 2014</w:t>
      </w:r>
      <w:r>
        <w:rPr>
          <w:spacing w:val="2"/>
        </w:rPr>
        <w:t>-</w:t>
      </w:r>
      <w:r w:rsidRPr="001B7248">
        <w:rPr>
          <w:spacing w:val="2"/>
        </w:rPr>
        <w:t>2018 (ECE/TRANS/240, par.</w:t>
      </w:r>
      <w:r>
        <w:rPr>
          <w:spacing w:val="2"/>
        </w:rPr>
        <w:t> </w:t>
      </w:r>
      <w:r w:rsidRPr="001B7248">
        <w:rPr>
          <w:spacing w:val="2"/>
        </w:rPr>
        <w:t>105, et ECE/TRANS/2014/26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F41095" w:rsidTr="00F41095">
      <w:trPr>
        <w:trHeight w:hRule="exact" w:val="864"/>
        <w:jc w:val="center"/>
      </w:trPr>
      <w:tc>
        <w:tcPr>
          <w:tcW w:w="4882" w:type="dxa"/>
          <w:shd w:val="clear" w:color="auto" w:fill="auto"/>
          <w:vAlign w:val="bottom"/>
        </w:tcPr>
        <w:p w:rsidR="00F41095" w:rsidRPr="00F41095" w:rsidRDefault="00F41095" w:rsidP="00F4109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2B4A">
            <w:rPr>
              <w:b/>
              <w:color w:val="000000"/>
            </w:rPr>
            <w:t>ECE/TRANS/WP.29/2016/11</w:t>
          </w:r>
          <w:r>
            <w:rPr>
              <w:b/>
              <w:color w:val="000000"/>
            </w:rPr>
            <w:fldChar w:fldCharType="end"/>
          </w:r>
        </w:p>
      </w:tc>
      <w:tc>
        <w:tcPr>
          <w:tcW w:w="5089" w:type="dxa"/>
          <w:shd w:val="clear" w:color="auto" w:fill="auto"/>
          <w:vAlign w:val="bottom"/>
        </w:tcPr>
        <w:p w:rsidR="00F41095" w:rsidRDefault="00F41095" w:rsidP="00F41095">
          <w:pPr>
            <w:pStyle w:val="Header"/>
          </w:pPr>
        </w:p>
      </w:tc>
    </w:tr>
  </w:tbl>
  <w:p w:rsidR="00F41095" w:rsidRPr="00F41095" w:rsidRDefault="00F41095" w:rsidP="00F4109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F41095" w:rsidTr="00F41095">
      <w:trPr>
        <w:trHeight w:hRule="exact" w:val="864"/>
        <w:jc w:val="center"/>
      </w:trPr>
      <w:tc>
        <w:tcPr>
          <w:tcW w:w="4882" w:type="dxa"/>
          <w:shd w:val="clear" w:color="auto" w:fill="auto"/>
          <w:vAlign w:val="bottom"/>
        </w:tcPr>
        <w:p w:rsidR="00F41095" w:rsidRDefault="00F41095" w:rsidP="00F41095">
          <w:pPr>
            <w:pStyle w:val="Header"/>
          </w:pPr>
        </w:p>
      </w:tc>
      <w:tc>
        <w:tcPr>
          <w:tcW w:w="5089" w:type="dxa"/>
          <w:shd w:val="clear" w:color="auto" w:fill="auto"/>
          <w:vAlign w:val="bottom"/>
        </w:tcPr>
        <w:p w:rsidR="00F41095" w:rsidRPr="00F41095" w:rsidRDefault="00F41095" w:rsidP="00F4109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2B4A">
            <w:rPr>
              <w:b/>
              <w:color w:val="000000"/>
            </w:rPr>
            <w:t>ECE/TRANS/WP.29/2016/11</w:t>
          </w:r>
          <w:r>
            <w:rPr>
              <w:b/>
              <w:color w:val="000000"/>
            </w:rPr>
            <w:fldChar w:fldCharType="end"/>
          </w:r>
        </w:p>
      </w:tc>
    </w:tr>
  </w:tbl>
  <w:p w:rsidR="00F41095" w:rsidRPr="00F41095" w:rsidRDefault="00F41095" w:rsidP="00F4109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41095" w:rsidRPr="001B7248" w:rsidTr="00F41095">
      <w:trPr>
        <w:trHeight w:hRule="exact" w:val="864"/>
      </w:trPr>
      <w:tc>
        <w:tcPr>
          <w:tcW w:w="1267" w:type="dxa"/>
          <w:tcBorders>
            <w:bottom w:val="single" w:sz="4" w:space="0" w:color="auto"/>
          </w:tcBorders>
          <w:shd w:val="clear" w:color="auto" w:fill="auto"/>
          <w:vAlign w:val="bottom"/>
        </w:tcPr>
        <w:p w:rsidR="00F41095" w:rsidRPr="001B7248" w:rsidRDefault="00F41095" w:rsidP="00F41095">
          <w:pPr>
            <w:pStyle w:val="Header"/>
            <w:spacing w:after="120"/>
            <w:rPr>
              <w:lang w:val="fr-CH"/>
            </w:rPr>
          </w:pPr>
        </w:p>
      </w:tc>
      <w:tc>
        <w:tcPr>
          <w:tcW w:w="2059" w:type="dxa"/>
          <w:tcBorders>
            <w:bottom w:val="single" w:sz="4" w:space="0" w:color="auto"/>
          </w:tcBorders>
          <w:shd w:val="clear" w:color="auto" w:fill="auto"/>
          <w:vAlign w:val="bottom"/>
        </w:tcPr>
        <w:p w:rsidR="00F41095" w:rsidRPr="001B7248" w:rsidRDefault="00F41095" w:rsidP="00F41095">
          <w:pPr>
            <w:pStyle w:val="HCH"/>
            <w:spacing w:after="80"/>
            <w:rPr>
              <w:b w:val="0"/>
              <w:color w:val="010000"/>
              <w:spacing w:val="2"/>
              <w:w w:val="96"/>
              <w:lang w:val="fr-CH"/>
            </w:rPr>
          </w:pPr>
          <w:r w:rsidRPr="001B7248">
            <w:rPr>
              <w:b w:val="0"/>
              <w:color w:val="010000"/>
              <w:spacing w:val="2"/>
              <w:w w:val="96"/>
              <w:lang w:val="fr-CH"/>
            </w:rPr>
            <w:t>Nations Unies</w:t>
          </w:r>
        </w:p>
      </w:tc>
      <w:tc>
        <w:tcPr>
          <w:tcW w:w="58" w:type="dxa"/>
          <w:tcBorders>
            <w:bottom w:val="single" w:sz="4" w:space="0" w:color="auto"/>
          </w:tcBorders>
          <w:shd w:val="clear" w:color="auto" w:fill="auto"/>
          <w:vAlign w:val="bottom"/>
        </w:tcPr>
        <w:p w:rsidR="00F41095" w:rsidRPr="001B7248" w:rsidRDefault="00F41095" w:rsidP="00F41095">
          <w:pPr>
            <w:pStyle w:val="Header"/>
            <w:spacing w:after="120"/>
            <w:rPr>
              <w:lang w:val="fr-CH"/>
            </w:rPr>
          </w:pPr>
        </w:p>
      </w:tc>
      <w:tc>
        <w:tcPr>
          <w:tcW w:w="6653" w:type="dxa"/>
          <w:gridSpan w:val="4"/>
          <w:tcBorders>
            <w:bottom w:val="single" w:sz="4" w:space="0" w:color="auto"/>
          </w:tcBorders>
          <w:shd w:val="clear" w:color="auto" w:fill="auto"/>
          <w:vAlign w:val="bottom"/>
        </w:tcPr>
        <w:p w:rsidR="00F41095" w:rsidRPr="001B7248" w:rsidRDefault="00F41095" w:rsidP="00F41095">
          <w:pPr>
            <w:spacing w:after="80" w:line="240" w:lineRule="auto"/>
            <w:jc w:val="right"/>
            <w:rPr>
              <w:position w:val="-4"/>
              <w:lang w:val="fr-CH"/>
            </w:rPr>
          </w:pPr>
          <w:r w:rsidRPr="001B7248">
            <w:rPr>
              <w:position w:val="-4"/>
              <w:sz w:val="40"/>
              <w:lang w:val="fr-CH"/>
            </w:rPr>
            <w:t>ECE</w:t>
          </w:r>
          <w:r w:rsidRPr="001B7248">
            <w:rPr>
              <w:position w:val="-4"/>
              <w:lang w:val="fr-CH"/>
            </w:rPr>
            <w:t>/TRANS/WP.29/2016/11</w:t>
          </w:r>
        </w:p>
      </w:tc>
    </w:tr>
    <w:tr w:rsidR="00F41095" w:rsidRPr="001B7248" w:rsidTr="00F41095">
      <w:trPr>
        <w:gridAfter w:val="1"/>
        <w:wAfter w:w="18" w:type="dxa"/>
        <w:trHeight w:hRule="exact" w:val="2880"/>
      </w:trPr>
      <w:tc>
        <w:tcPr>
          <w:tcW w:w="1267" w:type="dxa"/>
          <w:tcBorders>
            <w:top w:val="single" w:sz="4" w:space="0" w:color="auto"/>
            <w:bottom w:val="single" w:sz="12" w:space="0" w:color="auto"/>
          </w:tcBorders>
          <w:shd w:val="clear" w:color="auto" w:fill="auto"/>
        </w:tcPr>
        <w:p w:rsidR="00F41095" w:rsidRPr="001B7248" w:rsidRDefault="00F41095" w:rsidP="00F41095">
          <w:pPr>
            <w:pStyle w:val="Header"/>
            <w:spacing w:before="120" w:line="240" w:lineRule="auto"/>
            <w:ind w:left="-72"/>
            <w:jc w:val="center"/>
            <w:rPr>
              <w:lang w:val="fr-CH"/>
            </w:rPr>
          </w:pPr>
          <w:r w:rsidRPr="001B7248">
            <w:rPr>
              <w:lang w:val="fr-CH"/>
            </w:rPr>
            <w:t xml:space="preserve">  </w:t>
          </w:r>
          <w:r w:rsidRPr="001B7248">
            <w:rPr>
              <w:noProof/>
              <w:lang w:val="en-GB" w:eastAsia="en-GB"/>
            </w:rPr>
            <w:drawing>
              <wp:inline distT="0" distB="0" distL="0" distR="0" wp14:anchorId="28224CFA" wp14:editId="46EFE98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41095" w:rsidRPr="001B7248" w:rsidRDefault="00F41095" w:rsidP="00F41095">
          <w:pPr>
            <w:pStyle w:val="XLarge"/>
            <w:spacing w:before="109"/>
            <w:rPr>
              <w:lang w:val="fr-CH"/>
            </w:rPr>
          </w:pPr>
          <w:r w:rsidRPr="001B7248">
            <w:rPr>
              <w:lang w:val="fr-CH"/>
            </w:rPr>
            <w:t>Conseil économique et social</w:t>
          </w:r>
        </w:p>
      </w:tc>
      <w:tc>
        <w:tcPr>
          <w:tcW w:w="245" w:type="dxa"/>
          <w:tcBorders>
            <w:top w:val="single" w:sz="4" w:space="0" w:color="auto"/>
            <w:bottom w:val="single" w:sz="12" w:space="0" w:color="auto"/>
          </w:tcBorders>
          <w:shd w:val="clear" w:color="auto" w:fill="auto"/>
        </w:tcPr>
        <w:p w:rsidR="00F41095" w:rsidRPr="001B7248" w:rsidRDefault="00F41095" w:rsidP="00F41095">
          <w:pPr>
            <w:pStyle w:val="Header"/>
            <w:spacing w:before="109"/>
            <w:rPr>
              <w:lang w:val="fr-CH"/>
            </w:rPr>
          </w:pPr>
        </w:p>
      </w:tc>
      <w:tc>
        <w:tcPr>
          <w:tcW w:w="3280" w:type="dxa"/>
          <w:tcBorders>
            <w:top w:val="single" w:sz="4" w:space="0" w:color="auto"/>
            <w:bottom w:val="single" w:sz="12" w:space="0" w:color="auto"/>
          </w:tcBorders>
          <w:shd w:val="clear" w:color="auto" w:fill="auto"/>
        </w:tcPr>
        <w:p w:rsidR="00F41095" w:rsidRPr="001B7248" w:rsidRDefault="00F41095" w:rsidP="00F41095">
          <w:pPr>
            <w:pStyle w:val="Distribution"/>
            <w:rPr>
              <w:color w:val="000000"/>
              <w:lang w:val="fr-CH"/>
            </w:rPr>
          </w:pPr>
          <w:proofErr w:type="spellStart"/>
          <w:r w:rsidRPr="001B7248">
            <w:rPr>
              <w:color w:val="000000"/>
              <w:lang w:val="fr-CH"/>
            </w:rPr>
            <w:t>Distr</w:t>
          </w:r>
          <w:proofErr w:type="spellEnd"/>
          <w:r w:rsidRPr="001B7248">
            <w:rPr>
              <w:color w:val="000000"/>
              <w:lang w:val="fr-CH"/>
            </w:rPr>
            <w:t>. générale</w:t>
          </w:r>
        </w:p>
        <w:p w:rsidR="00F41095" w:rsidRPr="001B7248" w:rsidRDefault="00F41095" w:rsidP="00F41095">
          <w:pPr>
            <w:pStyle w:val="Publication"/>
            <w:rPr>
              <w:color w:val="000000"/>
              <w:lang w:val="fr-CH"/>
            </w:rPr>
          </w:pPr>
          <w:r w:rsidRPr="001B7248">
            <w:rPr>
              <w:color w:val="000000"/>
              <w:lang w:val="fr-CH"/>
            </w:rPr>
            <w:t>23 décembre 2015</w:t>
          </w:r>
        </w:p>
        <w:p w:rsidR="00F41095" w:rsidRPr="001B7248" w:rsidRDefault="00F41095" w:rsidP="00F41095">
          <w:pPr>
            <w:rPr>
              <w:lang w:val="fr-CH"/>
            </w:rPr>
          </w:pPr>
          <w:r w:rsidRPr="001B7248">
            <w:rPr>
              <w:lang w:val="fr-CH"/>
            </w:rPr>
            <w:t>Français</w:t>
          </w:r>
        </w:p>
        <w:p w:rsidR="00F41095" w:rsidRPr="001B7248" w:rsidRDefault="00F41095" w:rsidP="00F41095">
          <w:pPr>
            <w:pStyle w:val="Original"/>
            <w:rPr>
              <w:color w:val="000000"/>
              <w:lang w:val="fr-CH"/>
            </w:rPr>
          </w:pPr>
          <w:r w:rsidRPr="001B7248">
            <w:rPr>
              <w:color w:val="000000"/>
              <w:lang w:val="fr-CH"/>
            </w:rPr>
            <w:t>Original : anglais</w:t>
          </w:r>
        </w:p>
      </w:tc>
    </w:tr>
  </w:tbl>
  <w:p w:rsidR="00F41095" w:rsidRPr="001B7248" w:rsidRDefault="00F41095" w:rsidP="00F41095">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91*"/>
    <w:docVar w:name="CreationDt" w:val="2/12/2016 5:02: PM"/>
    <w:docVar w:name="DocCategory" w:val="Doc"/>
    <w:docVar w:name="DocType" w:val="Final"/>
    <w:docVar w:name="DutyStation" w:val="Geneva"/>
    <w:docVar w:name="FooterJN" w:val="GE.15-22791"/>
    <w:docVar w:name="jobn" w:val="GE.15-22791 (F)"/>
    <w:docVar w:name="jobnDT" w:val="GE.15-22791 (F)   120216"/>
    <w:docVar w:name="jobnDTDT" w:val="GE.15-22791 (F)   120216   120216"/>
    <w:docVar w:name="JobNo" w:val="GE.1522791F"/>
    <w:docVar w:name="JobNo2" w:val="GE.1522149F"/>
    <w:docVar w:name="LocalDrive" w:val="0"/>
    <w:docVar w:name="OandT" w:val="N.Morin"/>
    <w:docVar w:name="PaperSize" w:val="A4"/>
    <w:docVar w:name="sss1" w:val="ECE/TRANS/WP.29/2016/11"/>
    <w:docVar w:name="sss2" w:val="-"/>
    <w:docVar w:name="Symbol1" w:val="ECE/TRANS/WP.29/2016/11"/>
    <w:docVar w:name="Symbol2" w:val="-"/>
  </w:docVars>
  <w:rsids>
    <w:rsidRoot w:val="006E32D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B7248"/>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2B9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1E1"/>
    <w:rsid w:val="00477592"/>
    <w:rsid w:val="004814BB"/>
    <w:rsid w:val="00481634"/>
    <w:rsid w:val="00487428"/>
    <w:rsid w:val="00491CD5"/>
    <w:rsid w:val="00492510"/>
    <w:rsid w:val="00492DC3"/>
    <w:rsid w:val="004973EC"/>
    <w:rsid w:val="004A0AA6"/>
    <w:rsid w:val="004A11B1"/>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4D91"/>
    <w:rsid w:val="00575199"/>
    <w:rsid w:val="005770F6"/>
    <w:rsid w:val="00577899"/>
    <w:rsid w:val="00577BDD"/>
    <w:rsid w:val="005811A3"/>
    <w:rsid w:val="00583566"/>
    <w:rsid w:val="00584E7A"/>
    <w:rsid w:val="00585CA8"/>
    <w:rsid w:val="00585DEA"/>
    <w:rsid w:val="00587345"/>
    <w:rsid w:val="0058795C"/>
    <w:rsid w:val="00590A88"/>
    <w:rsid w:val="00591AA0"/>
    <w:rsid w:val="00592B4A"/>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2D3"/>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4321"/>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A535A"/>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1095"/>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41095"/>
    <w:rPr>
      <w:sz w:val="16"/>
      <w:szCs w:val="16"/>
    </w:rPr>
  </w:style>
  <w:style w:type="paragraph" w:styleId="CommentText">
    <w:name w:val="annotation text"/>
    <w:basedOn w:val="Normal"/>
    <w:link w:val="CommentTextChar"/>
    <w:uiPriority w:val="99"/>
    <w:semiHidden/>
    <w:unhideWhenUsed/>
    <w:rsid w:val="00F41095"/>
    <w:pPr>
      <w:spacing w:line="240" w:lineRule="auto"/>
    </w:pPr>
    <w:rPr>
      <w:szCs w:val="20"/>
    </w:rPr>
  </w:style>
  <w:style w:type="character" w:customStyle="1" w:styleId="CommentTextChar">
    <w:name w:val="Comment Text Char"/>
    <w:basedOn w:val="DefaultParagraphFont"/>
    <w:link w:val="CommentText"/>
    <w:uiPriority w:val="99"/>
    <w:semiHidden/>
    <w:rsid w:val="00F4109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41095"/>
    <w:rPr>
      <w:b/>
      <w:bCs/>
    </w:rPr>
  </w:style>
  <w:style w:type="character" w:customStyle="1" w:styleId="CommentSubjectChar">
    <w:name w:val="Comment Subject Char"/>
    <w:basedOn w:val="CommentTextChar"/>
    <w:link w:val="CommentSubject"/>
    <w:uiPriority w:val="99"/>
    <w:semiHidden/>
    <w:rsid w:val="00F4109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41095"/>
    <w:rPr>
      <w:sz w:val="16"/>
      <w:szCs w:val="16"/>
    </w:rPr>
  </w:style>
  <w:style w:type="paragraph" w:styleId="CommentText">
    <w:name w:val="annotation text"/>
    <w:basedOn w:val="Normal"/>
    <w:link w:val="CommentTextChar"/>
    <w:uiPriority w:val="99"/>
    <w:semiHidden/>
    <w:unhideWhenUsed/>
    <w:rsid w:val="00F41095"/>
    <w:pPr>
      <w:spacing w:line="240" w:lineRule="auto"/>
    </w:pPr>
    <w:rPr>
      <w:szCs w:val="20"/>
    </w:rPr>
  </w:style>
  <w:style w:type="character" w:customStyle="1" w:styleId="CommentTextChar">
    <w:name w:val="Comment Text Char"/>
    <w:basedOn w:val="DefaultParagraphFont"/>
    <w:link w:val="CommentText"/>
    <w:uiPriority w:val="99"/>
    <w:semiHidden/>
    <w:rsid w:val="00F4109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41095"/>
    <w:rPr>
      <w:b/>
      <w:bCs/>
    </w:rPr>
  </w:style>
  <w:style w:type="character" w:customStyle="1" w:styleId="CommentSubjectChar">
    <w:name w:val="Comment Subject Char"/>
    <w:basedOn w:val="CommentTextChar"/>
    <w:link w:val="CommentSubject"/>
    <w:uiPriority w:val="99"/>
    <w:semiHidden/>
    <w:rsid w:val="00F4109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7087-A382-467A-82D5-2229E550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3</cp:revision>
  <cp:lastPrinted>2016-02-12T16:19:00Z</cp:lastPrinted>
  <dcterms:created xsi:type="dcterms:W3CDTF">2016-02-15T10:28:00Z</dcterms:created>
  <dcterms:modified xsi:type="dcterms:W3CDTF">2016-02-15T10:29:00Z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1522791F</vt:lpwstr>
  </property>
  <property fmtid="{D5CDD505-2E9C-101B-9397-08002B2CF9AE}" pid="3" name="ODSRefJobNo">
    <vt:lpwstr>1522149F</vt:lpwstr>
  </property>
  <property fmtid="{D5CDD505-2E9C-101B-9397-08002B2CF9AE}" pid="4" name="Symbol1">
    <vt:lpwstr>ECE/TRANS/WP.29/2016/11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120216</vt:lpwstr>
  </property>
</Properties>
</file>