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07414" w:rsidTr="007F20FA">
        <w:trPr>
          <w:trHeight w:hRule="exact" w:val="851"/>
        </w:trPr>
        <w:tc>
          <w:tcPr>
            <w:tcW w:w="1276" w:type="dxa"/>
            <w:tcBorders>
              <w:bottom w:val="single" w:sz="4" w:space="0" w:color="auto"/>
            </w:tcBorders>
          </w:tcPr>
          <w:p w:rsidR="00F35BAF" w:rsidRPr="00207414" w:rsidRDefault="00F35BAF" w:rsidP="00931B8C">
            <w:bookmarkStart w:id="0" w:name="_GoBack"/>
            <w:bookmarkEnd w:id="0"/>
          </w:p>
        </w:tc>
        <w:tc>
          <w:tcPr>
            <w:tcW w:w="2268" w:type="dxa"/>
            <w:tcBorders>
              <w:bottom w:val="single" w:sz="4" w:space="0" w:color="auto"/>
            </w:tcBorders>
            <w:vAlign w:val="bottom"/>
          </w:tcPr>
          <w:p w:rsidR="00F35BAF" w:rsidRPr="00207414" w:rsidRDefault="00F35BAF" w:rsidP="00892A2F">
            <w:pPr>
              <w:spacing w:after="80" w:line="300" w:lineRule="exact"/>
              <w:rPr>
                <w:sz w:val="28"/>
              </w:rPr>
            </w:pPr>
            <w:r w:rsidRPr="00207414">
              <w:rPr>
                <w:sz w:val="28"/>
              </w:rPr>
              <w:t>Nations Unies</w:t>
            </w:r>
          </w:p>
        </w:tc>
        <w:tc>
          <w:tcPr>
            <w:tcW w:w="6095" w:type="dxa"/>
            <w:gridSpan w:val="2"/>
            <w:tcBorders>
              <w:bottom w:val="single" w:sz="4" w:space="0" w:color="auto"/>
            </w:tcBorders>
            <w:vAlign w:val="bottom"/>
          </w:tcPr>
          <w:p w:rsidR="00F35BAF" w:rsidRPr="00207414" w:rsidRDefault="00931B8C" w:rsidP="00931B8C">
            <w:pPr>
              <w:jc w:val="right"/>
            </w:pPr>
            <w:r w:rsidRPr="00207414">
              <w:rPr>
                <w:sz w:val="40"/>
              </w:rPr>
              <w:t>ECE</w:t>
            </w:r>
            <w:r w:rsidRPr="00207414">
              <w:t>/TRANS/WP.29/2016/37</w:t>
            </w:r>
          </w:p>
        </w:tc>
      </w:tr>
      <w:tr w:rsidR="00F35BAF" w:rsidRPr="00207414" w:rsidTr="00892A2F">
        <w:trPr>
          <w:trHeight w:hRule="exact" w:val="2835"/>
        </w:trPr>
        <w:tc>
          <w:tcPr>
            <w:tcW w:w="1276" w:type="dxa"/>
            <w:tcBorders>
              <w:top w:val="single" w:sz="4" w:space="0" w:color="auto"/>
              <w:bottom w:val="single" w:sz="12" w:space="0" w:color="auto"/>
            </w:tcBorders>
          </w:tcPr>
          <w:p w:rsidR="00F35BAF" w:rsidRPr="00207414" w:rsidRDefault="00F35BAF" w:rsidP="00892A2F">
            <w:pPr>
              <w:spacing w:before="120"/>
              <w:jc w:val="center"/>
            </w:pPr>
            <w:r w:rsidRPr="00207414">
              <w:rPr>
                <w:noProof/>
                <w:lang w:val="en-GB" w:eastAsia="en-GB"/>
              </w:rPr>
              <w:drawing>
                <wp:inline distT="0" distB="0" distL="0" distR="0" wp14:anchorId="77C425A2" wp14:editId="3AE4A7C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207414" w:rsidRDefault="00F35BAF" w:rsidP="00892A2F">
            <w:pPr>
              <w:spacing w:before="120" w:line="420" w:lineRule="exact"/>
              <w:rPr>
                <w:b/>
                <w:sz w:val="40"/>
                <w:szCs w:val="40"/>
              </w:rPr>
            </w:pPr>
            <w:r w:rsidRPr="00207414">
              <w:rPr>
                <w:b/>
                <w:sz w:val="40"/>
                <w:szCs w:val="40"/>
              </w:rPr>
              <w:t>Conseil économique et social</w:t>
            </w:r>
          </w:p>
        </w:tc>
        <w:tc>
          <w:tcPr>
            <w:tcW w:w="2835" w:type="dxa"/>
            <w:tcBorders>
              <w:top w:val="single" w:sz="4" w:space="0" w:color="auto"/>
              <w:bottom w:val="single" w:sz="12" w:space="0" w:color="auto"/>
            </w:tcBorders>
          </w:tcPr>
          <w:p w:rsidR="00F35BAF" w:rsidRPr="00207414" w:rsidRDefault="00931B8C" w:rsidP="00892A2F">
            <w:pPr>
              <w:spacing w:before="240"/>
            </w:pPr>
            <w:r w:rsidRPr="00207414">
              <w:t>Distr. générale</w:t>
            </w:r>
          </w:p>
          <w:p w:rsidR="00931B8C" w:rsidRPr="00207414" w:rsidRDefault="00931B8C" w:rsidP="00931B8C">
            <w:pPr>
              <w:spacing w:line="240" w:lineRule="exact"/>
            </w:pPr>
            <w:r w:rsidRPr="00207414">
              <w:t>11 avril 2016</w:t>
            </w:r>
          </w:p>
          <w:p w:rsidR="00931B8C" w:rsidRPr="00207414" w:rsidRDefault="00931B8C" w:rsidP="00931B8C">
            <w:pPr>
              <w:spacing w:line="240" w:lineRule="exact"/>
            </w:pPr>
            <w:r w:rsidRPr="00207414">
              <w:t>Français</w:t>
            </w:r>
          </w:p>
          <w:p w:rsidR="00931B8C" w:rsidRPr="00207414" w:rsidRDefault="00931B8C" w:rsidP="00931B8C">
            <w:pPr>
              <w:spacing w:line="240" w:lineRule="exact"/>
            </w:pPr>
            <w:r w:rsidRPr="00207414">
              <w:t>Original : anglais</w:t>
            </w:r>
          </w:p>
        </w:tc>
      </w:tr>
    </w:tbl>
    <w:p w:rsidR="007F20FA" w:rsidRPr="00207414" w:rsidRDefault="007F20FA" w:rsidP="007F20FA">
      <w:pPr>
        <w:spacing w:before="120"/>
        <w:rPr>
          <w:b/>
          <w:sz w:val="28"/>
          <w:szCs w:val="28"/>
        </w:rPr>
      </w:pPr>
      <w:r w:rsidRPr="00207414">
        <w:rPr>
          <w:b/>
          <w:sz w:val="28"/>
          <w:szCs w:val="28"/>
        </w:rPr>
        <w:t>Commission économique pour l</w:t>
      </w:r>
      <w:r w:rsidR="00931B8C" w:rsidRPr="00207414">
        <w:rPr>
          <w:b/>
          <w:sz w:val="28"/>
          <w:szCs w:val="28"/>
        </w:rPr>
        <w:t>’</w:t>
      </w:r>
      <w:r w:rsidRPr="00207414">
        <w:rPr>
          <w:b/>
          <w:sz w:val="28"/>
          <w:szCs w:val="28"/>
        </w:rPr>
        <w:t>Europe</w:t>
      </w:r>
    </w:p>
    <w:p w:rsidR="007F20FA" w:rsidRPr="00207414" w:rsidRDefault="007F20FA" w:rsidP="007F20FA">
      <w:pPr>
        <w:spacing w:before="120"/>
        <w:rPr>
          <w:sz w:val="28"/>
          <w:szCs w:val="28"/>
        </w:rPr>
      </w:pPr>
      <w:r w:rsidRPr="00207414">
        <w:rPr>
          <w:sz w:val="28"/>
          <w:szCs w:val="28"/>
        </w:rPr>
        <w:t>Comité des transports intérieurs</w:t>
      </w:r>
    </w:p>
    <w:p w:rsidR="00931B8C" w:rsidRPr="00207414" w:rsidRDefault="00931B8C" w:rsidP="00931B8C">
      <w:pPr>
        <w:spacing w:before="120"/>
        <w:rPr>
          <w:b/>
          <w:sz w:val="24"/>
          <w:szCs w:val="24"/>
        </w:rPr>
      </w:pPr>
      <w:r w:rsidRPr="00207414">
        <w:rPr>
          <w:b/>
          <w:sz w:val="24"/>
          <w:szCs w:val="24"/>
        </w:rPr>
        <w:t xml:space="preserve">Forum mondial de l’harmonisation </w:t>
      </w:r>
      <w:r w:rsidRPr="00207414">
        <w:rPr>
          <w:b/>
          <w:sz w:val="24"/>
          <w:szCs w:val="24"/>
        </w:rPr>
        <w:br/>
        <w:t>des Règlements concernant les véhicules</w:t>
      </w:r>
    </w:p>
    <w:p w:rsidR="00931B8C" w:rsidRPr="00207414" w:rsidRDefault="00931B8C" w:rsidP="00931B8C">
      <w:pPr>
        <w:spacing w:before="120"/>
        <w:rPr>
          <w:b/>
        </w:rPr>
      </w:pPr>
      <w:r w:rsidRPr="00207414">
        <w:rPr>
          <w:b/>
        </w:rPr>
        <w:t>169</w:t>
      </w:r>
      <w:r w:rsidRPr="00207414">
        <w:rPr>
          <w:b/>
          <w:vertAlign w:val="superscript"/>
        </w:rPr>
        <w:t>e</w:t>
      </w:r>
      <w:r w:rsidRPr="00207414">
        <w:rPr>
          <w:b/>
        </w:rPr>
        <w:t xml:space="preserve"> session</w:t>
      </w:r>
    </w:p>
    <w:p w:rsidR="00931B8C" w:rsidRPr="00207414" w:rsidRDefault="00931B8C" w:rsidP="00931B8C">
      <w:r w:rsidRPr="00207414">
        <w:t>Genève, 21-24 juin 2016</w:t>
      </w:r>
    </w:p>
    <w:p w:rsidR="00931B8C" w:rsidRPr="00207414" w:rsidRDefault="00931B8C" w:rsidP="00931B8C">
      <w:r w:rsidRPr="00207414">
        <w:rPr>
          <w:bCs/>
        </w:rPr>
        <w:t>Point </w:t>
      </w:r>
      <w:r w:rsidRPr="00207414">
        <w:t xml:space="preserve"> 4.6.5 </w:t>
      </w:r>
      <w:r w:rsidRPr="00207414">
        <w:rPr>
          <w:bCs/>
        </w:rPr>
        <w:t>de l’ordre du jour provisoire</w:t>
      </w:r>
    </w:p>
    <w:p w:rsidR="00931B8C" w:rsidRPr="00207414" w:rsidRDefault="00931B8C" w:rsidP="00931B8C">
      <w:pPr>
        <w:rPr>
          <w:b/>
        </w:rPr>
      </w:pPr>
      <w:r w:rsidRPr="00207414">
        <w:rPr>
          <w:b/>
        </w:rPr>
        <w:t xml:space="preserve">Accord de 1958 – Examen de projets d’amendements </w:t>
      </w:r>
      <w:r w:rsidRPr="00207414">
        <w:rPr>
          <w:b/>
        </w:rPr>
        <w:br/>
        <w:t>à des Règlements existants, proposés par le GRSP</w:t>
      </w:r>
    </w:p>
    <w:p w:rsidR="00931B8C" w:rsidRPr="00207414" w:rsidRDefault="00931B8C" w:rsidP="00931B8C">
      <w:pPr>
        <w:pStyle w:val="HChG"/>
      </w:pPr>
      <w:r w:rsidRPr="00207414">
        <w:tab/>
      </w:r>
      <w:r w:rsidRPr="00207414">
        <w:tab/>
        <w:t xml:space="preserve">Proposition de complément 11 à la série 04 d’amendements </w:t>
      </w:r>
      <w:r w:rsidRPr="00207414">
        <w:br/>
        <w:t>au Règlement n</w:t>
      </w:r>
      <w:r w:rsidRPr="00207414">
        <w:rPr>
          <w:vertAlign w:val="superscript"/>
        </w:rPr>
        <w:t>o</w:t>
      </w:r>
      <w:r w:rsidRPr="00207414">
        <w:t> 44 (Dispositifs de retenue pour enfants)</w:t>
      </w:r>
    </w:p>
    <w:p w:rsidR="00931B8C" w:rsidRPr="00207414" w:rsidRDefault="00931B8C" w:rsidP="00931B8C">
      <w:pPr>
        <w:pStyle w:val="H1G"/>
      </w:pPr>
      <w:r w:rsidRPr="00207414">
        <w:tab/>
      </w:r>
      <w:r w:rsidRPr="00207414">
        <w:tab/>
        <w:t>Communication du Groupe de travail de la sécurité passive</w:t>
      </w:r>
      <w:r w:rsidRPr="00207414">
        <w:rPr>
          <w:rStyle w:val="FootnoteReference"/>
          <w:b w:val="0"/>
          <w:sz w:val="20"/>
          <w:vertAlign w:val="baseline"/>
        </w:rPr>
        <w:footnoteReference w:customMarkFollows="1" w:id="2"/>
        <w:t>*</w:t>
      </w:r>
    </w:p>
    <w:p w:rsidR="00931B8C" w:rsidRPr="00207414" w:rsidRDefault="00931B8C" w:rsidP="00931B8C">
      <w:pPr>
        <w:pStyle w:val="SingleTxtG"/>
        <w:ind w:firstLine="567"/>
        <w:rPr>
          <w:lang w:eastAsia="ja-JP"/>
        </w:rPr>
      </w:pPr>
      <w:r w:rsidRPr="00207414">
        <w:t>Le texte ci-après a été adopté par le Groupe de travail de la sécurité passive (GRSP) à sa cinquante-huitième session (ECE/TRANS/WP.29/GRSP/58, par. 33 et 34</w:t>
      </w:r>
      <w:r w:rsidRPr="00207414">
        <w:rPr>
          <w:bCs/>
        </w:rPr>
        <w:t>)</w:t>
      </w:r>
      <w:r w:rsidRPr="00207414">
        <w:rPr>
          <w:lang w:eastAsia="it-IT"/>
        </w:rPr>
        <w:t xml:space="preserve">. </w:t>
      </w:r>
      <w:r w:rsidRPr="00207414">
        <w:t>Il a été établi sur la base des documents</w:t>
      </w:r>
      <w:r w:rsidRPr="00207414">
        <w:rPr>
          <w:lang w:eastAsia="ja-JP"/>
        </w:rPr>
        <w:t xml:space="preserve"> </w:t>
      </w:r>
      <w:r w:rsidRPr="00207414">
        <w:t>ECE/TRANS/WP.29/GRSP/2015/32 et ECE/TRANS/</w:t>
      </w:r>
      <w:r w:rsidRPr="00207414">
        <w:br/>
        <w:t>WP.29/GRSP/2015/33, tels que modifiés par l’annexe II au rapport. Il est soumis au Forum mondial de l’harmonisation des Règlements concernant les véhicules (WP.29) et au Comité d’administration (AC.1) pour examen.</w:t>
      </w:r>
    </w:p>
    <w:p w:rsidR="00931B8C" w:rsidRPr="00207414" w:rsidRDefault="00931B8C" w:rsidP="00931B8C">
      <w:pPr>
        <w:pStyle w:val="HChG"/>
      </w:pPr>
      <w:r w:rsidRPr="00207414">
        <w:br w:type="page"/>
      </w:r>
      <w:r w:rsidRPr="00207414">
        <w:lastRenderedPageBreak/>
        <w:tab/>
      </w:r>
      <w:r w:rsidRPr="00207414">
        <w:tab/>
        <w:t xml:space="preserve">Complément 11 à la série 04 d’amendements </w:t>
      </w:r>
      <w:r w:rsidRPr="00207414">
        <w:br/>
        <w:t>au Règlement n</w:t>
      </w:r>
      <w:r w:rsidRPr="00207414">
        <w:rPr>
          <w:vertAlign w:val="superscript"/>
        </w:rPr>
        <w:t>o</w:t>
      </w:r>
      <w:r w:rsidRPr="00207414">
        <w:t> 44 (Dispositifs de retenue pour enfants)</w:t>
      </w:r>
    </w:p>
    <w:p w:rsidR="00931B8C" w:rsidRPr="00207414" w:rsidRDefault="00931B8C" w:rsidP="00931B8C">
      <w:pPr>
        <w:pStyle w:val="SingleTxtG"/>
        <w:ind w:left="2268" w:hanging="1134"/>
      </w:pPr>
      <w:r w:rsidRPr="00207414">
        <w:rPr>
          <w:i/>
        </w:rPr>
        <w:t>Paragraphe 2.8.8</w:t>
      </w:r>
      <w:r w:rsidRPr="00207414">
        <w:rPr>
          <w:iCs/>
        </w:rPr>
        <w:t>, modifier comme suit </w:t>
      </w:r>
      <w:r w:rsidRPr="00207414">
        <w:t>:</w:t>
      </w:r>
    </w:p>
    <w:p w:rsidR="00931B8C" w:rsidRPr="00207414" w:rsidRDefault="00931B8C" w:rsidP="00207414">
      <w:pPr>
        <w:pStyle w:val="SingleTxtG"/>
        <w:ind w:left="2268" w:hanging="1134"/>
      </w:pPr>
      <w:r w:rsidRPr="00207414">
        <w:t>« 2.8.8</w:t>
      </w:r>
      <w:r w:rsidRPr="00207414">
        <w:tab/>
        <w:t>“</w:t>
      </w:r>
      <w:r w:rsidRPr="00207414">
        <w:rPr>
          <w:i/>
          <w:iCs/>
        </w:rPr>
        <w:t>Sangle guide</w:t>
      </w:r>
      <w:r w:rsidRPr="00207414">
        <w:t>”, une sangle ou un dispositif qui agit sur la sangle diagonale de la ceinture de sécurité pour adultes de façon à la placer dans une position convenant à un enfant et qui, à l’endroit précis où la sangle diagonale change de direction, se règle au moyen d’un dispositif mobile coulissant le long de la sangle diagonale, pour venir se placer à la hauteur de l’épaule du porteur et se verrouiller dans cette position. La sangle guide n’est pas prévue pour supporter une partie importante des contraintes au moment du</w:t>
      </w:r>
      <w:r w:rsidR="00207414" w:rsidRPr="00207414">
        <w:t xml:space="preserve"> </w:t>
      </w:r>
      <w:r w:rsidRPr="00207414">
        <w:t>choc. Une sangle guide fait partie intégrante d’un système de retenue pour enfants et ne peut pas faire l’objet d’une homologation distincte en tant que système de retenue pour enfants en vertu du présent Règlement. ».</w:t>
      </w:r>
    </w:p>
    <w:p w:rsidR="00931B8C" w:rsidRPr="00207414" w:rsidRDefault="00931B8C" w:rsidP="00931B8C">
      <w:pPr>
        <w:pStyle w:val="SingleTxtG"/>
        <w:ind w:left="2268" w:hanging="1134"/>
      </w:pPr>
      <w:r w:rsidRPr="00207414">
        <w:rPr>
          <w:i/>
          <w:iCs/>
        </w:rPr>
        <w:t>Ajouter un nouveau paragraphe 4.9</w:t>
      </w:r>
      <w:r w:rsidRPr="00207414">
        <w:t>, ainsi conçu :</w:t>
      </w:r>
    </w:p>
    <w:p w:rsidR="00931B8C" w:rsidRPr="00207414" w:rsidRDefault="00931B8C" w:rsidP="00931B8C">
      <w:pPr>
        <w:pStyle w:val="SingleTxtG"/>
        <w:ind w:left="2268" w:hanging="1134"/>
      </w:pPr>
      <w:r w:rsidRPr="00207414">
        <w:t>« 4.9</w:t>
      </w:r>
      <w:r w:rsidRPr="00207414">
        <w:tab/>
        <w:t>Marquage des coussins d’appoint sans dossier</w:t>
      </w:r>
    </w:p>
    <w:p w:rsidR="00931B8C" w:rsidRPr="00207414" w:rsidRDefault="00931B8C" w:rsidP="00207414">
      <w:pPr>
        <w:pStyle w:val="SingleTxtG"/>
        <w:spacing w:after="240"/>
        <w:ind w:left="2268"/>
      </w:pPr>
      <w:r w:rsidRPr="00207414">
        <w:t>Si le produit est un cous</w:t>
      </w:r>
      <w:r w:rsidR="00207414">
        <w:t>s</w:t>
      </w:r>
      <w:r w:rsidRPr="00207414">
        <w:t xml:space="preserve">in d’appoint </w:t>
      </w:r>
      <w:r w:rsidR="00207414">
        <w:t>s</w:t>
      </w:r>
      <w:r w:rsidRPr="00207414">
        <w:t>ans dossier, il doit porter l’étiquette ci-dessous, qui doit être visible en permanence par la personne installant le dispositif de retenue dans un véhicule, et doit être masqué lorsque le coussin d’appoint est utilisé avec son dossier amovible :</w:t>
      </w:r>
    </w:p>
    <w:p w:rsidR="00931B8C" w:rsidRPr="00207414" w:rsidRDefault="00931B8C" w:rsidP="00931B8C">
      <w:pPr>
        <w:pStyle w:val="SingleTxtG"/>
        <w:ind w:left="2268"/>
      </w:pPr>
      <w:r w:rsidRPr="00207414">
        <w:rPr>
          <w:noProof/>
          <w:lang w:val="en-GB" w:eastAsia="en-GB"/>
        </w:rPr>
        <w:drawing>
          <wp:inline distT="0" distB="0" distL="0" distR="0" wp14:anchorId="7105FED2" wp14:editId="0E0DA398">
            <wp:extent cx="1043264" cy="160903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001" cy="1617884"/>
                    </a:xfrm>
                    <a:prstGeom prst="rect">
                      <a:avLst/>
                    </a:prstGeom>
                  </pic:spPr>
                </pic:pic>
              </a:graphicData>
            </a:graphic>
          </wp:inline>
        </w:drawing>
      </w:r>
      <w:r w:rsidRPr="00207414">
        <w:rPr>
          <w:noProof/>
          <w:lang w:val="en-GB" w:eastAsia="en-GB"/>
        </w:rPr>
        <w:drawing>
          <wp:inline distT="0" distB="0" distL="0" distR="0" wp14:anchorId="3C49C7E0" wp14:editId="7585A50D">
            <wp:extent cx="1623974" cy="1623974"/>
            <wp:effectExtent l="0" t="0" r="0" b="0"/>
            <wp:docPr id="5" name="Picture 5" descr="E:\WP.29-GRSP-58e\autocollant-panneau-interdit-interd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P.29-GRSP-58e\autocollant-panneau-interdit-interdic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859" cy="1623859"/>
                    </a:xfrm>
                    <a:prstGeom prst="rect">
                      <a:avLst/>
                    </a:prstGeom>
                    <a:noFill/>
                    <a:ln>
                      <a:noFill/>
                    </a:ln>
                  </pic:spPr>
                </pic:pic>
              </a:graphicData>
            </a:graphic>
          </wp:inline>
        </w:drawing>
      </w:r>
    </w:p>
    <w:p w:rsidR="00931B8C" w:rsidRPr="00207414" w:rsidRDefault="00931B8C" w:rsidP="00931B8C">
      <w:pPr>
        <w:pStyle w:val="SingleTxtG"/>
        <w:jc w:val="right"/>
      </w:pPr>
      <w:r w:rsidRPr="00207414">
        <w:t>».</w:t>
      </w:r>
    </w:p>
    <w:p w:rsidR="00931B8C" w:rsidRPr="00207414" w:rsidRDefault="00931B8C" w:rsidP="00931B8C">
      <w:pPr>
        <w:pStyle w:val="SingleTxtG"/>
      </w:pPr>
      <w:r w:rsidRPr="00207414">
        <w:rPr>
          <w:i/>
          <w:iCs/>
        </w:rPr>
        <w:t>Ajouter un nouveau paragraphe 6.1.13</w:t>
      </w:r>
      <w:r w:rsidRPr="00207414">
        <w:t>, ainsi conçu :</w:t>
      </w:r>
    </w:p>
    <w:p w:rsidR="00F9573C" w:rsidRPr="00207414" w:rsidRDefault="00931B8C" w:rsidP="00931B8C">
      <w:pPr>
        <w:pStyle w:val="SingleTxtG"/>
        <w:ind w:left="2268" w:hanging="1134"/>
      </w:pPr>
      <w:r w:rsidRPr="00207414">
        <w:t>« 6.1.13</w:t>
      </w:r>
      <w:r w:rsidRPr="00207414">
        <w:tab/>
        <w:t>Les coussins d’appoint sans dossier ne peuvent être homologués qu’en tant que dispositifs de retenue pour enfants du groupe III, tel que défini au paragraphe 2.1.1.5 du présent Règlement (gamme de masses 22-36 kg). ».</w:t>
      </w:r>
    </w:p>
    <w:p w:rsidR="00931B8C" w:rsidRPr="00207414" w:rsidRDefault="00931B8C" w:rsidP="00931B8C">
      <w:pPr>
        <w:pStyle w:val="SingleTxtG"/>
        <w:spacing w:before="240" w:after="0"/>
        <w:jc w:val="center"/>
        <w:rPr>
          <w:u w:val="single"/>
        </w:rPr>
      </w:pPr>
      <w:r w:rsidRPr="00207414">
        <w:rPr>
          <w:u w:val="single"/>
        </w:rPr>
        <w:tab/>
      </w:r>
      <w:r w:rsidRPr="00207414">
        <w:rPr>
          <w:u w:val="single"/>
        </w:rPr>
        <w:tab/>
      </w:r>
      <w:r w:rsidRPr="00207414">
        <w:rPr>
          <w:u w:val="single"/>
        </w:rPr>
        <w:tab/>
      </w:r>
    </w:p>
    <w:sectPr w:rsidR="00931B8C" w:rsidRPr="00207414" w:rsidSect="00931B8C">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01" w:rsidRDefault="00FE6301" w:rsidP="00F95C08">
      <w:pPr>
        <w:spacing w:line="240" w:lineRule="auto"/>
      </w:pPr>
    </w:p>
  </w:endnote>
  <w:endnote w:type="continuationSeparator" w:id="0">
    <w:p w:rsidR="00FE6301" w:rsidRPr="00AC3823" w:rsidRDefault="00FE6301" w:rsidP="00AC3823">
      <w:pPr>
        <w:pStyle w:val="Footer"/>
      </w:pPr>
    </w:p>
  </w:endnote>
  <w:endnote w:type="continuationNotice" w:id="1">
    <w:p w:rsidR="00FE6301" w:rsidRDefault="00FE63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8C" w:rsidRPr="00931B8C" w:rsidRDefault="00931B8C" w:rsidP="00931B8C">
    <w:pPr>
      <w:pStyle w:val="Footer"/>
      <w:tabs>
        <w:tab w:val="right" w:pos="9638"/>
      </w:tabs>
    </w:pPr>
    <w:r w:rsidRPr="00931B8C">
      <w:rPr>
        <w:b/>
        <w:sz w:val="18"/>
      </w:rPr>
      <w:fldChar w:fldCharType="begin"/>
    </w:r>
    <w:r w:rsidRPr="00931B8C">
      <w:rPr>
        <w:b/>
        <w:sz w:val="18"/>
      </w:rPr>
      <w:instrText xml:space="preserve"> PAGE  \* MERGEFORMAT </w:instrText>
    </w:r>
    <w:r w:rsidRPr="00931B8C">
      <w:rPr>
        <w:b/>
        <w:sz w:val="18"/>
      </w:rPr>
      <w:fldChar w:fldCharType="separate"/>
    </w:r>
    <w:r w:rsidR="00AE04B3">
      <w:rPr>
        <w:b/>
        <w:noProof/>
        <w:sz w:val="18"/>
      </w:rPr>
      <w:t>2</w:t>
    </w:r>
    <w:r w:rsidRPr="00931B8C">
      <w:rPr>
        <w:b/>
        <w:sz w:val="18"/>
      </w:rPr>
      <w:fldChar w:fldCharType="end"/>
    </w:r>
    <w:r>
      <w:rPr>
        <w:b/>
        <w:sz w:val="18"/>
      </w:rPr>
      <w:tab/>
    </w:r>
    <w:r>
      <w:t>GE.16-05883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8C" w:rsidRPr="00931B8C" w:rsidRDefault="00931B8C" w:rsidP="00931B8C">
    <w:pPr>
      <w:pStyle w:val="Footer"/>
      <w:tabs>
        <w:tab w:val="right" w:pos="9638"/>
      </w:tabs>
      <w:rPr>
        <w:b/>
        <w:sz w:val="18"/>
      </w:rPr>
    </w:pPr>
    <w:r>
      <w:t>GE.16-05883</w:t>
    </w:r>
    <w:r>
      <w:tab/>
    </w:r>
    <w:r w:rsidRPr="00931B8C">
      <w:rPr>
        <w:b/>
        <w:sz w:val="18"/>
      </w:rPr>
      <w:fldChar w:fldCharType="begin"/>
    </w:r>
    <w:r w:rsidRPr="00931B8C">
      <w:rPr>
        <w:b/>
        <w:sz w:val="18"/>
      </w:rPr>
      <w:instrText xml:space="preserve"> PAGE  \* MERGEFORMAT </w:instrText>
    </w:r>
    <w:r w:rsidRPr="00931B8C">
      <w:rPr>
        <w:b/>
        <w:sz w:val="18"/>
      </w:rPr>
      <w:fldChar w:fldCharType="separate"/>
    </w:r>
    <w:r>
      <w:rPr>
        <w:b/>
        <w:noProof/>
        <w:sz w:val="18"/>
      </w:rPr>
      <w:t>3</w:t>
    </w:r>
    <w:r w:rsidRPr="00931B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931B8C" w:rsidRDefault="00931B8C" w:rsidP="00931B8C">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90B7472" wp14:editId="477F323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16-05883  (F)    040516    040516</w:t>
    </w:r>
    <w:r>
      <w:rPr>
        <w:sz w:val="20"/>
      </w:rPr>
      <w:br/>
    </w:r>
    <w:r w:rsidRPr="00931B8C">
      <w:rPr>
        <w:rFonts w:ascii="C39T30Lfz" w:hAnsi="C39T30Lfz"/>
        <w:sz w:val="56"/>
      </w:rPr>
      <w:t></w:t>
    </w:r>
    <w:r w:rsidRPr="00931B8C">
      <w:rPr>
        <w:rFonts w:ascii="C39T30Lfz" w:hAnsi="C39T30Lfz"/>
        <w:sz w:val="56"/>
      </w:rPr>
      <w:t></w:t>
    </w:r>
    <w:r w:rsidRPr="00931B8C">
      <w:rPr>
        <w:rFonts w:ascii="C39T30Lfz" w:hAnsi="C39T30Lfz"/>
        <w:sz w:val="56"/>
      </w:rPr>
      <w:t></w:t>
    </w:r>
    <w:r w:rsidRPr="00931B8C">
      <w:rPr>
        <w:rFonts w:ascii="C39T30Lfz" w:hAnsi="C39T30Lfz"/>
        <w:sz w:val="56"/>
      </w:rPr>
      <w:t></w:t>
    </w:r>
    <w:r w:rsidRPr="00931B8C">
      <w:rPr>
        <w:rFonts w:ascii="C39T30Lfz" w:hAnsi="C39T30Lfz"/>
        <w:sz w:val="56"/>
      </w:rPr>
      <w:t></w:t>
    </w:r>
    <w:r w:rsidRPr="00931B8C">
      <w:rPr>
        <w:rFonts w:ascii="C39T30Lfz" w:hAnsi="C39T30Lfz"/>
        <w:sz w:val="56"/>
      </w:rPr>
      <w:t></w:t>
    </w:r>
    <w:r w:rsidRPr="00931B8C">
      <w:rPr>
        <w:rFonts w:ascii="C39T30Lfz" w:hAnsi="C39T30Lfz"/>
        <w:sz w:val="56"/>
      </w:rPr>
      <w:t></w:t>
    </w:r>
    <w:r w:rsidRPr="00931B8C">
      <w:rPr>
        <w:rFonts w:ascii="C39T30Lfz" w:hAnsi="C39T30Lfz"/>
        <w:sz w:val="56"/>
      </w:rPr>
      <w:t></w:t>
    </w:r>
    <w:r w:rsidRPr="00931B8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01" w:rsidRPr="00AC3823" w:rsidRDefault="00FE6301" w:rsidP="00AC3823">
      <w:pPr>
        <w:pStyle w:val="Footer"/>
        <w:tabs>
          <w:tab w:val="right" w:pos="2155"/>
        </w:tabs>
        <w:spacing w:after="80" w:line="240" w:lineRule="atLeast"/>
        <w:ind w:left="680"/>
        <w:rPr>
          <w:u w:val="single"/>
        </w:rPr>
      </w:pPr>
      <w:r>
        <w:rPr>
          <w:u w:val="single"/>
        </w:rPr>
        <w:tab/>
      </w:r>
    </w:p>
  </w:footnote>
  <w:footnote w:type="continuationSeparator" w:id="0">
    <w:p w:rsidR="00FE6301" w:rsidRPr="00AC3823" w:rsidRDefault="00FE6301" w:rsidP="00AC3823">
      <w:pPr>
        <w:pStyle w:val="Footer"/>
        <w:tabs>
          <w:tab w:val="right" w:pos="2155"/>
        </w:tabs>
        <w:spacing w:after="80" w:line="240" w:lineRule="atLeast"/>
        <w:ind w:left="680"/>
        <w:rPr>
          <w:u w:val="single"/>
        </w:rPr>
      </w:pPr>
      <w:r>
        <w:rPr>
          <w:u w:val="single"/>
        </w:rPr>
        <w:tab/>
      </w:r>
    </w:p>
  </w:footnote>
  <w:footnote w:type="continuationNotice" w:id="1">
    <w:p w:rsidR="00FE6301" w:rsidRPr="00AC3823" w:rsidRDefault="00FE6301">
      <w:pPr>
        <w:spacing w:line="240" w:lineRule="auto"/>
        <w:rPr>
          <w:sz w:val="2"/>
          <w:szCs w:val="2"/>
        </w:rPr>
      </w:pPr>
    </w:p>
  </w:footnote>
  <w:footnote w:id="2">
    <w:p w:rsidR="00931B8C" w:rsidRPr="00931B8C" w:rsidRDefault="00931B8C" w:rsidP="00931B8C">
      <w:pPr>
        <w:pStyle w:val="FootnoteText"/>
        <w:rPr>
          <w:spacing w:val="-3"/>
          <w:lang w:val="fr-FR"/>
        </w:rPr>
      </w:pPr>
      <w:r w:rsidRPr="00931B8C">
        <w:rPr>
          <w:lang w:val="fr-FR"/>
        </w:rPr>
        <w:tab/>
      </w:r>
      <w:r w:rsidRPr="00931B8C">
        <w:rPr>
          <w:rStyle w:val="FootnoteReference"/>
          <w:sz w:val="20"/>
          <w:vertAlign w:val="baseline"/>
          <w:lang w:val="fr-FR"/>
        </w:rPr>
        <w:t>*</w:t>
      </w:r>
      <w:r w:rsidRPr="00931B8C">
        <w:rPr>
          <w:sz w:val="20"/>
          <w:lang w:val="fr-FR"/>
        </w:rPr>
        <w:tab/>
      </w:r>
      <w:r w:rsidRPr="00931B8C">
        <w:rPr>
          <w:spacing w:val="-3"/>
          <w:lang w:val="fr-FR"/>
        </w:rPr>
        <w:t xml:space="preserve">Conformément au programme de travail du Comité des transports intérieurs pour la période </w:t>
      </w:r>
      <w:r w:rsidRPr="00931B8C">
        <w:rPr>
          <w:spacing w:val="-3"/>
          <w:szCs w:val="18"/>
          <w:lang w:val="fr-FR"/>
        </w:rPr>
        <w:t>2016-</w:t>
      </w:r>
      <w:r w:rsidR="00207414">
        <w:rPr>
          <w:spacing w:val="-3"/>
          <w:szCs w:val="18"/>
          <w:lang w:val="fr-FR"/>
        </w:rPr>
        <w:t>2017 (ECE/TRANS/254, par. </w:t>
      </w:r>
      <w:r w:rsidRPr="00931B8C">
        <w:rPr>
          <w:spacing w:val="-3"/>
          <w:szCs w:val="18"/>
          <w:lang w:val="fr-FR"/>
        </w:rPr>
        <w:t xml:space="preserve">159, et ECE/TRANS/2016/28/Add.1, module 3.1), </w:t>
      </w:r>
      <w:r w:rsidRPr="00931B8C">
        <w:rPr>
          <w:spacing w:val="-3"/>
          <w:lang w:val="fr-FR"/>
        </w:rPr>
        <w:t>le Forum mondial a pour mission d’élaborer, d’harmoniser et de mettre à jour les Règlements en vue d’améliorer les caractéristiques fonctionnelles des véhicules</w:t>
      </w:r>
      <w:r w:rsidRPr="00931B8C">
        <w:rPr>
          <w:spacing w:val="-3"/>
          <w:szCs w:val="18"/>
          <w:lang w:val="fr-FR"/>
        </w:rPr>
        <w:t xml:space="preserve">. </w:t>
      </w:r>
      <w:r w:rsidRPr="00931B8C">
        <w:rPr>
          <w:spacing w:val="-3"/>
          <w:lang w:val="fr-FR"/>
        </w:rPr>
        <w:t>Le présent document est soumis dans le cadre de ce mandat</w:t>
      </w:r>
      <w:r w:rsidRPr="00931B8C">
        <w:rPr>
          <w:spacing w:val="-3"/>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8C" w:rsidRPr="00931B8C" w:rsidRDefault="00931B8C">
    <w:pPr>
      <w:pStyle w:val="Header"/>
    </w:pPr>
    <w:r>
      <w:t>ECE/TRANS/WP.29/2016/37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8C" w:rsidRPr="00931B8C" w:rsidRDefault="00931B8C" w:rsidP="00931B8C">
    <w:pPr>
      <w:pStyle w:val="Header"/>
      <w:jc w:val="right"/>
    </w:pPr>
    <w:r>
      <w:t>ECE/TRANS/WP.29/2016/37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01"/>
    <w:rsid w:val="00017F94"/>
    <w:rsid w:val="00023842"/>
    <w:rsid w:val="000334F9"/>
    <w:rsid w:val="0007796D"/>
    <w:rsid w:val="000B7790"/>
    <w:rsid w:val="00111F2F"/>
    <w:rsid w:val="0014365E"/>
    <w:rsid w:val="00143C66"/>
    <w:rsid w:val="00176178"/>
    <w:rsid w:val="001B1F17"/>
    <w:rsid w:val="001F525A"/>
    <w:rsid w:val="00207414"/>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31B8C"/>
    <w:rsid w:val="009705C8"/>
    <w:rsid w:val="009C1CF4"/>
    <w:rsid w:val="009F6B74"/>
    <w:rsid w:val="00A30353"/>
    <w:rsid w:val="00AC3823"/>
    <w:rsid w:val="00AE04B3"/>
    <w:rsid w:val="00AE323C"/>
    <w:rsid w:val="00AF0CB5"/>
    <w:rsid w:val="00B00181"/>
    <w:rsid w:val="00B00B0D"/>
    <w:rsid w:val="00B765F7"/>
    <w:rsid w:val="00B80C8C"/>
    <w:rsid w:val="00BA0CA9"/>
    <w:rsid w:val="00C02897"/>
    <w:rsid w:val="00D3439C"/>
    <w:rsid w:val="00D54146"/>
    <w:rsid w:val="00DB1831"/>
    <w:rsid w:val="00DD3BFD"/>
    <w:rsid w:val="00DF6678"/>
    <w:rsid w:val="00E85C74"/>
    <w:rsid w:val="00EA6547"/>
    <w:rsid w:val="00ED08D3"/>
    <w:rsid w:val="00EF2E22"/>
    <w:rsid w:val="00F35BAF"/>
    <w:rsid w:val="00F660DF"/>
    <w:rsid w:val="00F94664"/>
    <w:rsid w:val="00F9573C"/>
    <w:rsid w:val="00F95C08"/>
    <w:rsid w:val="00FE630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931B8C"/>
    <w:rPr>
      <w:rFonts w:ascii="Times New Roman" w:hAnsi="Times New Roman" w:cs="Times New Roman"/>
      <w:sz w:val="20"/>
      <w:szCs w:val="20"/>
      <w:lang w:eastAsia="en-US"/>
    </w:rPr>
  </w:style>
  <w:style w:type="character" w:customStyle="1" w:styleId="H1GChar">
    <w:name w:val="_ H_1_G Char"/>
    <w:link w:val="H1G"/>
    <w:rsid w:val="00931B8C"/>
    <w:rPr>
      <w:rFonts w:ascii="Times New Roman" w:hAnsi="Times New Roman" w:cs="Times New Roman"/>
      <w:b/>
      <w:sz w:val="24"/>
      <w:szCs w:val="20"/>
      <w:lang w:eastAsia="en-US"/>
    </w:rPr>
  </w:style>
  <w:style w:type="character" w:customStyle="1" w:styleId="HChGChar">
    <w:name w:val="_ H _Ch_G Char"/>
    <w:link w:val="HChG"/>
    <w:rsid w:val="00931B8C"/>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931B8C"/>
    <w:rPr>
      <w:rFonts w:ascii="Times New Roman" w:hAnsi="Times New Roman" w:cs="Times New Roman"/>
      <w:sz w:val="20"/>
      <w:szCs w:val="20"/>
      <w:lang w:eastAsia="en-US"/>
    </w:rPr>
  </w:style>
  <w:style w:type="character" w:customStyle="1" w:styleId="H1GChar">
    <w:name w:val="_ H_1_G Char"/>
    <w:link w:val="H1G"/>
    <w:rsid w:val="00931B8C"/>
    <w:rPr>
      <w:rFonts w:ascii="Times New Roman" w:hAnsi="Times New Roman" w:cs="Times New Roman"/>
      <w:b/>
      <w:sz w:val="24"/>
      <w:szCs w:val="20"/>
      <w:lang w:eastAsia="en-US"/>
    </w:rPr>
  </w:style>
  <w:style w:type="character" w:customStyle="1" w:styleId="HChGChar">
    <w:name w:val="_ H _Ch_G Char"/>
    <w:link w:val="HChG"/>
    <w:rsid w:val="00931B8C"/>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4</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ECE/TRANS/WP.29/2016/37</vt:lpstr>
      <vt:lpstr>ECE/TRANS/WP.29/2016/37</vt:lpstr>
    </vt:vector>
  </TitlesOfParts>
  <Company>DCM</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ECE/TRANS/WP.29/2016/37</dc:title>
  <dc:creator>Morin</dc:creator>
  <cp:lastModifiedBy>Benedicte Boudol</cp:lastModifiedBy>
  <cp:revision>2</cp:revision>
  <cp:lastPrinted>2014-05-14T10:59:00Z</cp:lastPrinted>
  <dcterms:created xsi:type="dcterms:W3CDTF">2016-05-04T13:58:00Z</dcterms:created>
  <dcterms:modified xsi:type="dcterms:W3CDTF">2016-05-04T13:58:00Z</dcterms:modified>
</cp:coreProperties>
</file>