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14CF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14CF2" w:rsidP="00AB3F9D">
            <w:pPr>
              <w:jc w:val="right"/>
            </w:pPr>
            <w:r w:rsidRPr="00B14CF2">
              <w:rPr>
                <w:sz w:val="40"/>
              </w:rPr>
              <w:t>ECE</w:t>
            </w:r>
            <w:r>
              <w:t>/TRANS/WP.29/2016/</w:t>
            </w:r>
            <w:r w:rsidR="00AB3F9D">
              <w:t>55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14CF2" w:rsidP="00892A2F">
            <w:pPr>
              <w:spacing w:before="240"/>
            </w:pPr>
            <w:r>
              <w:t>Distr. générale</w:t>
            </w:r>
          </w:p>
          <w:p w:rsidR="00B14CF2" w:rsidRDefault="00D079A8" w:rsidP="00B14CF2">
            <w:pPr>
              <w:spacing w:line="240" w:lineRule="exact"/>
            </w:pPr>
            <w:r>
              <w:t>5</w:t>
            </w:r>
            <w:r w:rsidR="00B14CF2">
              <w:t xml:space="preserve"> avril 2016</w:t>
            </w:r>
          </w:p>
          <w:p w:rsidR="00B14CF2" w:rsidRDefault="00B14CF2" w:rsidP="00B14CF2">
            <w:pPr>
              <w:spacing w:line="240" w:lineRule="exact"/>
            </w:pPr>
            <w:r>
              <w:t>Français</w:t>
            </w:r>
          </w:p>
          <w:p w:rsidR="00B14CF2" w:rsidRPr="00DB58B5" w:rsidRDefault="00B14CF2" w:rsidP="00B14CF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14CF2" w:rsidRDefault="00B14CF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14CF2" w:rsidRDefault="00B14CF2" w:rsidP="00AF0CB5">
      <w:pPr>
        <w:spacing w:before="120" w:line="240" w:lineRule="exact"/>
        <w:rPr>
          <w:b/>
        </w:rPr>
      </w:pPr>
      <w:r>
        <w:rPr>
          <w:b/>
        </w:rPr>
        <w:t>169</w:t>
      </w:r>
      <w:r w:rsidRPr="00B14CF2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B14CF2" w:rsidRDefault="00B14CF2" w:rsidP="00AF0CB5">
      <w:pPr>
        <w:spacing w:line="240" w:lineRule="exact"/>
      </w:pPr>
      <w:r>
        <w:t>Genève, 21-24 juin 2016</w:t>
      </w:r>
    </w:p>
    <w:p w:rsidR="00B14CF2" w:rsidRDefault="00B14CF2" w:rsidP="00AF0CB5">
      <w:pPr>
        <w:spacing w:line="240" w:lineRule="exact"/>
      </w:pPr>
      <w:r>
        <w:t>Point 4.</w:t>
      </w:r>
      <w:r w:rsidR="00A50710">
        <w:t>9.7</w:t>
      </w:r>
      <w:r>
        <w:t xml:space="preserve"> de l’ordre du jour provisoire</w:t>
      </w:r>
    </w:p>
    <w:p w:rsidR="00B14CF2" w:rsidRDefault="00B14CF2" w:rsidP="00AF0CB5">
      <w:pPr>
        <w:spacing w:line="240" w:lineRule="exact"/>
        <w:rPr>
          <w:b/>
        </w:rPr>
      </w:pPr>
      <w:r w:rsidRPr="00B14CF2">
        <w:rPr>
          <w:b/>
        </w:rPr>
        <w:t xml:space="preserve">Accord de 1958 − Examen de projets d’amendements </w:t>
      </w:r>
      <w:r w:rsidRPr="00B14CF2">
        <w:rPr>
          <w:b/>
        </w:rPr>
        <w:br/>
        <w:t>à des Règlements existants, proposés par le GR</w:t>
      </w:r>
      <w:r w:rsidR="00D079A8">
        <w:rPr>
          <w:b/>
        </w:rPr>
        <w:t>RF</w:t>
      </w:r>
    </w:p>
    <w:p w:rsidR="00A50710" w:rsidRPr="00A50710" w:rsidRDefault="00A50710" w:rsidP="00A50710">
      <w:pPr>
        <w:pStyle w:val="HChG"/>
        <w:rPr>
          <w:rFonts w:eastAsia="Calibri"/>
          <w:lang w:val="fr-FR"/>
        </w:rPr>
      </w:pP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Pr="00A50710">
        <w:rPr>
          <w:rFonts w:eastAsia="Calibri"/>
          <w:lang w:val="fr-FR"/>
        </w:rPr>
        <w:t>Proposition de complément 16 au Règlement n</w:t>
      </w:r>
      <w:r w:rsidRPr="00A50710">
        <w:rPr>
          <w:rFonts w:eastAsia="Calibri"/>
          <w:vertAlign w:val="superscript"/>
          <w:lang w:val="fr-FR"/>
        </w:rPr>
        <w:t>o</w:t>
      </w:r>
      <w:r w:rsidRPr="00A50710">
        <w:rPr>
          <w:rFonts w:eastAsia="Calibri"/>
          <w:lang w:val="fr-FR"/>
        </w:rPr>
        <w:t> 75 (Pneumatiques pour motocycles/cyclomoteurs)</w:t>
      </w:r>
    </w:p>
    <w:p w:rsidR="00A50710" w:rsidRPr="00A50710" w:rsidRDefault="00A50710" w:rsidP="00A50710">
      <w:pPr>
        <w:pStyle w:val="H1G"/>
        <w:rPr>
          <w:rFonts w:eastAsia="Calibri"/>
          <w:lang w:val="fr-FR"/>
        </w:rPr>
      </w:pP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 w:rsidRPr="00A50710">
        <w:rPr>
          <w:rFonts w:eastAsia="Calibri"/>
          <w:lang w:val="fr-FR"/>
        </w:rPr>
        <w:t xml:space="preserve">Communication du Groupe de travail en matière de roulement </w:t>
      </w:r>
      <w:r>
        <w:rPr>
          <w:rFonts w:eastAsia="Calibri"/>
          <w:lang w:val="fr-FR"/>
        </w:rPr>
        <w:br/>
      </w:r>
      <w:r w:rsidRPr="00A50710">
        <w:rPr>
          <w:rFonts w:eastAsia="Calibri"/>
          <w:lang w:val="fr-FR"/>
        </w:rPr>
        <w:t>et de freinage</w:t>
      </w:r>
      <w:r w:rsidRPr="00A50710">
        <w:rPr>
          <w:rStyle w:val="FootnoteReference"/>
          <w:rFonts w:eastAsia="Calibri"/>
          <w:b w:val="0"/>
          <w:sz w:val="20"/>
          <w:vertAlign w:val="baseline"/>
        </w:rPr>
        <w:footnoteReference w:customMarkFollows="1" w:id="2"/>
        <w:t>*</w:t>
      </w:r>
    </w:p>
    <w:p w:rsidR="00A50710" w:rsidRPr="00A50710" w:rsidRDefault="00A50710" w:rsidP="00A50710">
      <w:pPr>
        <w:pStyle w:val="SingleTxtG"/>
        <w:ind w:firstLine="567"/>
        <w:rPr>
          <w:rFonts w:eastAsia="Calibri"/>
          <w:lang w:val="fr-FR"/>
        </w:rPr>
      </w:pPr>
      <w:r w:rsidRPr="00A50710">
        <w:rPr>
          <w:rFonts w:eastAsia="Calibri"/>
          <w:lang w:val="fr-FR"/>
        </w:rPr>
        <w:t>Le texte ci-après, adopté par le Groupe de travail en matière de roulement et de freinage (GRRF) à sa quatre-vingtième session (</w:t>
      </w:r>
      <w:r>
        <w:rPr>
          <w:rFonts w:eastAsia="Calibri"/>
          <w:bCs/>
          <w:lang w:val="fr-FR"/>
        </w:rPr>
        <w:t>ECE/TRANS/WP.29/GRRF/80, par. </w:t>
      </w:r>
      <w:r w:rsidRPr="00A50710">
        <w:rPr>
          <w:rFonts w:eastAsia="Calibri"/>
          <w:bCs/>
          <w:lang w:val="fr-FR"/>
        </w:rPr>
        <w:t>42</w:t>
      </w:r>
      <w:r w:rsidRPr="00A50710">
        <w:rPr>
          <w:rFonts w:eastAsia="Calibri"/>
          <w:lang w:val="fr-FR"/>
        </w:rPr>
        <w:t>), est fondé sur le document ECE/TRANS/WP.29/GRRF/2015/30.</w:t>
      </w:r>
      <w:r w:rsidRPr="00A50710">
        <w:rPr>
          <w:rFonts w:eastAsia="Calibri"/>
          <w:bCs/>
          <w:lang w:val="fr-FR"/>
        </w:rPr>
        <w:t xml:space="preserve"> </w:t>
      </w:r>
      <w:r w:rsidRPr="00A50710">
        <w:rPr>
          <w:rFonts w:eastAsia="Calibri"/>
          <w:lang w:val="fr-FR"/>
        </w:rPr>
        <w:t>Il est soumis au Forum mondial de l’harmonisation des Règlements concernant les véhicules (WP.29) et au Comité d’administration (AC.1) pour examen à leurs sessions de juin 2016.</w:t>
      </w:r>
    </w:p>
    <w:p w:rsidR="00A50710" w:rsidRPr="003B4F7D" w:rsidRDefault="00A50710" w:rsidP="003B4F7D">
      <w:pPr>
        <w:pStyle w:val="HChG"/>
        <w:rPr>
          <w:rFonts w:eastAsia="Calibri"/>
          <w:sz w:val="20"/>
          <w:lang w:val="fr-FR"/>
        </w:rPr>
      </w:pPr>
      <w:r w:rsidRPr="00A50710">
        <w:rPr>
          <w:rFonts w:eastAsia="Calibri"/>
          <w:lang w:val="fr-FR"/>
        </w:rPr>
        <w:br w:type="page"/>
      </w:r>
      <w:r w:rsidRPr="00A50710">
        <w:rPr>
          <w:rFonts w:eastAsia="Calibri"/>
          <w:lang w:val="fr-FR"/>
        </w:rPr>
        <w:lastRenderedPageBreak/>
        <w:tab/>
      </w:r>
      <w:r w:rsidRPr="00A50710">
        <w:rPr>
          <w:rFonts w:eastAsia="Calibri"/>
          <w:lang w:val="fr-FR"/>
        </w:rPr>
        <w:tab/>
        <w:t>Complément 16 au Règlement n</w:t>
      </w:r>
      <w:r w:rsidRPr="00A50710">
        <w:rPr>
          <w:rFonts w:eastAsia="Calibri"/>
          <w:vertAlign w:val="superscript"/>
          <w:lang w:val="fr-FR"/>
        </w:rPr>
        <w:t>o</w:t>
      </w:r>
      <w:r w:rsidRPr="00A50710">
        <w:rPr>
          <w:rFonts w:eastAsia="Calibri"/>
          <w:lang w:val="fr-FR"/>
        </w:rPr>
        <w:t xml:space="preserve"> 75 (Pneumatiques </w:t>
      </w:r>
      <w:r w:rsidR="003B4F7D">
        <w:rPr>
          <w:rFonts w:eastAsia="Calibri"/>
          <w:lang w:val="fr-FR"/>
        </w:rPr>
        <w:br/>
      </w:r>
      <w:r w:rsidRPr="00A50710">
        <w:rPr>
          <w:rFonts w:eastAsia="Calibri"/>
          <w:lang w:val="fr-FR"/>
        </w:rPr>
        <w:t>pour motocycles/cyclomoteurs)</w:t>
      </w:r>
    </w:p>
    <w:p w:rsidR="00A50710" w:rsidRPr="00A50710" w:rsidRDefault="00A50710" w:rsidP="003B4F7D">
      <w:pPr>
        <w:pStyle w:val="SingleTxtG"/>
        <w:keepNext/>
        <w:rPr>
          <w:rFonts w:eastAsia="Calibri"/>
          <w:lang w:val="fr-FR"/>
        </w:rPr>
      </w:pPr>
      <w:r w:rsidRPr="00A50710">
        <w:rPr>
          <w:rFonts w:eastAsia="Calibri"/>
          <w:i/>
          <w:lang w:val="fr-FR"/>
        </w:rPr>
        <w:t>Paragraphe 6.1.1.1</w:t>
      </w:r>
      <w:r w:rsidRPr="003B4F7D">
        <w:rPr>
          <w:rFonts w:eastAsia="Calibri"/>
          <w:lang w:val="fr-FR"/>
        </w:rPr>
        <w:t>,</w:t>
      </w:r>
      <w:r w:rsidRPr="00A50710">
        <w:rPr>
          <w:rFonts w:eastAsia="Calibri"/>
          <w:i/>
          <w:lang w:val="fr-FR"/>
        </w:rPr>
        <w:t xml:space="preserve"> </w:t>
      </w:r>
      <w:r w:rsidRPr="00A50710">
        <w:rPr>
          <w:rFonts w:eastAsia="Calibri"/>
          <w:lang w:val="fr-FR"/>
        </w:rPr>
        <w:t>lire</w:t>
      </w:r>
      <w:r w:rsidR="003B4F7D">
        <w:rPr>
          <w:rFonts w:eastAsia="Calibri"/>
          <w:lang w:val="fr-FR"/>
        </w:rPr>
        <w:t> :</w:t>
      </w:r>
    </w:p>
    <w:p w:rsidR="00A50710" w:rsidRPr="00A50710" w:rsidRDefault="003B4F7D" w:rsidP="003B4F7D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6.1.1.1</w:t>
      </w:r>
      <w:r w:rsidR="00A50710" w:rsidRPr="00A50710">
        <w:rPr>
          <w:lang w:val="fr-FR"/>
        </w:rPr>
        <w:tab/>
        <w:t xml:space="preserve">La grosseur du boudin est calculée </w:t>
      </w:r>
      <w:r>
        <w:rPr>
          <w:lang w:val="fr-FR"/>
        </w:rPr>
        <w:t>à l’aide de la formule suivante :</w:t>
      </w:r>
    </w:p>
    <w:p w:rsidR="00A50710" w:rsidRPr="00A50710" w:rsidRDefault="00A50710" w:rsidP="003B4F7D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S = S</w:t>
      </w:r>
      <w:r w:rsidRPr="00A50710">
        <w:rPr>
          <w:vertAlign w:val="subscript"/>
          <w:lang w:val="fr-FR"/>
        </w:rPr>
        <w:t>1</w:t>
      </w:r>
      <w:r w:rsidRPr="00A50710">
        <w:rPr>
          <w:lang w:val="fr-FR"/>
        </w:rPr>
        <w:t xml:space="preserve"> + K (A-A</w:t>
      </w:r>
      <w:r w:rsidRPr="00A50710">
        <w:rPr>
          <w:vertAlign w:val="subscript"/>
          <w:lang w:val="fr-FR"/>
        </w:rPr>
        <w:t>1</w:t>
      </w:r>
      <w:r w:rsidRPr="00A50710">
        <w:rPr>
          <w:lang w:val="fr-FR"/>
        </w:rPr>
        <w:t>),</w:t>
      </w:r>
    </w:p>
    <w:p w:rsidR="00A50710" w:rsidRPr="00A50710" w:rsidRDefault="003B4F7D" w:rsidP="003B4F7D">
      <w:pPr>
        <w:pStyle w:val="SingleTxtG"/>
        <w:keepNext/>
        <w:ind w:left="2835" w:hanging="567"/>
        <w:rPr>
          <w:lang w:val="fr-FR"/>
        </w:rPr>
      </w:pPr>
      <w:r>
        <w:rPr>
          <w:lang w:val="fr-FR"/>
        </w:rPr>
        <w:t>dans laquelle :</w:t>
      </w:r>
    </w:p>
    <w:p w:rsidR="00A50710" w:rsidRPr="00A50710" w:rsidRDefault="00A50710" w:rsidP="003B4F7D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S</w:t>
      </w:r>
      <w:r w:rsidRPr="00A50710">
        <w:rPr>
          <w:lang w:val="fr-FR"/>
        </w:rPr>
        <w:tab/>
        <w:t xml:space="preserve">est la </w:t>
      </w:r>
      <w:r w:rsidR="003B4F7D">
        <w:rPr>
          <w:lang w:val="fr-FR"/>
        </w:rPr>
        <w:t>“grosseur du boudin”</w:t>
      </w:r>
      <w:r w:rsidRPr="00A50710">
        <w:rPr>
          <w:lang w:val="fr-FR"/>
        </w:rPr>
        <w:t xml:space="preserve"> arrondie au millimètre le plus proche et mesurée sur la jante de mesure</w:t>
      </w:r>
      <w:r w:rsidR="003B4F7D">
        <w:rPr>
          <w:lang w:val="fr-FR"/>
        </w:rPr>
        <w:t> ;</w:t>
      </w:r>
    </w:p>
    <w:p w:rsidR="00A50710" w:rsidRPr="00A50710" w:rsidRDefault="00A50710" w:rsidP="003B4F7D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S</w:t>
      </w:r>
      <w:r w:rsidRPr="00A50710">
        <w:rPr>
          <w:vertAlign w:val="subscript"/>
          <w:lang w:val="fr-FR"/>
        </w:rPr>
        <w:t>1</w:t>
      </w:r>
      <w:r w:rsidRPr="00A50710">
        <w:rPr>
          <w:lang w:val="fr-FR"/>
        </w:rPr>
        <w:tab/>
        <w:t xml:space="preserve">est la </w:t>
      </w:r>
      <w:r w:rsidR="003B4F7D">
        <w:rPr>
          <w:lang w:val="fr-FR"/>
        </w:rPr>
        <w:t>“grosseur nominale du boudin</w:t>
      </w:r>
      <w:r w:rsidRPr="00A50710">
        <w:rPr>
          <w:lang w:val="fr-FR"/>
        </w:rPr>
        <w:t>” (en mm) telle qu’elle figure sur le flanc du pneumatique dans sa désignation conformément aux prescriptions</w:t>
      </w:r>
      <w:r w:rsidR="003B4F7D">
        <w:rPr>
          <w:lang w:val="fr-FR"/>
        </w:rPr>
        <w:t> ;</w:t>
      </w:r>
    </w:p>
    <w:p w:rsidR="00A50710" w:rsidRPr="00A50710" w:rsidRDefault="00A50710" w:rsidP="003B4F7D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A</w:t>
      </w:r>
      <w:r w:rsidRPr="00A50710">
        <w:rPr>
          <w:lang w:val="fr-FR"/>
        </w:rPr>
        <w:tab/>
        <w:t>est la largeur (en mm) de la jante de mesure indiquée par le manufacturier dans la notice descriptive</w:t>
      </w:r>
      <w:r w:rsidR="003B4F7D">
        <w:rPr>
          <w:lang w:val="fr-FR"/>
        </w:rPr>
        <w:t> ;</w:t>
      </w:r>
    </w:p>
    <w:p w:rsidR="00A50710" w:rsidRPr="00A50710" w:rsidRDefault="00A50710" w:rsidP="003B4F7D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A</w:t>
      </w:r>
      <w:r w:rsidRPr="00A50710">
        <w:rPr>
          <w:vertAlign w:val="subscript"/>
          <w:lang w:val="fr-FR"/>
        </w:rPr>
        <w:t>1</w:t>
      </w:r>
      <w:r w:rsidRPr="00A50710">
        <w:rPr>
          <w:lang w:val="fr-FR"/>
        </w:rPr>
        <w:tab/>
        <w:t>est la largeur (en mm) de la jante théorique</w:t>
      </w:r>
      <w:r w:rsidR="003B4F7D">
        <w:rPr>
          <w:lang w:val="fr-FR"/>
        </w:rPr>
        <w:t> ;</w:t>
      </w:r>
    </w:p>
    <w:p w:rsidR="00A50710" w:rsidRPr="00A50710" w:rsidRDefault="00A50710" w:rsidP="003B4F7D">
      <w:pPr>
        <w:pStyle w:val="SingleTxtG"/>
        <w:ind w:left="2835"/>
        <w:rPr>
          <w:lang w:val="fr-FR"/>
        </w:rPr>
      </w:pPr>
      <w:r w:rsidRPr="00A50710">
        <w:rPr>
          <w:lang w:val="fr-FR"/>
        </w:rPr>
        <w:tab/>
        <w:t>A</w:t>
      </w:r>
      <w:r w:rsidRPr="00A50710">
        <w:rPr>
          <w:vertAlign w:val="subscript"/>
          <w:lang w:val="fr-FR"/>
        </w:rPr>
        <w:t>1</w:t>
      </w:r>
      <w:r w:rsidRPr="00A50710">
        <w:rPr>
          <w:lang w:val="fr-FR"/>
        </w:rPr>
        <w:t xml:space="preserve"> doit être égal à S1 multiplié par le facteur X déterminé par le fabricant de pneumatiques</w:t>
      </w:r>
      <w:r w:rsidR="003B4F7D">
        <w:rPr>
          <w:lang w:val="fr-FR"/>
        </w:rPr>
        <w:t> ;</w:t>
      </w:r>
    </w:p>
    <w:p w:rsidR="00A50710" w:rsidRPr="00A50710" w:rsidRDefault="00A50710" w:rsidP="003B4F7D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K</w:t>
      </w:r>
      <w:r w:rsidRPr="00A50710">
        <w:rPr>
          <w:lang w:val="fr-FR"/>
        </w:rPr>
        <w:tab/>
        <w:t>doit être égal à 0,4</w:t>
      </w:r>
      <w:r w:rsidR="003B4F7D">
        <w:rPr>
          <w:lang w:val="fr-FR"/>
        </w:rPr>
        <w:t>. »</w:t>
      </w:r>
      <w:r w:rsidRPr="00A50710">
        <w:rPr>
          <w:lang w:val="fr-FR"/>
        </w:rPr>
        <w:t>.</w:t>
      </w:r>
    </w:p>
    <w:p w:rsidR="00A50710" w:rsidRPr="00A50710" w:rsidRDefault="00A50710" w:rsidP="003B4F7D">
      <w:pPr>
        <w:pStyle w:val="SingleTxtG"/>
        <w:keepNext/>
        <w:rPr>
          <w:rFonts w:eastAsia="Calibri"/>
          <w:lang w:val="fr-FR"/>
        </w:rPr>
      </w:pPr>
      <w:r w:rsidRPr="00A50710">
        <w:rPr>
          <w:rFonts w:eastAsia="Calibri"/>
          <w:i/>
          <w:lang w:val="fr-FR"/>
        </w:rPr>
        <w:t>Paragraphe 6.1.2.1</w:t>
      </w:r>
      <w:r w:rsidRPr="003B4F7D">
        <w:rPr>
          <w:rFonts w:eastAsia="Calibri"/>
          <w:lang w:val="fr-FR"/>
        </w:rPr>
        <w:t>,</w:t>
      </w:r>
      <w:r w:rsidRPr="00A50710">
        <w:rPr>
          <w:rFonts w:eastAsia="Calibri"/>
          <w:i/>
          <w:lang w:val="fr-FR"/>
        </w:rPr>
        <w:t xml:space="preserve"> </w:t>
      </w:r>
      <w:r w:rsidRPr="00A50710">
        <w:rPr>
          <w:rFonts w:eastAsia="Calibri"/>
          <w:lang w:val="fr-FR"/>
        </w:rPr>
        <w:t>lire</w:t>
      </w:r>
      <w:r w:rsidR="003B4F7D">
        <w:rPr>
          <w:rFonts w:eastAsia="Calibri"/>
          <w:lang w:val="fr-FR"/>
        </w:rPr>
        <w:t> :</w:t>
      </w:r>
    </w:p>
    <w:p w:rsidR="00A50710" w:rsidRPr="00A50710" w:rsidRDefault="003B4F7D" w:rsidP="003B4F7D">
      <w:pPr>
        <w:pStyle w:val="SingleTxtG"/>
        <w:keepNext/>
        <w:ind w:left="2268" w:hanging="1134"/>
        <w:rPr>
          <w:lang w:val="fr-FR"/>
        </w:rPr>
      </w:pPr>
      <w:r>
        <w:rPr>
          <w:lang w:val="fr-FR"/>
        </w:rPr>
        <w:t>« 6.1.2.1</w:t>
      </w:r>
      <w:r w:rsidR="00A50710" w:rsidRPr="00A50710">
        <w:rPr>
          <w:lang w:val="fr-FR"/>
        </w:rPr>
        <w:tab/>
        <w:t>Le diamètre extérieur d’un pneumatique est</w:t>
      </w:r>
      <w:r>
        <w:rPr>
          <w:lang w:val="fr-FR"/>
        </w:rPr>
        <w:t xml:space="preserve"> obtenu par la formule suivante :</w:t>
      </w:r>
    </w:p>
    <w:p w:rsidR="00A50710" w:rsidRPr="00A50710" w:rsidRDefault="00A50710" w:rsidP="003B4F7D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D = d + 2H</w:t>
      </w:r>
    </w:p>
    <w:p w:rsidR="00A50710" w:rsidRPr="00A50710" w:rsidRDefault="003B4F7D" w:rsidP="003B4F7D">
      <w:pPr>
        <w:pStyle w:val="SingleTxtG"/>
        <w:keepNext/>
        <w:ind w:left="2835" w:hanging="567"/>
        <w:rPr>
          <w:lang w:val="fr-FR"/>
        </w:rPr>
      </w:pPr>
      <w:r>
        <w:rPr>
          <w:lang w:val="fr-FR"/>
        </w:rPr>
        <w:t>dans laquelle :</w:t>
      </w:r>
    </w:p>
    <w:p w:rsidR="00A50710" w:rsidRPr="00A50710" w:rsidRDefault="00A50710" w:rsidP="003B4F7D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D</w:t>
      </w:r>
      <w:r w:rsidRPr="00A50710">
        <w:rPr>
          <w:lang w:val="fr-FR"/>
        </w:rPr>
        <w:tab/>
        <w:t>est le diamètre extérieur exprimé en mm</w:t>
      </w:r>
      <w:r w:rsidR="003B4F7D">
        <w:rPr>
          <w:lang w:val="fr-FR"/>
        </w:rPr>
        <w:t> ;</w:t>
      </w:r>
    </w:p>
    <w:p w:rsidR="00A50710" w:rsidRPr="00A50710" w:rsidRDefault="00A50710" w:rsidP="003B4F7D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d</w:t>
      </w:r>
      <w:r w:rsidRPr="00A50710">
        <w:rPr>
          <w:lang w:val="fr-FR"/>
        </w:rPr>
        <w:tab/>
        <w:t>est le diamètre nominal de la jante</w:t>
      </w:r>
      <w:r w:rsidR="003B4F7D">
        <w:rPr>
          <w:lang w:val="fr-FR"/>
        </w:rPr>
        <w:t xml:space="preserve"> défini au paragraphe 2.16.3 ci</w:t>
      </w:r>
      <w:r w:rsidR="003B4F7D">
        <w:rPr>
          <w:lang w:val="fr-FR"/>
        </w:rPr>
        <w:noBreakHyphen/>
      </w:r>
      <w:r w:rsidRPr="00A50710">
        <w:rPr>
          <w:lang w:val="fr-FR"/>
        </w:rPr>
        <w:t>dessus, exprimé en mm</w:t>
      </w:r>
      <w:r w:rsidR="003B4F7D">
        <w:rPr>
          <w:lang w:val="fr-FR"/>
        </w:rPr>
        <w:t> ;</w:t>
      </w:r>
    </w:p>
    <w:p w:rsidR="00A50710" w:rsidRPr="00A50710" w:rsidRDefault="00A50710" w:rsidP="003B4F7D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H</w:t>
      </w:r>
      <w:r w:rsidRPr="00A50710">
        <w:rPr>
          <w:lang w:val="fr-FR"/>
        </w:rPr>
        <w:tab/>
        <w:t>est la hauteur nominale du boudin arrondie au millimètre le</w:t>
      </w:r>
      <w:r w:rsidR="003B4F7D">
        <w:rPr>
          <w:lang w:val="fr-FR"/>
        </w:rPr>
        <w:t xml:space="preserve"> plus proche; elle est égale à :</w:t>
      </w:r>
    </w:p>
    <w:p w:rsidR="00A50710" w:rsidRPr="00A50710" w:rsidRDefault="003B4F7D" w:rsidP="003B4F7D">
      <w:pPr>
        <w:pStyle w:val="SingleTxtG"/>
        <w:ind w:left="3402" w:hanging="567"/>
        <w:rPr>
          <w:lang w:val="fr-FR"/>
        </w:rPr>
      </w:pPr>
      <w:r>
        <w:rPr>
          <w:lang w:val="fr-FR"/>
        </w:rPr>
        <w:t xml:space="preserve">H = </w:t>
      </w:r>
      <w:r w:rsidR="00A50710" w:rsidRPr="00A50710">
        <w:rPr>
          <w:lang w:val="fr-FR"/>
        </w:rPr>
        <w:t>S</w:t>
      </w:r>
      <w:r w:rsidR="00A50710" w:rsidRPr="003B4F7D">
        <w:rPr>
          <w:lang w:val="fr-FR"/>
        </w:rPr>
        <w:t>1</w:t>
      </w:r>
      <w:r w:rsidR="00A50710" w:rsidRPr="00A50710">
        <w:rPr>
          <w:lang w:val="fr-FR"/>
        </w:rPr>
        <w:t xml:space="preserve"> • 0.01 Ra, où</w:t>
      </w:r>
    </w:p>
    <w:p w:rsidR="00A50710" w:rsidRPr="00A50710" w:rsidRDefault="00A50710" w:rsidP="003B4F7D">
      <w:pPr>
        <w:pStyle w:val="SingleTxtG"/>
        <w:tabs>
          <w:tab w:val="left" w:pos="3206"/>
        </w:tabs>
        <w:ind w:left="3402" w:hanging="567"/>
        <w:rPr>
          <w:lang w:val="fr-FR"/>
        </w:rPr>
      </w:pPr>
      <w:r w:rsidRPr="00A50710">
        <w:rPr>
          <w:lang w:val="fr-FR"/>
        </w:rPr>
        <w:t>S</w:t>
      </w:r>
      <w:r w:rsidRPr="003B4F7D">
        <w:rPr>
          <w:lang w:val="fr-FR"/>
        </w:rPr>
        <w:t>1</w:t>
      </w:r>
      <w:r w:rsidRPr="00A50710">
        <w:rPr>
          <w:lang w:val="fr-FR"/>
        </w:rPr>
        <w:tab/>
        <w:t>est la grosseur nominale de boudin en millimètres;</w:t>
      </w:r>
    </w:p>
    <w:p w:rsidR="00A50710" w:rsidRPr="00A50710" w:rsidRDefault="00A50710" w:rsidP="003B4F7D">
      <w:pPr>
        <w:pStyle w:val="SingleTxtG"/>
        <w:tabs>
          <w:tab w:val="left" w:pos="3206"/>
        </w:tabs>
        <w:ind w:left="3402" w:hanging="567"/>
        <w:rPr>
          <w:lang w:val="fr-FR"/>
        </w:rPr>
      </w:pPr>
      <w:r w:rsidRPr="00A50710">
        <w:rPr>
          <w:lang w:val="fr-FR"/>
        </w:rPr>
        <w:t>Ra</w:t>
      </w:r>
      <w:r w:rsidRPr="00A50710">
        <w:rPr>
          <w:lang w:val="fr-FR"/>
        </w:rPr>
        <w:tab/>
        <w:t>est le rapport nominal d’aspect;</w:t>
      </w:r>
    </w:p>
    <w:p w:rsidR="00A50710" w:rsidRPr="00A50710" w:rsidRDefault="00A50710" w:rsidP="003B4F7D">
      <w:pPr>
        <w:pStyle w:val="SingleTxtG"/>
        <w:tabs>
          <w:tab w:val="left" w:pos="3206"/>
        </w:tabs>
        <w:ind w:left="2268"/>
        <w:rPr>
          <w:lang w:val="fr-FR"/>
        </w:rPr>
      </w:pPr>
      <w:r w:rsidRPr="00A50710">
        <w:rPr>
          <w:lang w:val="fr-FR"/>
        </w:rPr>
        <w:t>tels qu’ils figurent sur le flanc du pneumatique dans sa désignation conformément aux prescriptions du paragraphe 3.4 ci-dessus</w:t>
      </w:r>
      <w:r w:rsidR="003B4F7D">
        <w:rPr>
          <w:lang w:val="fr-FR"/>
        </w:rPr>
        <w:t>. »</w:t>
      </w:r>
      <w:r w:rsidRPr="00A50710">
        <w:rPr>
          <w:lang w:val="fr-FR"/>
        </w:rPr>
        <w:t>.</w:t>
      </w:r>
    </w:p>
    <w:p w:rsidR="00A50710" w:rsidRPr="00A50710" w:rsidRDefault="00A50710" w:rsidP="003B4F7D">
      <w:pPr>
        <w:pStyle w:val="SingleTxtG"/>
        <w:keepNext/>
        <w:rPr>
          <w:rFonts w:eastAsia="Calibri"/>
          <w:i/>
          <w:lang w:val="fr-FR"/>
        </w:rPr>
      </w:pPr>
      <w:r w:rsidRPr="00A50710">
        <w:rPr>
          <w:rFonts w:eastAsia="Calibri"/>
          <w:i/>
          <w:lang w:val="fr-FR"/>
        </w:rPr>
        <w:t>Paragraphe 6.1.4</w:t>
      </w:r>
      <w:r w:rsidRPr="003B4F7D">
        <w:rPr>
          <w:rFonts w:eastAsia="Calibri"/>
          <w:lang w:val="fr-FR"/>
        </w:rPr>
        <w:t>,</w:t>
      </w:r>
      <w:r w:rsidRPr="00A50710">
        <w:rPr>
          <w:rFonts w:eastAsia="Calibri"/>
          <w:i/>
          <w:lang w:val="fr-FR"/>
        </w:rPr>
        <w:t xml:space="preserve"> </w:t>
      </w:r>
      <w:r w:rsidRPr="00A50710">
        <w:rPr>
          <w:rFonts w:eastAsia="Calibri"/>
          <w:lang w:val="fr-FR"/>
        </w:rPr>
        <w:t>lire</w:t>
      </w:r>
      <w:r w:rsidR="003B4F7D">
        <w:rPr>
          <w:rFonts w:eastAsia="Calibri"/>
          <w:lang w:val="fr-FR"/>
        </w:rPr>
        <w:t> :</w:t>
      </w:r>
    </w:p>
    <w:p w:rsidR="00A50710" w:rsidRPr="00A50710" w:rsidRDefault="003B4F7D" w:rsidP="003B4F7D">
      <w:pPr>
        <w:pStyle w:val="SingleTxtG"/>
        <w:ind w:left="2268" w:hanging="1134"/>
        <w:rPr>
          <w:rFonts w:eastAsia="Calibri"/>
          <w:lang w:val="fr-FR"/>
        </w:rPr>
      </w:pPr>
      <w:r>
        <w:rPr>
          <w:rFonts w:eastAsia="Calibri"/>
          <w:lang w:val="fr-FR"/>
        </w:rPr>
        <w:t>« 6.1.4</w:t>
      </w:r>
      <w:r w:rsidR="00A50710" w:rsidRPr="00A50710">
        <w:rPr>
          <w:rFonts w:eastAsia="Calibri"/>
          <w:lang w:val="fr-FR"/>
        </w:rPr>
        <w:tab/>
      </w:r>
      <w:r w:rsidR="00A50710" w:rsidRPr="00A50710">
        <w:rPr>
          <w:rFonts w:eastAsia="Calibri"/>
          <w:lang w:val="fr-FR"/>
        </w:rPr>
        <w:tab/>
        <w:t>Spécifications relatives à la grosseur du boudin du pneumatiques</w:t>
      </w:r>
      <w:r>
        <w:rPr>
          <w:rFonts w:eastAsia="Calibri"/>
          <w:lang w:val="fr-FR"/>
        </w:rPr>
        <w:t> »</w:t>
      </w:r>
      <w:r w:rsidR="00A50710" w:rsidRPr="00A50710">
        <w:rPr>
          <w:rFonts w:eastAsia="Calibri"/>
          <w:lang w:val="fr-FR"/>
        </w:rPr>
        <w:t>.</w:t>
      </w:r>
    </w:p>
    <w:p w:rsidR="00A50710" w:rsidRPr="00A50710" w:rsidRDefault="00A50710" w:rsidP="003B4F7D">
      <w:pPr>
        <w:pStyle w:val="SingleTxtG"/>
        <w:keepNext/>
        <w:rPr>
          <w:rFonts w:eastAsia="Calibri"/>
          <w:lang w:val="fr-FR"/>
        </w:rPr>
      </w:pPr>
      <w:r w:rsidRPr="00A50710">
        <w:rPr>
          <w:rFonts w:eastAsia="Calibri"/>
          <w:i/>
          <w:lang w:val="fr-FR"/>
        </w:rPr>
        <w:t>Paragraphe 6.1.4.2</w:t>
      </w:r>
      <w:r w:rsidRPr="003B4F7D">
        <w:rPr>
          <w:rFonts w:eastAsia="Calibri"/>
          <w:lang w:val="fr-FR"/>
        </w:rPr>
        <w:t>,</w:t>
      </w:r>
      <w:r w:rsidRPr="00A50710">
        <w:rPr>
          <w:rFonts w:eastAsia="Calibri"/>
          <w:i/>
          <w:lang w:val="fr-FR"/>
        </w:rPr>
        <w:t xml:space="preserve"> </w:t>
      </w:r>
      <w:r w:rsidRPr="00A50710">
        <w:rPr>
          <w:rFonts w:eastAsia="Calibri"/>
          <w:lang w:val="fr-FR"/>
        </w:rPr>
        <w:t>lire</w:t>
      </w:r>
      <w:r w:rsidR="003B4F7D">
        <w:rPr>
          <w:rFonts w:eastAsia="Calibri"/>
          <w:lang w:val="fr-FR"/>
        </w:rPr>
        <w:t> :</w:t>
      </w:r>
    </w:p>
    <w:p w:rsidR="00A50710" w:rsidRPr="00A50710" w:rsidRDefault="003B4F7D" w:rsidP="003B4F7D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6.1.4.2</w:t>
      </w:r>
      <w:r w:rsidR="00A50710" w:rsidRPr="00A50710">
        <w:rPr>
          <w:lang w:val="fr-FR"/>
        </w:rPr>
        <w:tab/>
        <w:t>Elle peut dépasser cette valeur jusqu’à la valeur indiquée à l’annexe 5 ou, pour les désignations ne figurant pas à l’annexe 5, des pourcentages suivants, les limites étant arrondies au millimètre le plus proche</w:t>
      </w:r>
      <w:r>
        <w:rPr>
          <w:lang w:val="fr-FR"/>
        </w:rPr>
        <w:t> : »</w:t>
      </w:r>
      <w:r w:rsidR="00A50710" w:rsidRPr="00A50710">
        <w:rPr>
          <w:lang w:val="fr-FR"/>
        </w:rPr>
        <w:t>.</w:t>
      </w:r>
    </w:p>
    <w:p w:rsidR="00A50710" w:rsidRPr="00A50710" w:rsidRDefault="00A50710" w:rsidP="003B4F7D">
      <w:pPr>
        <w:pStyle w:val="SingleTxtG"/>
        <w:keepNext/>
        <w:rPr>
          <w:rFonts w:eastAsia="Calibri"/>
          <w:lang w:val="fr-FR"/>
        </w:rPr>
      </w:pPr>
      <w:r w:rsidRPr="00A50710">
        <w:rPr>
          <w:rFonts w:eastAsia="Calibri"/>
          <w:i/>
          <w:lang w:val="fr-FR"/>
        </w:rPr>
        <w:lastRenderedPageBreak/>
        <w:t>Paragraphe 6.1.5</w:t>
      </w:r>
      <w:r w:rsidRPr="003B4F7D">
        <w:rPr>
          <w:rFonts w:eastAsia="Calibri"/>
          <w:lang w:val="fr-FR"/>
        </w:rPr>
        <w:t>,</w:t>
      </w:r>
      <w:r w:rsidRPr="00A50710">
        <w:rPr>
          <w:rFonts w:eastAsia="Calibri"/>
          <w:i/>
          <w:lang w:val="fr-FR"/>
        </w:rPr>
        <w:t xml:space="preserve"> </w:t>
      </w:r>
      <w:r w:rsidRPr="00A50710">
        <w:rPr>
          <w:rFonts w:eastAsia="Calibri"/>
          <w:lang w:val="fr-FR"/>
        </w:rPr>
        <w:t>lire</w:t>
      </w:r>
      <w:r w:rsidR="003B4F7D">
        <w:rPr>
          <w:rFonts w:eastAsia="Calibri"/>
          <w:lang w:val="fr-FR"/>
        </w:rPr>
        <w:t> :</w:t>
      </w:r>
    </w:p>
    <w:p w:rsidR="00A50710" w:rsidRPr="00A50710" w:rsidRDefault="003B4F7D" w:rsidP="003B4F7D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6.1.5</w:t>
      </w:r>
      <w:r w:rsidR="00A50710" w:rsidRPr="00A50710">
        <w:rPr>
          <w:lang w:val="fr-FR"/>
        </w:rPr>
        <w:tab/>
        <w:t>Spécifications relatives au diamètre extérieur des pneumatiques</w:t>
      </w:r>
    </w:p>
    <w:p w:rsidR="00A50710" w:rsidRPr="00A50710" w:rsidRDefault="003B4F7D" w:rsidP="003B4F7D">
      <w:pPr>
        <w:pStyle w:val="SingleTxtG"/>
        <w:ind w:left="2268" w:hanging="1134"/>
        <w:rPr>
          <w:lang w:val="fr-FR"/>
        </w:rPr>
      </w:pPr>
      <w:r>
        <w:rPr>
          <w:lang w:val="fr-FR"/>
        </w:rPr>
        <w:t>6.1.5.1</w:t>
      </w:r>
      <w:r w:rsidR="00A50710" w:rsidRPr="00A50710">
        <w:rPr>
          <w:lang w:val="fr-FR"/>
        </w:rPr>
        <w:tab/>
        <w:t>Le diamètre extérieur du pneumatique ne doit pas excéder les valeurs D</w:t>
      </w:r>
      <w:r w:rsidR="00A50710" w:rsidRPr="00A50710">
        <w:rPr>
          <w:vertAlign w:val="subscript"/>
          <w:lang w:val="fr-FR"/>
        </w:rPr>
        <w:t>min</w:t>
      </w:r>
      <w:r w:rsidR="00A50710" w:rsidRPr="00A50710">
        <w:rPr>
          <w:lang w:val="fr-FR"/>
        </w:rPr>
        <w:t xml:space="preserve"> et D</w:t>
      </w:r>
      <w:r w:rsidR="00A50710" w:rsidRPr="00A50710">
        <w:rPr>
          <w:vertAlign w:val="subscript"/>
          <w:lang w:val="fr-FR"/>
        </w:rPr>
        <w:t>max</w:t>
      </w:r>
      <w:r w:rsidR="00A50710" w:rsidRPr="00A50710">
        <w:rPr>
          <w:lang w:val="fr-FR"/>
        </w:rPr>
        <w:t xml:space="preserve"> spécifiées à l’annexe 5.</w:t>
      </w:r>
    </w:p>
    <w:p w:rsidR="00A50710" w:rsidRPr="00A50710" w:rsidRDefault="003B4F7D" w:rsidP="003B4F7D">
      <w:pPr>
        <w:pStyle w:val="SingleTxtG"/>
        <w:ind w:left="2268" w:hanging="1134"/>
        <w:rPr>
          <w:lang w:val="fr-FR"/>
        </w:rPr>
      </w:pPr>
      <w:r>
        <w:rPr>
          <w:lang w:val="fr-FR"/>
        </w:rPr>
        <w:t>6.1.5.2</w:t>
      </w:r>
      <w:r w:rsidR="00A50710" w:rsidRPr="00A50710">
        <w:rPr>
          <w:lang w:val="fr-FR"/>
        </w:rPr>
        <w:tab/>
      </w:r>
      <w:r w:rsidR="00A50710" w:rsidRPr="00A50710">
        <w:rPr>
          <w:lang w:val="fr-FR"/>
        </w:rPr>
        <w:tab/>
        <w:t>Pour les désignations ne figurant pas à l’annexe 5, le diamètre extérieur du pneumatique ne doit pas être en dehors des valeurs minimale et maximale obtenues en appliquant les formules suivantes</w:t>
      </w:r>
      <w:r>
        <w:rPr>
          <w:lang w:val="fr-FR"/>
        </w:rPr>
        <w:t> :</w:t>
      </w:r>
    </w:p>
    <w:p w:rsidR="00A50710" w:rsidRPr="00A50710" w:rsidRDefault="00A50710" w:rsidP="00F20AC3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D</w:t>
      </w:r>
      <w:r w:rsidRPr="00F20AC3">
        <w:rPr>
          <w:vertAlign w:val="subscript"/>
          <w:lang w:val="fr-FR"/>
        </w:rPr>
        <w:t>min</w:t>
      </w:r>
      <w:r w:rsidRPr="00A50710">
        <w:rPr>
          <w:lang w:val="fr-FR"/>
        </w:rPr>
        <w:t xml:space="preserve"> = d + 2 • H</w:t>
      </w:r>
      <w:r w:rsidRPr="00F20AC3">
        <w:rPr>
          <w:vertAlign w:val="subscript"/>
          <w:lang w:val="fr-FR"/>
        </w:rPr>
        <w:t>min</w:t>
      </w:r>
    </w:p>
    <w:p w:rsidR="00A50710" w:rsidRPr="00A50710" w:rsidRDefault="00A50710" w:rsidP="00F20AC3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D</w:t>
      </w:r>
      <w:r w:rsidRPr="00F20AC3">
        <w:rPr>
          <w:vertAlign w:val="subscript"/>
          <w:lang w:val="fr-FR"/>
        </w:rPr>
        <w:t>max</w:t>
      </w:r>
      <w:r w:rsidRPr="00A50710">
        <w:rPr>
          <w:lang w:val="fr-FR"/>
        </w:rPr>
        <w:t xml:space="preserve"> = d + 2 • H</w:t>
      </w:r>
      <w:r w:rsidRPr="00F20AC3">
        <w:rPr>
          <w:vertAlign w:val="subscript"/>
          <w:lang w:val="fr-FR"/>
        </w:rPr>
        <w:t>max</w:t>
      </w:r>
    </w:p>
    <w:p w:rsidR="00A50710" w:rsidRPr="00A50710" w:rsidRDefault="00A50710" w:rsidP="00F20AC3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Où</w:t>
      </w:r>
      <w:r w:rsidR="00F20AC3">
        <w:rPr>
          <w:lang w:val="fr-FR"/>
        </w:rPr>
        <w:t> :</w:t>
      </w:r>
    </w:p>
    <w:p w:rsidR="00A50710" w:rsidRPr="00A50710" w:rsidRDefault="00A50710" w:rsidP="00F20AC3">
      <w:pPr>
        <w:pStyle w:val="SingleTxtG"/>
        <w:tabs>
          <w:tab w:val="left" w:pos="3686"/>
        </w:tabs>
        <w:ind w:left="2835" w:hanging="567"/>
        <w:rPr>
          <w:lang w:val="fr-FR"/>
        </w:rPr>
      </w:pPr>
      <w:r w:rsidRPr="00A50710">
        <w:rPr>
          <w:lang w:val="fr-FR"/>
        </w:rPr>
        <w:t>H</w:t>
      </w:r>
      <w:r w:rsidRPr="00F20AC3">
        <w:rPr>
          <w:vertAlign w:val="subscript"/>
          <w:lang w:val="fr-FR"/>
        </w:rPr>
        <w:t>min</w:t>
      </w:r>
      <w:r w:rsidRPr="00A50710">
        <w:rPr>
          <w:lang w:val="fr-FR"/>
        </w:rPr>
        <w:t xml:space="preserve"> = H • a</w:t>
      </w:r>
      <w:r w:rsidRPr="00A50710">
        <w:rPr>
          <w:lang w:val="fr-FR"/>
        </w:rPr>
        <w:tab/>
        <w:t>arrondi au mm le plus proche</w:t>
      </w:r>
    </w:p>
    <w:p w:rsidR="00A50710" w:rsidRPr="00A50710" w:rsidRDefault="00A50710" w:rsidP="00F20AC3">
      <w:pPr>
        <w:pStyle w:val="SingleTxtG"/>
        <w:tabs>
          <w:tab w:val="left" w:pos="3686"/>
        </w:tabs>
        <w:ind w:left="2835" w:hanging="567"/>
        <w:rPr>
          <w:lang w:val="fr-FR"/>
        </w:rPr>
      </w:pPr>
      <w:r w:rsidRPr="00A50710">
        <w:rPr>
          <w:lang w:val="fr-FR"/>
        </w:rPr>
        <w:t>H</w:t>
      </w:r>
      <w:r w:rsidRPr="00F20AC3">
        <w:rPr>
          <w:vertAlign w:val="subscript"/>
          <w:lang w:val="fr-FR"/>
        </w:rPr>
        <w:t>max</w:t>
      </w:r>
      <w:r w:rsidR="00F20AC3">
        <w:rPr>
          <w:lang w:val="fr-FR"/>
        </w:rPr>
        <w:t xml:space="preserve"> = H • b</w:t>
      </w:r>
      <w:r w:rsidR="00F20AC3">
        <w:rPr>
          <w:lang w:val="fr-FR"/>
        </w:rPr>
        <w:tab/>
      </w:r>
      <w:r w:rsidRPr="00A50710">
        <w:rPr>
          <w:lang w:val="fr-FR"/>
        </w:rPr>
        <w:t>arrondi au mm le plus proche</w:t>
      </w:r>
    </w:p>
    <w:p w:rsidR="00A50710" w:rsidRPr="00A50710" w:rsidRDefault="00A50710" w:rsidP="00F20AC3">
      <w:pPr>
        <w:pStyle w:val="SingleTxtG"/>
        <w:ind w:left="2835" w:hanging="567"/>
        <w:rPr>
          <w:lang w:val="fr-FR"/>
        </w:rPr>
      </w:pPr>
      <w:r w:rsidRPr="00A50710">
        <w:rPr>
          <w:lang w:val="fr-FR"/>
        </w:rPr>
        <w:t>et</w:t>
      </w:r>
    </w:p>
    <w:p w:rsidR="00A50710" w:rsidRPr="00F20AC3" w:rsidRDefault="00A50710" w:rsidP="00F20AC3">
      <w:pPr>
        <w:pStyle w:val="SingleTxtG"/>
        <w:ind w:left="2268"/>
        <w:rPr>
          <w:lang w:val="fr-FR"/>
        </w:rPr>
      </w:pPr>
      <w:r w:rsidRPr="00A50710">
        <w:rPr>
          <w:lang w:val="fr-FR"/>
        </w:rPr>
        <w:t>H et d sont tels que définis au paragraphe 6.1.2.1 et a et b sont tels que spécifiés respectivement aux paragraphes 6.1.5.2.1 et 6.1.5.2.2</w:t>
      </w:r>
      <w:r w:rsidR="00F20AC3">
        <w:rPr>
          <w:lang w:val="fr-FR"/>
        </w:rPr>
        <w:t>. »</w:t>
      </w:r>
      <w:r w:rsidRPr="00A50710">
        <w:rPr>
          <w:lang w:val="fr-FR"/>
        </w:rPr>
        <w:t>.</w:t>
      </w:r>
    </w:p>
    <w:p w:rsidR="00A47382" w:rsidRPr="00A47382" w:rsidRDefault="00A47382" w:rsidP="00A4738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7382" w:rsidRPr="00A47382" w:rsidSect="00B14CF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CE" w:rsidRDefault="005F1ECE" w:rsidP="00F95C08">
      <w:pPr>
        <w:spacing w:line="240" w:lineRule="auto"/>
      </w:pPr>
    </w:p>
  </w:endnote>
  <w:endnote w:type="continuationSeparator" w:id="0">
    <w:p w:rsidR="005F1ECE" w:rsidRPr="00AC3823" w:rsidRDefault="005F1ECE" w:rsidP="00AC3823">
      <w:pPr>
        <w:pStyle w:val="Footer"/>
      </w:pPr>
    </w:p>
  </w:endnote>
  <w:endnote w:type="continuationNotice" w:id="1">
    <w:p w:rsidR="005F1ECE" w:rsidRDefault="005F1E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F2" w:rsidRPr="00B14CF2" w:rsidRDefault="00B14CF2" w:rsidP="00B14CF2">
    <w:pPr>
      <w:pStyle w:val="Footer"/>
      <w:tabs>
        <w:tab w:val="right" w:pos="9638"/>
      </w:tabs>
    </w:pPr>
    <w:r w:rsidRPr="00B14CF2">
      <w:rPr>
        <w:b/>
        <w:sz w:val="18"/>
      </w:rPr>
      <w:fldChar w:fldCharType="begin"/>
    </w:r>
    <w:r w:rsidRPr="00B14CF2">
      <w:rPr>
        <w:b/>
        <w:sz w:val="18"/>
      </w:rPr>
      <w:instrText xml:space="preserve"> PAGE  \* MERGEFORMAT </w:instrText>
    </w:r>
    <w:r w:rsidRPr="00B14CF2">
      <w:rPr>
        <w:b/>
        <w:sz w:val="18"/>
      </w:rPr>
      <w:fldChar w:fldCharType="separate"/>
    </w:r>
    <w:r w:rsidR="000062E4">
      <w:rPr>
        <w:b/>
        <w:noProof/>
        <w:sz w:val="18"/>
      </w:rPr>
      <w:t>2</w:t>
    </w:r>
    <w:r w:rsidRPr="00B14CF2">
      <w:rPr>
        <w:b/>
        <w:sz w:val="18"/>
      </w:rPr>
      <w:fldChar w:fldCharType="end"/>
    </w:r>
    <w:r>
      <w:rPr>
        <w:b/>
        <w:sz w:val="18"/>
      </w:rPr>
      <w:tab/>
    </w:r>
    <w:r>
      <w:t>GE.16-05375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F2" w:rsidRPr="00B14CF2" w:rsidRDefault="00B14CF2" w:rsidP="00B14CF2">
    <w:pPr>
      <w:pStyle w:val="Footer"/>
      <w:tabs>
        <w:tab w:val="right" w:pos="9638"/>
      </w:tabs>
      <w:rPr>
        <w:b/>
        <w:sz w:val="18"/>
      </w:rPr>
    </w:pPr>
    <w:r>
      <w:t>GE.16-05375</w:t>
    </w:r>
    <w:r>
      <w:tab/>
    </w:r>
    <w:r w:rsidRPr="00B14CF2">
      <w:rPr>
        <w:b/>
        <w:sz w:val="18"/>
      </w:rPr>
      <w:fldChar w:fldCharType="begin"/>
    </w:r>
    <w:r w:rsidRPr="00B14CF2">
      <w:rPr>
        <w:b/>
        <w:sz w:val="18"/>
      </w:rPr>
      <w:instrText xml:space="preserve"> PAGE  \* MERGEFORMAT </w:instrText>
    </w:r>
    <w:r w:rsidRPr="00B14CF2">
      <w:rPr>
        <w:b/>
        <w:sz w:val="18"/>
      </w:rPr>
      <w:fldChar w:fldCharType="separate"/>
    </w:r>
    <w:r w:rsidR="000062E4">
      <w:rPr>
        <w:b/>
        <w:noProof/>
        <w:sz w:val="18"/>
      </w:rPr>
      <w:t>3</w:t>
    </w:r>
    <w:r w:rsidRPr="00B14C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B14CF2" w:rsidRDefault="00B91969" w:rsidP="00B14CF2">
    <w:pPr>
      <w:pStyle w:val="Footer"/>
      <w:spacing w:before="120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0D1A4848" wp14:editId="4453996B">
          <wp:simplePos x="0" y="0"/>
          <wp:positionH relativeFrom="column">
            <wp:posOffset>5480050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4" name="Image 1" descr="http://undocs.org/m2/QRCode.ashx?DS=ECE/TRANS/WP.29/2016/5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55&amp;Size=2&amp;Lang=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CF2"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F121BFD" wp14:editId="34C88EC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CF2">
      <w:rPr>
        <w:sz w:val="20"/>
      </w:rPr>
      <w:t>16-</w:t>
    </w:r>
    <w:r w:rsidR="00D079A8">
      <w:rPr>
        <w:sz w:val="20"/>
      </w:rPr>
      <w:t>05496</w:t>
    </w:r>
    <w:r w:rsidR="00B14CF2">
      <w:rPr>
        <w:sz w:val="20"/>
      </w:rPr>
      <w:t xml:space="preserve">  (F)    030516    040516</w:t>
    </w:r>
    <w:r w:rsidR="00B14CF2">
      <w:rPr>
        <w:sz w:val="20"/>
      </w:rPr>
      <w:br/>
    </w:r>
    <w:r w:rsidR="00D079A8" w:rsidRPr="00D079A8">
      <w:rPr>
        <w:rFonts w:ascii="C39T30Lfz" w:hAnsi="C39T30Lfz"/>
        <w:sz w:val="56"/>
      </w:rPr>
      <w:t></w:t>
    </w:r>
    <w:r w:rsidR="00D079A8" w:rsidRPr="00D079A8">
      <w:rPr>
        <w:rFonts w:ascii="C39T30Lfz" w:hAnsi="C39T30Lfz"/>
        <w:sz w:val="56"/>
      </w:rPr>
      <w:t></w:t>
    </w:r>
    <w:r w:rsidR="00D079A8" w:rsidRPr="00D079A8">
      <w:rPr>
        <w:rFonts w:ascii="C39T30Lfz" w:hAnsi="C39T30Lfz"/>
        <w:sz w:val="56"/>
      </w:rPr>
      <w:t></w:t>
    </w:r>
    <w:r w:rsidR="00D079A8" w:rsidRPr="00D079A8">
      <w:rPr>
        <w:rFonts w:ascii="C39T30Lfz" w:hAnsi="C39T30Lfz"/>
        <w:sz w:val="56"/>
      </w:rPr>
      <w:t></w:t>
    </w:r>
    <w:r w:rsidR="00D079A8" w:rsidRPr="00D079A8">
      <w:rPr>
        <w:rFonts w:ascii="C39T30Lfz" w:hAnsi="C39T30Lfz"/>
        <w:sz w:val="56"/>
      </w:rPr>
      <w:t></w:t>
    </w:r>
    <w:r w:rsidR="00D079A8" w:rsidRPr="00D079A8">
      <w:rPr>
        <w:rFonts w:ascii="C39T30Lfz" w:hAnsi="C39T30Lfz"/>
        <w:sz w:val="56"/>
      </w:rPr>
      <w:t></w:t>
    </w:r>
    <w:r w:rsidR="00D079A8" w:rsidRPr="00D079A8">
      <w:rPr>
        <w:rFonts w:ascii="C39T30Lfz" w:hAnsi="C39T30Lfz"/>
        <w:sz w:val="56"/>
      </w:rPr>
      <w:t></w:t>
    </w:r>
    <w:r w:rsidR="00D079A8" w:rsidRPr="00D079A8">
      <w:rPr>
        <w:rFonts w:ascii="C39T30Lfz" w:hAnsi="C39T30Lfz"/>
        <w:sz w:val="56"/>
      </w:rPr>
      <w:t></w:t>
    </w:r>
    <w:r w:rsidR="00D079A8" w:rsidRPr="00D079A8"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CE" w:rsidRPr="00AC3823" w:rsidRDefault="005F1E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1ECE" w:rsidRPr="00AC3823" w:rsidRDefault="005F1EC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F1ECE" w:rsidRPr="00AC3823" w:rsidRDefault="005F1ECE">
      <w:pPr>
        <w:spacing w:line="240" w:lineRule="auto"/>
        <w:rPr>
          <w:sz w:val="2"/>
          <w:szCs w:val="2"/>
        </w:rPr>
      </w:pPr>
    </w:p>
  </w:footnote>
  <w:footnote w:id="2">
    <w:p w:rsidR="00A50710" w:rsidRPr="00A50710" w:rsidRDefault="00A50710">
      <w:pPr>
        <w:pStyle w:val="FootnoteText"/>
      </w:pPr>
      <w:r>
        <w:rPr>
          <w:rStyle w:val="FootnoteReference"/>
        </w:rPr>
        <w:tab/>
      </w:r>
      <w:r w:rsidRPr="00A5071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A07BC">
        <w:t xml:space="preserve">Conformément au programme de travail du Comité des transports intérieurs pour la </w:t>
      </w:r>
      <w:r>
        <w:t>période 2016</w:t>
      </w:r>
      <w:r>
        <w:noBreakHyphen/>
      </w:r>
      <w:r w:rsidRPr="00BA07BC">
        <w:t>2017 (ECE/TRANS/254, par. 159, et ECE/TRANS/2016/28/Add.1, activité 3.1), le Forum mondial a pour mission d</w:t>
      </w:r>
      <w:r>
        <w:t>’</w:t>
      </w:r>
      <w:r w:rsidRPr="00BA07BC">
        <w:t>élaborer, d</w:t>
      </w:r>
      <w:r>
        <w:t>’</w:t>
      </w:r>
      <w:r w:rsidRPr="00BA07BC">
        <w:t>harmoniser et de mettre à jour les Règlements en vue d</w:t>
      </w:r>
      <w:r>
        <w:t>’</w:t>
      </w:r>
      <w:r w:rsidRPr="00BA07BC">
        <w:t xml:space="preserve">améliorer les caractéristiques fonctionnelles des véhicules. Le présent document est soumis </w:t>
      </w:r>
      <w:r>
        <w:br/>
      </w:r>
      <w:r w:rsidRPr="00BA07BC">
        <w:t>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F2" w:rsidRPr="00B14CF2" w:rsidRDefault="00B14CF2">
    <w:pPr>
      <w:pStyle w:val="Header"/>
    </w:pPr>
    <w:r>
      <w:t>ECE/TRANS/WP.29/2016/</w:t>
    </w:r>
    <w:r w:rsidR="00AB3F9D">
      <w:t>55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F2" w:rsidRPr="00B14CF2" w:rsidRDefault="00B14CF2" w:rsidP="00B14CF2">
    <w:pPr>
      <w:pStyle w:val="Header"/>
      <w:jc w:val="right"/>
    </w:pPr>
    <w:r>
      <w:t>ECE/TRANS/WP.29/2016/</w:t>
    </w:r>
    <w:r w:rsidR="00AB3F9D">
      <w:t>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CE"/>
    <w:rsid w:val="000062E4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1A26"/>
    <w:rsid w:val="002D7C93"/>
    <w:rsid w:val="00305801"/>
    <w:rsid w:val="003916DE"/>
    <w:rsid w:val="003B4F7D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F1ECE"/>
    <w:rsid w:val="0071601D"/>
    <w:rsid w:val="007A62E6"/>
    <w:rsid w:val="007F20FA"/>
    <w:rsid w:val="0080684C"/>
    <w:rsid w:val="00871C75"/>
    <w:rsid w:val="008776DC"/>
    <w:rsid w:val="009705C8"/>
    <w:rsid w:val="009C1CF4"/>
    <w:rsid w:val="009C4F60"/>
    <w:rsid w:val="009F6B74"/>
    <w:rsid w:val="00A30353"/>
    <w:rsid w:val="00A47382"/>
    <w:rsid w:val="00A50710"/>
    <w:rsid w:val="00AB3F9D"/>
    <w:rsid w:val="00AC3823"/>
    <w:rsid w:val="00AE323C"/>
    <w:rsid w:val="00AF0CB5"/>
    <w:rsid w:val="00B00181"/>
    <w:rsid w:val="00B00B0D"/>
    <w:rsid w:val="00B14CF2"/>
    <w:rsid w:val="00B765F7"/>
    <w:rsid w:val="00B91969"/>
    <w:rsid w:val="00B94336"/>
    <w:rsid w:val="00BA0CA9"/>
    <w:rsid w:val="00C01985"/>
    <w:rsid w:val="00C02897"/>
    <w:rsid w:val="00D079A8"/>
    <w:rsid w:val="00D3439C"/>
    <w:rsid w:val="00DB1831"/>
    <w:rsid w:val="00DB2AEC"/>
    <w:rsid w:val="00DD3BFD"/>
    <w:rsid w:val="00DF6678"/>
    <w:rsid w:val="00E85C74"/>
    <w:rsid w:val="00EA6547"/>
    <w:rsid w:val="00EE03DA"/>
    <w:rsid w:val="00EF2E22"/>
    <w:rsid w:val="00F20AC3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14CF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14CF2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14CF2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14CF2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2927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ECE/TRANS/WP.29/2016/55</vt:lpstr>
      <vt:lpstr>ECE/TRANS/WP.29/2016/55</vt:lpstr>
    </vt:vector>
  </TitlesOfParts>
  <Company>DCM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ECE/TRANS/WP.29/2016/55</dc:title>
  <dc:subject>final</dc:subject>
  <dc:creator>Nath V.</dc:creator>
  <cp:lastModifiedBy>Benedicte Boudol</cp:lastModifiedBy>
  <cp:revision>2</cp:revision>
  <cp:lastPrinted>2016-05-04T07:52:00Z</cp:lastPrinted>
  <dcterms:created xsi:type="dcterms:W3CDTF">2016-05-04T13:39:00Z</dcterms:created>
  <dcterms:modified xsi:type="dcterms:W3CDTF">2016-05-04T13:39:00Z</dcterms:modified>
</cp:coreProperties>
</file>