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2303B">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2303B" w:rsidP="0002303B">
            <w:pPr>
              <w:jc w:val="right"/>
            </w:pPr>
            <w:r w:rsidRPr="0002303B">
              <w:rPr>
                <w:sz w:val="40"/>
              </w:rPr>
              <w:t>ECE</w:t>
            </w:r>
            <w:r>
              <w:t>/TRANS/WP.29/2016/75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2303B" w:rsidP="00892A2F">
            <w:pPr>
              <w:spacing w:before="240"/>
            </w:pPr>
            <w:r>
              <w:t>Distr. générale</w:t>
            </w:r>
          </w:p>
          <w:p w:rsidR="0002303B" w:rsidRDefault="0002303B" w:rsidP="0002303B">
            <w:pPr>
              <w:spacing w:line="240" w:lineRule="exact"/>
            </w:pPr>
            <w:r>
              <w:t>31 août 2016</w:t>
            </w:r>
          </w:p>
          <w:p w:rsidR="0002303B" w:rsidRDefault="0002303B" w:rsidP="0002303B">
            <w:pPr>
              <w:spacing w:line="240" w:lineRule="exact"/>
            </w:pPr>
            <w:r>
              <w:t>Français</w:t>
            </w:r>
          </w:p>
          <w:p w:rsidR="0002303B" w:rsidRPr="00DB58B5" w:rsidRDefault="0002303B" w:rsidP="000230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636B3" w:rsidRPr="00C836E0" w:rsidRDefault="00A636B3" w:rsidP="00A636B3">
      <w:pPr>
        <w:spacing w:before="120" w:after="120"/>
        <w:rPr>
          <w:b/>
          <w:sz w:val="24"/>
          <w:szCs w:val="24"/>
        </w:rPr>
      </w:pPr>
      <w:r w:rsidRPr="00C836E0">
        <w:rPr>
          <w:b/>
          <w:sz w:val="24"/>
          <w:szCs w:val="24"/>
        </w:rPr>
        <w:t>Forum mondial de l’harmonisation des Règlements</w:t>
      </w:r>
      <w:r w:rsidRPr="00C836E0">
        <w:rPr>
          <w:b/>
          <w:sz w:val="24"/>
          <w:szCs w:val="24"/>
        </w:rPr>
        <w:br/>
        <w:t>concernant les véhicules</w:t>
      </w:r>
    </w:p>
    <w:p w:rsidR="00A636B3" w:rsidRPr="00A636B3" w:rsidRDefault="00A636B3" w:rsidP="00A636B3">
      <w:pPr>
        <w:rPr>
          <w:b/>
        </w:rPr>
      </w:pPr>
      <w:r w:rsidRPr="00A636B3">
        <w:rPr>
          <w:b/>
        </w:rPr>
        <w:t>170</w:t>
      </w:r>
      <w:r w:rsidRPr="00A636B3">
        <w:rPr>
          <w:b/>
          <w:vertAlign w:val="superscript"/>
        </w:rPr>
        <w:t>e</w:t>
      </w:r>
      <w:r w:rsidRPr="00A636B3">
        <w:rPr>
          <w:b/>
        </w:rPr>
        <w:t xml:space="preserve"> session</w:t>
      </w:r>
    </w:p>
    <w:p w:rsidR="00A636B3" w:rsidRPr="00275E1B" w:rsidRDefault="00A636B3" w:rsidP="00A636B3">
      <w:r w:rsidRPr="00275E1B">
        <w:t>Genève, 15-18 novembre 2016</w:t>
      </w:r>
    </w:p>
    <w:p w:rsidR="00A636B3" w:rsidRPr="00275E1B" w:rsidRDefault="00A636B3" w:rsidP="00A636B3">
      <w:r>
        <w:t>Point 4.6.1</w:t>
      </w:r>
      <w:r w:rsidRPr="00275E1B">
        <w:t xml:space="preserve"> de l</w:t>
      </w:r>
      <w:r>
        <w:t>’</w:t>
      </w:r>
      <w:r w:rsidRPr="00275E1B">
        <w:t xml:space="preserve">ordre du jour </w:t>
      </w:r>
      <w:r>
        <w:t>proviso</w:t>
      </w:r>
      <w:r w:rsidRPr="00275E1B">
        <w:t xml:space="preserve">ire </w:t>
      </w:r>
    </w:p>
    <w:p w:rsidR="00A636B3" w:rsidRPr="00A636B3" w:rsidRDefault="00A636B3" w:rsidP="00A636B3">
      <w:pPr>
        <w:rPr>
          <w:b/>
        </w:rPr>
      </w:pPr>
      <w:r>
        <w:rPr>
          <w:b/>
        </w:rPr>
        <w:t>Accord de 1958 −</w:t>
      </w:r>
      <w:r w:rsidRPr="00A636B3">
        <w:rPr>
          <w:b/>
        </w:rPr>
        <w:t xml:space="preserve"> Examen de projets d’amendements </w:t>
      </w:r>
      <w:r>
        <w:rPr>
          <w:b/>
        </w:rPr>
        <w:br/>
      </w:r>
      <w:r w:rsidRPr="00A636B3">
        <w:rPr>
          <w:b/>
        </w:rPr>
        <w:t>à des Règlements existants, soumis par le GRE</w:t>
      </w:r>
    </w:p>
    <w:p w:rsidR="00A636B3" w:rsidRPr="00B31C3F" w:rsidRDefault="00A636B3" w:rsidP="00A636B3">
      <w:pPr>
        <w:pStyle w:val="HChG"/>
      </w:pPr>
      <w:r>
        <w:tab/>
      </w:r>
      <w:r>
        <w:tab/>
      </w:r>
      <w:r w:rsidRPr="00B31C3F">
        <w:t>Proposition de compl</w:t>
      </w:r>
      <w:r>
        <w:t>é</w:t>
      </w:r>
      <w:r w:rsidRPr="00B31C3F">
        <w:t>ment 25 à la série 02 d</w:t>
      </w:r>
      <w:r>
        <w:t>’</w:t>
      </w:r>
      <w:r w:rsidRPr="00B31C3F">
        <w:t xml:space="preserve">amendements au Règlement </w:t>
      </w:r>
      <w:r>
        <w:rPr>
          <w:rFonts w:eastAsia="MS Mincho"/>
        </w:rPr>
        <w:t>n</w:t>
      </w:r>
      <w:r>
        <w:rPr>
          <w:rFonts w:eastAsia="MS Mincho"/>
          <w:vertAlign w:val="superscript"/>
        </w:rPr>
        <w:t>o</w:t>
      </w:r>
      <w:r>
        <w:t> </w:t>
      </w:r>
      <w:r w:rsidRPr="00B31C3F">
        <w:t>7 (</w:t>
      </w:r>
      <w:r>
        <w:t xml:space="preserve">Feux de position, feux-stop </w:t>
      </w:r>
      <w:r>
        <w:br/>
        <w:t>et feux d’encombrement</w:t>
      </w:r>
      <w:r w:rsidRPr="00B31C3F">
        <w:t>)</w:t>
      </w:r>
    </w:p>
    <w:p w:rsidR="00A636B3" w:rsidRPr="00B31C3F" w:rsidRDefault="00A636B3" w:rsidP="00A636B3">
      <w:pPr>
        <w:pStyle w:val="H1G"/>
      </w:pPr>
      <w:r>
        <w:tab/>
      </w:r>
      <w:r>
        <w:tab/>
      </w:r>
      <w:r w:rsidRPr="00275E1B">
        <w:t>Communication du Groupe de travail de l</w:t>
      </w:r>
      <w:r>
        <w:t>’</w:t>
      </w:r>
      <w:r w:rsidRPr="00275E1B">
        <w:t xml:space="preserve">éclairage </w:t>
      </w:r>
      <w:r>
        <w:br/>
      </w:r>
      <w:r w:rsidRPr="00275E1B">
        <w:t>et de la signali</w:t>
      </w:r>
      <w:r>
        <w:t>s</w:t>
      </w:r>
      <w:r w:rsidRPr="00275E1B">
        <w:t>ation lumineuse</w:t>
      </w:r>
      <w:r w:rsidRPr="00A636B3">
        <w:rPr>
          <w:rStyle w:val="FootnoteReference"/>
          <w:b w:val="0"/>
          <w:sz w:val="20"/>
          <w:vertAlign w:val="baseline"/>
        </w:rPr>
        <w:footnoteReference w:customMarkFollows="1" w:id="2"/>
        <w:t>*</w:t>
      </w:r>
    </w:p>
    <w:p w:rsidR="00A636B3" w:rsidRPr="00B31C3F" w:rsidRDefault="00A636B3" w:rsidP="00A636B3">
      <w:pPr>
        <w:pStyle w:val="SingleTxtG"/>
      </w:pPr>
      <w:r>
        <w:tab/>
      </w:r>
      <w:r w:rsidRPr="00B31C3F">
        <w:t xml:space="preserve">Le texte </w:t>
      </w:r>
      <w:r>
        <w:t>ci-après,</w:t>
      </w:r>
      <w:r w:rsidRPr="00B31C3F">
        <w:t xml:space="preserve"> adopté par le Groupe de travail de l</w:t>
      </w:r>
      <w:r>
        <w:t>’</w:t>
      </w:r>
      <w:r w:rsidRPr="00B31C3F">
        <w:t>éclairage et de la signalisation lumineuse (GRE) à sa soixante-quinzième sessio</w:t>
      </w:r>
      <w:r w:rsidR="006647BC">
        <w:t>n (ECE/TRANS/WP.29/GRE/75, par. </w:t>
      </w:r>
      <w:r w:rsidRPr="00B31C3F">
        <w:t xml:space="preserve">16 </w:t>
      </w:r>
      <w:r>
        <w:t>et</w:t>
      </w:r>
      <w:r w:rsidRPr="00B31C3F">
        <w:t xml:space="preserve"> 28)</w:t>
      </w:r>
      <w:r>
        <w:t xml:space="preserve">, </w:t>
      </w:r>
      <w:r w:rsidRPr="00B31C3F">
        <w:t>a été établi sur la base du document ECE/TRANS/WP.29/GRE/2016/12 no</w:t>
      </w:r>
      <w:r>
        <w:t xml:space="preserve">n modifié et de l’annexe </w:t>
      </w:r>
      <w:r w:rsidRPr="00B31C3F">
        <w:t xml:space="preserve">III </w:t>
      </w:r>
      <w:r>
        <w:t>du rapport</w:t>
      </w:r>
      <w:r w:rsidRPr="00B31C3F">
        <w:t xml:space="preserve">. </w:t>
      </w:r>
      <w:r w:rsidRPr="006A527D">
        <w:t>Il est soumis au Forum mondial de l</w:t>
      </w:r>
      <w:r>
        <w:t>’</w:t>
      </w:r>
      <w:r w:rsidRPr="006A527D">
        <w:t xml:space="preserve">harmonisation des Règlements concernant les véhicules (WP.29) </w:t>
      </w:r>
      <w:r>
        <w:t>et au Comité d’administration (AC.1) p</w:t>
      </w:r>
      <w:r w:rsidRPr="006A527D">
        <w:t>o</w:t>
      </w:r>
      <w:r>
        <w:t>u</w:t>
      </w:r>
      <w:r w:rsidRPr="006A527D">
        <w:t xml:space="preserve">r </w:t>
      </w:r>
      <w:r>
        <w:t>examen à leur</w:t>
      </w:r>
      <w:r w:rsidR="00A44605">
        <w:t>s</w:t>
      </w:r>
      <w:r>
        <w:t xml:space="preserve"> sessions de n</w:t>
      </w:r>
      <w:r w:rsidRPr="006A527D">
        <w:t>ovembr</w:t>
      </w:r>
      <w:r>
        <w:t>e 2016</w:t>
      </w:r>
      <w:r w:rsidRPr="006A527D">
        <w:t>.</w:t>
      </w:r>
    </w:p>
    <w:p w:rsidR="00A636B3" w:rsidRPr="00B31C3F" w:rsidRDefault="00A636B3" w:rsidP="006647BC">
      <w:pPr>
        <w:pStyle w:val="HChG"/>
      </w:pPr>
      <w:r w:rsidRPr="00B31C3F">
        <w:br w:type="page"/>
      </w:r>
      <w:r w:rsidR="006647BC">
        <w:lastRenderedPageBreak/>
        <w:tab/>
      </w:r>
      <w:r w:rsidR="006647BC">
        <w:tab/>
      </w:r>
      <w:r w:rsidRPr="00B31C3F">
        <w:t>Complément 25 à la série 02 d</w:t>
      </w:r>
      <w:r>
        <w:t>’</w:t>
      </w:r>
      <w:r w:rsidRPr="00B31C3F">
        <w:t xml:space="preserve">amendements au Règlement </w:t>
      </w:r>
      <w:r w:rsidR="006647BC">
        <w:rPr>
          <w:rFonts w:eastAsia="MS Mincho"/>
        </w:rPr>
        <w:t>n</w:t>
      </w:r>
      <w:r w:rsidR="006647BC">
        <w:rPr>
          <w:rFonts w:eastAsia="MS Mincho"/>
          <w:vertAlign w:val="superscript"/>
        </w:rPr>
        <w:t>o</w:t>
      </w:r>
      <w:r w:rsidR="006647BC">
        <w:t> </w:t>
      </w:r>
      <w:r w:rsidRPr="00B31C3F">
        <w:t>7 (</w:t>
      </w:r>
      <w:r>
        <w:t>Feux de position, feux-stop et feux d’encombrement</w:t>
      </w:r>
      <w:r w:rsidRPr="00B31C3F">
        <w:t>)</w:t>
      </w:r>
    </w:p>
    <w:p w:rsidR="00A636B3" w:rsidRPr="00091722" w:rsidRDefault="00A636B3" w:rsidP="006647BC">
      <w:pPr>
        <w:pStyle w:val="SingleTxtG"/>
        <w:rPr>
          <w:iCs/>
        </w:rPr>
      </w:pPr>
      <w:r w:rsidRPr="00091722">
        <w:rPr>
          <w:i/>
          <w:iCs/>
        </w:rPr>
        <w:t>Paragraphe 6.1.7.2</w:t>
      </w:r>
      <w:r w:rsidRPr="00091722">
        <w:t xml:space="preserve">, </w:t>
      </w:r>
      <w:r>
        <w:t>modification sans objet en français.</w:t>
      </w:r>
    </w:p>
    <w:p w:rsidR="00A636B3" w:rsidRPr="009B2F0E" w:rsidRDefault="00A636B3" w:rsidP="006647BC">
      <w:pPr>
        <w:pStyle w:val="SingleTxtG"/>
        <w:rPr>
          <w:i/>
        </w:rPr>
      </w:pPr>
      <w:r w:rsidRPr="009B2F0E">
        <w:rPr>
          <w:i/>
        </w:rPr>
        <w:t>Annexe</w:t>
      </w:r>
      <w:r w:rsidR="006647BC">
        <w:rPr>
          <w:i/>
        </w:rPr>
        <w:t xml:space="preserve"> 2,</w:t>
      </w:r>
    </w:p>
    <w:p w:rsidR="00A636B3" w:rsidRPr="00C62C0D" w:rsidRDefault="00A636B3" w:rsidP="006647BC">
      <w:pPr>
        <w:pStyle w:val="SingleTxtG"/>
      </w:pPr>
      <w:r w:rsidRPr="00C62C0D">
        <w:rPr>
          <w:i/>
        </w:rPr>
        <w:t>Point 9.1</w:t>
      </w:r>
      <w:r w:rsidRPr="00C62C0D">
        <w:t xml:space="preserve">, </w:t>
      </w:r>
      <w:r>
        <w:t>lire</w:t>
      </w:r>
      <w:r w:rsidR="006647BC">
        <w:t> </w:t>
      </w:r>
      <w:r w:rsidRPr="00C62C0D">
        <w:t>:</w:t>
      </w:r>
    </w:p>
    <w:p w:rsidR="00A636B3" w:rsidRPr="00C62C0D" w:rsidRDefault="00A636B3" w:rsidP="006647BC">
      <w:pPr>
        <w:pStyle w:val="SingleTxtG"/>
        <w:ind w:left="2268" w:hanging="1134"/>
      </w:pPr>
      <w:r w:rsidRPr="00C62C0D">
        <w:t>«</w:t>
      </w:r>
      <w:r w:rsidR="006647BC">
        <w:t> </w:t>
      </w:r>
      <w:r w:rsidRPr="00C62C0D">
        <w:t>9.1</w:t>
      </w:r>
      <w:r w:rsidRPr="00C62C0D">
        <w:tab/>
      </w:r>
      <w:r w:rsidRPr="00C62C0D">
        <w:tab/>
        <w:t>Par catégorie de feu</w:t>
      </w:r>
      <w:r w:rsidR="00536417">
        <w:t> </w:t>
      </w:r>
      <w:r w:rsidRPr="00C62C0D">
        <w:t>:</w:t>
      </w:r>
    </w:p>
    <w:p w:rsidR="00A636B3" w:rsidRPr="00C62C0D" w:rsidRDefault="00A636B3" w:rsidP="006647BC">
      <w:pPr>
        <w:pStyle w:val="SingleTxtG"/>
        <w:ind w:left="2268"/>
        <w:rPr>
          <w:bCs/>
        </w:rPr>
      </w:pPr>
      <w:r>
        <w:t>Pour montage à l’extérieur ou à l’intérieur, ou les deux</w:t>
      </w:r>
      <w:r w:rsidRPr="00536417">
        <w:rPr>
          <w:bCs/>
          <w:sz w:val="18"/>
          <w:szCs w:val="18"/>
          <w:vertAlign w:val="superscript"/>
        </w:rPr>
        <w:t>2</w:t>
      </w:r>
    </w:p>
    <w:p w:rsidR="00A636B3" w:rsidRPr="00C62C0D" w:rsidRDefault="00536417" w:rsidP="006647BC">
      <w:pPr>
        <w:pStyle w:val="SingleTxtG"/>
        <w:ind w:left="2268"/>
        <w:rPr>
          <w:bCs/>
        </w:rPr>
      </w:pPr>
      <w:r>
        <w:t>Couleur de la lumière émise </w:t>
      </w:r>
      <w:r w:rsidR="00A636B3">
        <w:t>: rouge/blanc</w:t>
      </w:r>
      <w:r w:rsidR="00A636B3" w:rsidRPr="006647BC">
        <w:rPr>
          <w:sz w:val="18"/>
          <w:szCs w:val="18"/>
          <w:vertAlign w:val="superscript"/>
        </w:rPr>
        <w:t>2</w:t>
      </w:r>
    </w:p>
    <w:p w:rsidR="00A636B3" w:rsidRPr="00C62C0D" w:rsidRDefault="00A636B3" w:rsidP="006647BC">
      <w:pPr>
        <w:pStyle w:val="SingleTxtG"/>
        <w:tabs>
          <w:tab w:val="left" w:leader="dot" w:pos="8505"/>
        </w:tabs>
        <w:ind w:left="2268"/>
      </w:pPr>
      <w:r>
        <w:t>Sources lumineu</w:t>
      </w:r>
      <w:r w:rsidR="006647BC">
        <w:t>ses − nombre, catégorie et type </w:t>
      </w:r>
      <w:r>
        <w:t>:</w:t>
      </w:r>
      <w:r w:rsidR="006647BC">
        <w:tab/>
      </w:r>
    </w:p>
    <w:p w:rsidR="00A636B3" w:rsidRPr="00C62C0D" w:rsidRDefault="00A636B3" w:rsidP="006647BC">
      <w:pPr>
        <w:pStyle w:val="SingleTxtG"/>
        <w:tabs>
          <w:tab w:val="left" w:leader="dot" w:pos="8505"/>
        </w:tabs>
        <w:ind w:left="2268"/>
      </w:pPr>
      <w:r>
        <w:t>Tension et puissance</w:t>
      </w:r>
      <w:r w:rsidR="006647BC">
        <w:t> :</w:t>
      </w:r>
      <w:r w:rsidR="006647BC">
        <w:tab/>
      </w:r>
    </w:p>
    <w:p w:rsidR="00A636B3" w:rsidRPr="00C62C0D" w:rsidRDefault="00A636B3" w:rsidP="006647BC">
      <w:pPr>
        <w:pStyle w:val="SingleTxtG"/>
        <w:tabs>
          <w:tab w:val="left" w:leader="dot" w:pos="8505"/>
        </w:tabs>
        <w:ind w:left="2268"/>
      </w:pPr>
      <w:r>
        <w:t>Code d’identification propre au module d’éclairage</w:t>
      </w:r>
      <w:r w:rsidR="006647BC">
        <w:t> :</w:t>
      </w:r>
      <w:r w:rsidR="006647BC">
        <w:tab/>
      </w:r>
    </w:p>
    <w:p w:rsidR="00A636B3" w:rsidRPr="00C62C0D" w:rsidRDefault="00A636B3" w:rsidP="006647BC">
      <w:pPr>
        <w:pStyle w:val="SingleTxtG"/>
        <w:ind w:left="2268"/>
        <w:rPr>
          <w:bCs/>
        </w:rPr>
      </w:pPr>
      <w:r>
        <w:t>Uniquement pour une hauteur de montage lim</w:t>
      </w:r>
      <w:r w:rsidR="006647BC">
        <w:t>itée, égale ou inférieure à 750 </w:t>
      </w:r>
      <w:r>
        <w:t>mm au-dessus du sol</w:t>
      </w:r>
      <w:r w:rsidR="006647BC">
        <w:t> </w:t>
      </w:r>
      <w:r>
        <w:t>: oui/non</w:t>
      </w:r>
      <w:r w:rsidRPr="006647BC">
        <w:rPr>
          <w:sz w:val="18"/>
          <w:szCs w:val="18"/>
          <w:vertAlign w:val="superscript"/>
        </w:rPr>
        <w:t>2</w:t>
      </w:r>
    </w:p>
    <w:p w:rsidR="00A636B3" w:rsidRPr="00C62C0D" w:rsidRDefault="00A636B3" w:rsidP="006647BC">
      <w:pPr>
        <w:pStyle w:val="SingleTxtG"/>
        <w:tabs>
          <w:tab w:val="left" w:leader="dot" w:pos="8505"/>
        </w:tabs>
        <w:ind w:left="2268"/>
      </w:pPr>
      <w:r>
        <w:t>Caractéristiques géométriques de m</w:t>
      </w:r>
      <w:r w:rsidR="006647BC">
        <w:t>ontage et variantes éventuelles </w:t>
      </w:r>
      <w:r w:rsidRPr="00C62C0D">
        <w:t>:</w:t>
      </w:r>
      <w:r w:rsidR="006647BC">
        <w:tab/>
      </w:r>
    </w:p>
    <w:p w:rsidR="00A636B3" w:rsidRPr="00C62C0D" w:rsidRDefault="00A636B3" w:rsidP="006647BC">
      <w:pPr>
        <w:pStyle w:val="SingleTxtG"/>
        <w:ind w:left="2268"/>
      </w:pPr>
      <w:r>
        <w:t>Le dispositif de régulation électronique de la source lumineuse ou du régulateur d’</w:t>
      </w:r>
      <w:r w:rsidR="006647BC">
        <w:t>intensité </w:t>
      </w:r>
      <w:r w:rsidRPr="00C62C0D">
        <w:t>:</w:t>
      </w:r>
    </w:p>
    <w:p w:rsidR="00A636B3" w:rsidRPr="00C62C0D" w:rsidRDefault="006647BC" w:rsidP="006647BC">
      <w:pPr>
        <w:pStyle w:val="SingleTxtG"/>
        <w:ind w:left="2268"/>
        <w:rPr>
          <w:bCs/>
        </w:rPr>
      </w:pPr>
      <w:r>
        <w:t>a)</w:t>
      </w:r>
      <w:r w:rsidR="00A636B3" w:rsidRPr="00C62C0D">
        <w:tab/>
      </w:r>
      <w:r>
        <w:t>Fait partie du feu </w:t>
      </w:r>
      <w:r w:rsidR="00A636B3">
        <w:t>: oui/non</w:t>
      </w:r>
      <w:r w:rsidR="00A636B3" w:rsidRPr="006647BC">
        <w:rPr>
          <w:sz w:val="18"/>
          <w:szCs w:val="18"/>
          <w:vertAlign w:val="superscript"/>
        </w:rPr>
        <w:t>2</w:t>
      </w:r>
    </w:p>
    <w:p w:rsidR="00A636B3" w:rsidRPr="00C62C0D" w:rsidRDefault="006647BC" w:rsidP="006647BC">
      <w:pPr>
        <w:pStyle w:val="SingleTxtG"/>
        <w:ind w:left="2268"/>
        <w:rPr>
          <w:bCs/>
        </w:rPr>
      </w:pPr>
      <w:r>
        <w:t>b)</w:t>
      </w:r>
      <w:r w:rsidR="00A636B3" w:rsidRPr="00C62C0D">
        <w:tab/>
      </w:r>
      <w:r>
        <w:t>Ne fait pas partie du feu </w:t>
      </w:r>
      <w:r w:rsidR="00A636B3">
        <w:t>: oui/non</w:t>
      </w:r>
      <w:r w:rsidR="00A636B3" w:rsidRPr="006647BC">
        <w:rPr>
          <w:sz w:val="18"/>
          <w:szCs w:val="18"/>
          <w:vertAlign w:val="superscript"/>
        </w:rPr>
        <w:t>2</w:t>
      </w:r>
    </w:p>
    <w:p w:rsidR="00A636B3" w:rsidRPr="00C62C0D" w:rsidRDefault="00A636B3" w:rsidP="006647BC">
      <w:pPr>
        <w:pStyle w:val="SingleTxtG"/>
        <w:tabs>
          <w:tab w:val="left" w:leader="dot" w:pos="8505"/>
        </w:tabs>
        <w:ind w:left="2268"/>
      </w:pPr>
      <w:r>
        <w:t>Tension(s) d’alimentation du dispositif de régulation électronique de la source lumineuse ou du régulateur d’intensité</w:t>
      </w:r>
      <w:r w:rsidR="006647BC">
        <w:t> :</w:t>
      </w:r>
      <w:r w:rsidR="006647BC">
        <w:tab/>
      </w:r>
    </w:p>
    <w:p w:rsidR="00A636B3" w:rsidRPr="00C62C0D" w:rsidRDefault="00A636B3" w:rsidP="006647BC">
      <w:pPr>
        <w:pStyle w:val="SingleTxtG"/>
        <w:tabs>
          <w:tab w:val="left" w:leader="dot" w:pos="8505"/>
        </w:tabs>
        <w:ind w:left="2268"/>
      </w:pPr>
      <w:r>
        <w:t xml:space="preserve">Nom du fabricant et numéro d’identification du dispositif de régulation électronique de la source lumineuse ou du régulateur d’intensité (lorsque le dispositif de régulation de la source lumineuse fait partie du feu mais n’est </w:t>
      </w:r>
      <w:r w:rsidR="006647BC">
        <w:t>pas incorporé dans son boîtier) </w:t>
      </w:r>
      <w:r w:rsidRPr="00C62C0D">
        <w:t>:</w:t>
      </w:r>
      <w:r w:rsidR="006647BC">
        <w:tab/>
      </w:r>
    </w:p>
    <w:p w:rsidR="00A636B3" w:rsidRPr="009B2F0E" w:rsidRDefault="00A636B3" w:rsidP="006647BC">
      <w:pPr>
        <w:pStyle w:val="SingleTxtG"/>
        <w:ind w:left="2268"/>
        <w:rPr>
          <w:bCs/>
          <w:vertAlign w:val="superscript"/>
        </w:rPr>
      </w:pPr>
      <w:r>
        <w:t>Intensité lumineuse variable</w:t>
      </w:r>
      <w:r w:rsidR="006647BC">
        <w:t> </w:t>
      </w:r>
      <w:r>
        <w:t>: oui/non</w:t>
      </w:r>
      <w:r w:rsidRPr="009B2F0E">
        <w:rPr>
          <w:vertAlign w:val="superscript"/>
        </w:rPr>
        <w:t>2</w:t>
      </w:r>
    </w:p>
    <w:p w:rsidR="00A636B3" w:rsidRPr="00A7143D" w:rsidRDefault="00A636B3" w:rsidP="006647BC">
      <w:pPr>
        <w:pStyle w:val="SingleTxtG"/>
        <w:ind w:left="2268"/>
      </w:pPr>
      <w:r w:rsidRPr="00A7143D">
        <w:t>Le feu de position avant</w:t>
      </w:r>
      <w:r w:rsidRPr="00A7143D">
        <w:rPr>
          <w:bCs/>
          <w:vertAlign w:val="superscript"/>
        </w:rPr>
        <w:t>2</w:t>
      </w:r>
      <w:r w:rsidRPr="00A7143D">
        <w:t>, feu de position arrière</w:t>
      </w:r>
      <w:r w:rsidRPr="00A7143D">
        <w:rPr>
          <w:bCs/>
          <w:vertAlign w:val="superscript"/>
        </w:rPr>
        <w:t>2</w:t>
      </w:r>
      <w:r w:rsidR="006647BC">
        <w:rPr>
          <w:bCs/>
        </w:rPr>
        <w:t>,</w:t>
      </w:r>
      <w:r w:rsidRPr="00A7143D">
        <w:t xml:space="preserve"> feu-stop</w:t>
      </w:r>
      <w:r w:rsidRPr="00A7143D">
        <w:rPr>
          <w:bCs/>
          <w:vertAlign w:val="superscript"/>
        </w:rPr>
        <w:t>2</w:t>
      </w:r>
      <w:r w:rsidR="006647BC">
        <w:rPr>
          <w:bCs/>
        </w:rPr>
        <w:t>,</w:t>
      </w:r>
      <w:r w:rsidRPr="00A7143D">
        <w:t xml:space="preserve"> feu d</w:t>
      </w:r>
      <w:r>
        <w:t>’</w:t>
      </w:r>
      <w:r w:rsidRPr="00A7143D">
        <w:t>encombrement</w:t>
      </w:r>
      <w:r w:rsidRPr="00A7143D">
        <w:rPr>
          <w:bCs/>
          <w:vertAlign w:val="superscript"/>
        </w:rPr>
        <w:t>2</w:t>
      </w:r>
      <w:r w:rsidRPr="00A7143D">
        <w:t xml:space="preserve"> </w:t>
      </w:r>
      <w:r>
        <w:t>ne peut être utilisé que sur un véhicule équipé d’un témoin indiqu</w:t>
      </w:r>
      <w:r w:rsidR="006647BC">
        <w:t>ant un défaut de fonctionnement </w:t>
      </w:r>
      <w:r>
        <w:t>: oui/non</w:t>
      </w:r>
      <w:r w:rsidRPr="00A7143D">
        <w:rPr>
          <w:bCs/>
          <w:vertAlign w:val="superscript"/>
        </w:rPr>
        <w:t>2</w:t>
      </w:r>
    </w:p>
    <w:p w:rsidR="00A636B3" w:rsidRPr="00AC18AD" w:rsidRDefault="00A636B3" w:rsidP="00C836E0">
      <w:pPr>
        <w:pStyle w:val="SingleTxtG"/>
        <w:ind w:left="851"/>
        <w:rPr>
          <w:lang w:val="en-US"/>
        </w:rPr>
      </w:pPr>
      <w:r>
        <w:rPr>
          <w:lang w:val="en-US"/>
        </w:rPr>
        <w:t>_____</w:t>
      </w:r>
      <w:r w:rsidR="00536417">
        <w:rPr>
          <w:lang w:val="en-US"/>
        </w:rPr>
        <w:t>_________</w:t>
      </w:r>
    </w:p>
    <w:p w:rsidR="00F9573C" w:rsidRDefault="004C21EB" w:rsidP="00315936">
      <w:pPr>
        <w:pStyle w:val="SingleTxtG"/>
        <w:tabs>
          <w:tab w:val="left" w:pos="1021"/>
        </w:tabs>
        <w:ind w:hanging="1134"/>
        <w:rPr>
          <w:lang w:val="en-US"/>
        </w:rPr>
      </w:pPr>
      <w:r>
        <w:rPr>
          <w:sz w:val="18"/>
          <w:szCs w:val="18"/>
          <w:vertAlign w:val="superscript"/>
          <w:lang w:val="en-US"/>
        </w:rPr>
        <w:tab/>
      </w:r>
      <w:r w:rsidR="00A636B3" w:rsidRPr="00536417">
        <w:rPr>
          <w:sz w:val="18"/>
          <w:szCs w:val="18"/>
          <w:vertAlign w:val="superscript"/>
          <w:lang w:val="en-US"/>
        </w:rPr>
        <w:t>2</w:t>
      </w:r>
      <w:r>
        <w:rPr>
          <w:lang w:val="en-US"/>
        </w:rPr>
        <w:tab/>
      </w:r>
      <w:r w:rsidR="00315936">
        <w:rPr>
          <w:lang w:val="en-US"/>
        </w:rPr>
        <w:t xml:space="preserve">  </w:t>
      </w:r>
      <w:r w:rsidR="00A636B3" w:rsidRPr="006647BC">
        <w:rPr>
          <w:sz w:val="18"/>
          <w:szCs w:val="18"/>
          <w:lang w:val="en-US"/>
        </w:rPr>
        <w:t>Biffer les mentions inutiles</w:t>
      </w:r>
      <w:r w:rsidR="00A636B3" w:rsidRPr="00FC52E4">
        <w:rPr>
          <w:lang w:val="en-US"/>
        </w:rPr>
        <w:t>.</w:t>
      </w:r>
      <w:r w:rsidR="006647BC">
        <w:t> </w:t>
      </w:r>
      <w:r w:rsidR="00A636B3">
        <w:rPr>
          <w:lang w:val="en-US"/>
        </w:rPr>
        <w:t>»</w:t>
      </w:r>
      <w:r w:rsidR="006647BC">
        <w:rPr>
          <w:lang w:val="en-US"/>
        </w:rPr>
        <w:t>.</w:t>
      </w:r>
    </w:p>
    <w:p w:rsidR="00A636B3" w:rsidRPr="00A636B3" w:rsidRDefault="00A636B3" w:rsidP="00A636B3">
      <w:pPr>
        <w:pStyle w:val="SingleTxtG"/>
        <w:spacing w:before="240" w:after="0"/>
        <w:jc w:val="center"/>
        <w:rPr>
          <w:u w:val="single"/>
        </w:rPr>
      </w:pPr>
      <w:r>
        <w:rPr>
          <w:u w:val="single"/>
        </w:rPr>
        <w:tab/>
      </w:r>
      <w:r>
        <w:rPr>
          <w:u w:val="single"/>
        </w:rPr>
        <w:tab/>
      </w:r>
      <w:r>
        <w:rPr>
          <w:u w:val="single"/>
        </w:rPr>
        <w:tab/>
      </w:r>
    </w:p>
    <w:sectPr w:rsidR="00A636B3" w:rsidRPr="00A636B3" w:rsidSect="0002303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39" w:rsidRDefault="00166439" w:rsidP="00F95C08">
      <w:pPr>
        <w:spacing w:line="240" w:lineRule="auto"/>
      </w:pPr>
    </w:p>
  </w:endnote>
  <w:endnote w:type="continuationSeparator" w:id="0">
    <w:p w:rsidR="00166439" w:rsidRPr="00AC3823" w:rsidRDefault="00166439" w:rsidP="00AC3823">
      <w:pPr>
        <w:pStyle w:val="Footer"/>
      </w:pPr>
    </w:p>
  </w:endnote>
  <w:endnote w:type="continuationNotice" w:id="1">
    <w:p w:rsidR="00166439" w:rsidRDefault="00166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3B" w:rsidRPr="0002303B" w:rsidRDefault="0002303B" w:rsidP="0002303B">
    <w:pPr>
      <w:pStyle w:val="Footer"/>
      <w:tabs>
        <w:tab w:val="right" w:pos="9638"/>
      </w:tabs>
    </w:pPr>
    <w:r w:rsidRPr="0002303B">
      <w:rPr>
        <w:b/>
        <w:sz w:val="18"/>
      </w:rPr>
      <w:fldChar w:fldCharType="begin"/>
    </w:r>
    <w:r w:rsidRPr="0002303B">
      <w:rPr>
        <w:b/>
        <w:sz w:val="18"/>
      </w:rPr>
      <w:instrText xml:space="preserve"> PAGE  \* MERGEFORMAT </w:instrText>
    </w:r>
    <w:r w:rsidRPr="0002303B">
      <w:rPr>
        <w:b/>
        <w:sz w:val="18"/>
      </w:rPr>
      <w:fldChar w:fldCharType="separate"/>
    </w:r>
    <w:r w:rsidR="00F94F74">
      <w:rPr>
        <w:b/>
        <w:noProof/>
        <w:sz w:val="18"/>
      </w:rPr>
      <w:t>2</w:t>
    </w:r>
    <w:r w:rsidRPr="0002303B">
      <w:rPr>
        <w:b/>
        <w:sz w:val="18"/>
      </w:rPr>
      <w:fldChar w:fldCharType="end"/>
    </w:r>
    <w:r>
      <w:rPr>
        <w:b/>
        <w:sz w:val="18"/>
      </w:rPr>
      <w:tab/>
    </w:r>
    <w:r>
      <w:t>GE.16-15058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3B" w:rsidRPr="0002303B" w:rsidRDefault="0002303B" w:rsidP="0002303B">
    <w:pPr>
      <w:pStyle w:val="Footer"/>
      <w:tabs>
        <w:tab w:val="right" w:pos="9638"/>
      </w:tabs>
      <w:rPr>
        <w:b/>
        <w:sz w:val="18"/>
      </w:rPr>
    </w:pPr>
    <w:r>
      <w:t>GE.16-15058</w:t>
    </w:r>
    <w:r>
      <w:tab/>
    </w:r>
    <w:r w:rsidRPr="0002303B">
      <w:rPr>
        <w:b/>
        <w:sz w:val="18"/>
      </w:rPr>
      <w:fldChar w:fldCharType="begin"/>
    </w:r>
    <w:r w:rsidRPr="0002303B">
      <w:rPr>
        <w:b/>
        <w:sz w:val="18"/>
      </w:rPr>
      <w:instrText xml:space="preserve"> PAGE  \* MERGEFORMAT </w:instrText>
    </w:r>
    <w:r w:rsidRPr="0002303B">
      <w:rPr>
        <w:b/>
        <w:sz w:val="18"/>
      </w:rPr>
      <w:fldChar w:fldCharType="separate"/>
    </w:r>
    <w:r>
      <w:rPr>
        <w:b/>
        <w:noProof/>
        <w:sz w:val="18"/>
      </w:rPr>
      <w:t>3</w:t>
    </w:r>
    <w:r w:rsidRPr="000230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02303B" w:rsidRDefault="0002303B" w:rsidP="0002303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180AD79" wp14:editId="208BF4C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16-15058  (F)    230916    031016</w:t>
    </w:r>
    <w:r>
      <w:rPr>
        <w:sz w:val="20"/>
      </w:rPr>
      <w:br/>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sidRPr="0002303B">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39" w:rsidRPr="00AC3823" w:rsidRDefault="00166439" w:rsidP="00AC3823">
      <w:pPr>
        <w:pStyle w:val="Footer"/>
        <w:tabs>
          <w:tab w:val="right" w:pos="2155"/>
        </w:tabs>
        <w:spacing w:after="80" w:line="240" w:lineRule="atLeast"/>
        <w:ind w:left="680"/>
        <w:rPr>
          <w:u w:val="single"/>
        </w:rPr>
      </w:pPr>
      <w:r>
        <w:rPr>
          <w:u w:val="single"/>
        </w:rPr>
        <w:tab/>
      </w:r>
    </w:p>
  </w:footnote>
  <w:footnote w:type="continuationSeparator" w:id="0">
    <w:p w:rsidR="00166439" w:rsidRPr="00AC3823" w:rsidRDefault="00166439" w:rsidP="00AC3823">
      <w:pPr>
        <w:pStyle w:val="Footer"/>
        <w:tabs>
          <w:tab w:val="right" w:pos="2155"/>
        </w:tabs>
        <w:spacing w:after="80" w:line="240" w:lineRule="atLeast"/>
        <w:ind w:left="680"/>
        <w:rPr>
          <w:u w:val="single"/>
        </w:rPr>
      </w:pPr>
      <w:r>
        <w:rPr>
          <w:u w:val="single"/>
        </w:rPr>
        <w:tab/>
      </w:r>
    </w:p>
  </w:footnote>
  <w:footnote w:type="continuationNotice" w:id="1">
    <w:p w:rsidR="00166439" w:rsidRPr="00AC3823" w:rsidRDefault="00166439">
      <w:pPr>
        <w:spacing w:line="240" w:lineRule="auto"/>
        <w:rPr>
          <w:sz w:val="2"/>
          <w:szCs w:val="2"/>
        </w:rPr>
      </w:pPr>
    </w:p>
  </w:footnote>
  <w:footnote w:id="2">
    <w:p w:rsidR="00A636B3" w:rsidRPr="00A636B3" w:rsidRDefault="00A636B3">
      <w:pPr>
        <w:pStyle w:val="FootnoteText"/>
      </w:pPr>
      <w:r>
        <w:rPr>
          <w:rStyle w:val="FootnoteReference"/>
        </w:rPr>
        <w:tab/>
      </w:r>
      <w:r w:rsidRPr="00A636B3">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Pr="006A527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3B" w:rsidRPr="0002303B" w:rsidRDefault="0002303B">
    <w:pPr>
      <w:pStyle w:val="Header"/>
    </w:pPr>
    <w:r>
      <w:t>ECE/TRANS/WP.29/2016/75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3B" w:rsidRPr="0002303B" w:rsidRDefault="0002303B" w:rsidP="0002303B">
    <w:pPr>
      <w:pStyle w:val="Header"/>
      <w:jc w:val="right"/>
    </w:pPr>
    <w:r>
      <w:t>ECE/TRANS/WP.29/2016/75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39"/>
    <w:rsid w:val="00017F94"/>
    <w:rsid w:val="0002303B"/>
    <w:rsid w:val="00023842"/>
    <w:rsid w:val="000334F9"/>
    <w:rsid w:val="0007796D"/>
    <w:rsid w:val="000B7790"/>
    <w:rsid w:val="00111F2F"/>
    <w:rsid w:val="0014365E"/>
    <w:rsid w:val="00143C66"/>
    <w:rsid w:val="00166439"/>
    <w:rsid w:val="00176178"/>
    <w:rsid w:val="001F525A"/>
    <w:rsid w:val="00223272"/>
    <w:rsid w:val="0024779E"/>
    <w:rsid w:val="00257168"/>
    <w:rsid w:val="002744B8"/>
    <w:rsid w:val="002832AC"/>
    <w:rsid w:val="002D7C93"/>
    <w:rsid w:val="00305801"/>
    <w:rsid w:val="00315936"/>
    <w:rsid w:val="003916DE"/>
    <w:rsid w:val="00441C3B"/>
    <w:rsid w:val="00446FE5"/>
    <w:rsid w:val="00452396"/>
    <w:rsid w:val="004837D8"/>
    <w:rsid w:val="004C21EB"/>
    <w:rsid w:val="004E468C"/>
    <w:rsid w:val="00536417"/>
    <w:rsid w:val="005505B7"/>
    <w:rsid w:val="00573BE5"/>
    <w:rsid w:val="00586ED3"/>
    <w:rsid w:val="00596AA9"/>
    <w:rsid w:val="006647BC"/>
    <w:rsid w:val="0071601D"/>
    <w:rsid w:val="007A62E6"/>
    <w:rsid w:val="007F20FA"/>
    <w:rsid w:val="0080684C"/>
    <w:rsid w:val="008510A2"/>
    <w:rsid w:val="00871C75"/>
    <w:rsid w:val="008776DC"/>
    <w:rsid w:val="009705C8"/>
    <w:rsid w:val="009C1CF4"/>
    <w:rsid w:val="009F6B74"/>
    <w:rsid w:val="00A30353"/>
    <w:rsid w:val="00A44605"/>
    <w:rsid w:val="00A636B3"/>
    <w:rsid w:val="00AC3823"/>
    <w:rsid w:val="00AE323C"/>
    <w:rsid w:val="00AF0CB5"/>
    <w:rsid w:val="00B00181"/>
    <w:rsid w:val="00B00B0D"/>
    <w:rsid w:val="00B309C2"/>
    <w:rsid w:val="00B765F7"/>
    <w:rsid w:val="00BA0CA9"/>
    <w:rsid w:val="00C02897"/>
    <w:rsid w:val="00C150C2"/>
    <w:rsid w:val="00C836E0"/>
    <w:rsid w:val="00D3439C"/>
    <w:rsid w:val="00DB1831"/>
    <w:rsid w:val="00DD3BFD"/>
    <w:rsid w:val="00DF6678"/>
    <w:rsid w:val="00E85C74"/>
    <w:rsid w:val="00EA6547"/>
    <w:rsid w:val="00EF2E22"/>
    <w:rsid w:val="00F35BAF"/>
    <w:rsid w:val="00F660DF"/>
    <w:rsid w:val="00F94664"/>
    <w:rsid w:val="00F94F7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06E335-8AE8-4277-9037-D335314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ECE/TRANS/WP.29/2016/75</vt:lpstr>
      <vt:lpstr/>
    </vt:vector>
  </TitlesOfParts>
  <Company>DCM</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ECE/TRANS/WP.29/2016/75</dc:title>
  <dc:subject>FINAL</dc:subject>
  <dc:creator>DARICHE</dc:creator>
  <cp:keywords/>
  <dc:description/>
  <cp:lastModifiedBy>Caillot</cp:lastModifiedBy>
  <cp:revision>2</cp:revision>
  <cp:lastPrinted>2016-10-03T07:15:00Z</cp:lastPrinted>
  <dcterms:created xsi:type="dcterms:W3CDTF">2016-10-10T15:29:00Z</dcterms:created>
  <dcterms:modified xsi:type="dcterms:W3CDTF">2016-10-10T15:29:00Z</dcterms:modified>
</cp:coreProperties>
</file>