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DA4FB3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DA4FB3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DA4FB3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DA4FB3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DA4FB3" w:rsidRDefault="00A658DB" w:rsidP="007B199D">
            <w:pPr>
              <w:jc w:val="right"/>
            </w:pPr>
            <w:r w:rsidRPr="00DA4FB3">
              <w:rPr>
                <w:sz w:val="40"/>
                <w:szCs w:val="40"/>
              </w:rPr>
              <w:t>ECE</w:t>
            </w:r>
            <w:r w:rsidRPr="00DA4FB3">
              <w:t>/</w:t>
            </w:r>
            <w:fldSimple w:instr=" FILLIN  &quot;Введите символ после ЕCE/&quot;  \* MERGEFORMAT ">
              <w:r w:rsidR="00F32934" w:rsidRPr="00DA4FB3">
                <w:t>TRANS/WP.29/GRB/2016/9</w:t>
              </w:r>
            </w:fldSimple>
            <w:r w:rsidRPr="00DA4FB3">
              <w:t xml:space="preserve">                  </w:t>
            </w:r>
          </w:p>
        </w:tc>
      </w:tr>
      <w:tr w:rsidR="00A658DB" w:rsidRPr="00DA4FB3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DA4FB3" w:rsidRDefault="00A658DB" w:rsidP="007B199D">
            <w:pPr>
              <w:spacing w:before="120"/>
              <w:jc w:val="center"/>
            </w:pPr>
            <w:r w:rsidRPr="00DA4FB3">
              <w:rPr>
                <w:noProof/>
                <w:lang w:val="en-GB" w:eastAsia="en-GB"/>
              </w:rPr>
              <w:drawing>
                <wp:inline distT="0" distB="0" distL="0" distR="0" wp14:anchorId="6EFBA1BC" wp14:editId="4678A6CD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DA4FB3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DA4FB3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DA4FB3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DA4FB3" w:rsidRDefault="00A658DB" w:rsidP="007B199D">
            <w:pPr>
              <w:spacing w:before="240"/>
            </w:pPr>
            <w:r w:rsidRPr="00DA4FB3">
              <w:t xml:space="preserve">Distr.: </w:t>
            </w:r>
            <w:bookmarkStart w:id="1" w:name="ПолеСоСписком1"/>
            <w:r w:rsidRPr="00DA4FB3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A4FB3">
              <w:instrText xml:space="preserve"> FORMDROPDOWN </w:instrText>
            </w:r>
            <w:r w:rsidR="001F6A8A">
              <w:fldChar w:fldCharType="separate"/>
            </w:r>
            <w:r w:rsidRPr="00DA4FB3">
              <w:fldChar w:fldCharType="end"/>
            </w:r>
            <w:bookmarkEnd w:id="1"/>
          </w:p>
          <w:p w:rsidR="00A658DB" w:rsidRPr="00DA4FB3" w:rsidRDefault="005A4B37" w:rsidP="007B199D">
            <w:fldSimple w:instr=" FILLIN  &quot;Введите дату документа&quot; \* MERGEFORMAT ">
              <w:r w:rsidR="00F32934" w:rsidRPr="00DA4FB3">
                <w:t>17 June 2016</w:t>
              </w:r>
            </w:fldSimple>
          </w:p>
          <w:p w:rsidR="00A658DB" w:rsidRPr="00DA4FB3" w:rsidRDefault="00A658DB" w:rsidP="007B199D">
            <w:r w:rsidRPr="00DA4FB3">
              <w:t>Russian</w:t>
            </w:r>
          </w:p>
          <w:p w:rsidR="00A658DB" w:rsidRPr="00DA4FB3" w:rsidRDefault="00A658DB" w:rsidP="007B199D">
            <w:r w:rsidRPr="00DA4FB3">
              <w:t xml:space="preserve">Original: </w:t>
            </w:r>
            <w:bookmarkStart w:id="2" w:name="ПолеСоСписком2"/>
            <w:r w:rsidRPr="00DA4FB3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A4FB3">
              <w:instrText xml:space="preserve"> FORMDROPDOWN </w:instrText>
            </w:r>
            <w:r w:rsidR="001F6A8A">
              <w:fldChar w:fldCharType="separate"/>
            </w:r>
            <w:r w:rsidRPr="00DA4FB3">
              <w:fldChar w:fldCharType="end"/>
            </w:r>
            <w:bookmarkEnd w:id="2"/>
          </w:p>
          <w:p w:rsidR="00A658DB" w:rsidRPr="00DA4FB3" w:rsidRDefault="00A658DB" w:rsidP="007B199D"/>
        </w:tc>
      </w:tr>
    </w:tbl>
    <w:p w:rsidR="00A658DB" w:rsidRPr="00DA4FB3" w:rsidRDefault="00A658DB" w:rsidP="00A658DB">
      <w:pPr>
        <w:spacing w:before="120"/>
        <w:rPr>
          <w:b/>
          <w:sz w:val="28"/>
          <w:szCs w:val="28"/>
        </w:rPr>
      </w:pPr>
      <w:r w:rsidRPr="00DA4FB3">
        <w:rPr>
          <w:b/>
          <w:sz w:val="28"/>
          <w:szCs w:val="28"/>
        </w:rPr>
        <w:t>Европейская экономическая комиссия</w:t>
      </w:r>
    </w:p>
    <w:p w:rsidR="00AA154E" w:rsidRPr="00DA4FB3" w:rsidRDefault="00AA154E" w:rsidP="00AA154E">
      <w:pPr>
        <w:spacing w:before="120" w:line="240" w:lineRule="auto"/>
        <w:rPr>
          <w:bCs/>
          <w:sz w:val="28"/>
          <w:szCs w:val="28"/>
        </w:rPr>
      </w:pPr>
      <w:r w:rsidRPr="00DA4FB3">
        <w:rPr>
          <w:bCs/>
          <w:sz w:val="28"/>
          <w:szCs w:val="28"/>
        </w:rPr>
        <w:t>Комитет по внутреннему транспорту</w:t>
      </w:r>
    </w:p>
    <w:p w:rsidR="00AA154E" w:rsidRPr="00DA4FB3" w:rsidRDefault="00AA154E" w:rsidP="00AA154E">
      <w:pPr>
        <w:spacing w:before="120" w:line="240" w:lineRule="auto"/>
        <w:rPr>
          <w:b/>
          <w:sz w:val="24"/>
          <w:szCs w:val="24"/>
        </w:rPr>
      </w:pPr>
      <w:r w:rsidRPr="00DA4FB3">
        <w:rPr>
          <w:b/>
          <w:sz w:val="24"/>
          <w:szCs w:val="24"/>
        </w:rPr>
        <w:t xml:space="preserve">Всемирный форум для согласования правил </w:t>
      </w:r>
      <w:r w:rsidRPr="00DA4FB3">
        <w:rPr>
          <w:b/>
          <w:sz w:val="24"/>
          <w:szCs w:val="24"/>
        </w:rPr>
        <w:br/>
        <w:t>в области транспортных средств</w:t>
      </w:r>
    </w:p>
    <w:p w:rsidR="00AA154E" w:rsidRPr="00DA4FB3" w:rsidRDefault="00AA154E" w:rsidP="00AA154E">
      <w:pPr>
        <w:spacing w:before="120" w:line="240" w:lineRule="auto"/>
        <w:rPr>
          <w:b/>
        </w:rPr>
      </w:pPr>
      <w:r w:rsidRPr="00DA4FB3">
        <w:rPr>
          <w:b/>
        </w:rPr>
        <w:t>Рабочая группа по вопросам шума</w:t>
      </w:r>
    </w:p>
    <w:p w:rsidR="00AA154E" w:rsidRPr="00DA4FB3" w:rsidRDefault="00AA154E" w:rsidP="00AA154E">
      <w:pPr>
        <w:spacing w:before="120" w:line="240" w:lineRule="auto"/>
        <w:rPr>
          <w:b/>
        </w:rPr>
      </w:pPr>
      <w:r w:rsidRPr="00DA4FB3">
        <w:rPr>
          <w:b/>
        </w:rPr>
        <w:t>Шестьдесят четвертая сессия</w:t>
      </w:r>
    </w:p>
    <w:p w:rsidR="00AA154E" w:rsidRPr="00DA4FB3" w:rsidRDefault="00AA154E" w:rsidP="00AA154E">
      <w:pPr>
        <w:spacing w:line="240" w:lineRule="auto"/>
      </w:pPr>
      <w:r w:rsidRPr="00DA4FB3">
        <w:t>Женева, 5–7 сентября 2016 года</w:t>
      </w:r>
    </w:p>
    <w:p w:rsidR="00AA154E" w:rsidRPr="00DA4FB3" w:rsidRDefault="00AA154E" w:rsidP="00AA154E">
      <w:pPr>
        <w:spacing w:line="240" w:lineRule="auto"/>
      </w:pPr>
      <w:r w:rsidRPr="00DA4FB3">
        <w:t>Пункт 11 предварительной повестки дня</w:t>
      </w:r>
    </w:p>
    <w:p w:rsidR="00AA154E" w:rsidRPr="00DA4FB3" w:rsidRDefault="00AA154E" w:rsidP="00AA154E">
      <w:pPr>
        <w:spacing w:line="240" w:lineRule="auto"/>
        <w:rPr>
          <w:b/>
        </w:rPr>
      </w:pPr>
      <w:r w:rsidRPr="00DA4FB3">
        <w:rPr>
          <w:b/>
        </w:rPr>
        <w:t>Бесшумные транспортные средства</w:t>
      </w:r>
    </w:p>
    <w:p w:rsidR="00AA154E" w:rsidRPr="00DA4FB3" w:rsidRDefault="00AA154E" w:rsidP="00AA154E">
      <w:pPr>
        <w:pStyle w:val="HChGR"/>
      </w:pPr>
      <w:r w:rsidRPr="00DA4FB3">
        <w:tab/>
      </w:r>
      <w:r w:rsidRPr="00DA4FB3">
        <w:tab/>
        <w:t xml:space="preserve">Предложение по поправкам серии 01 к новым правилам </w:t>
      </w:r>
      <w:bookmarkStart w:id="3" w:name="OLE_LINK1"/>
      <w:bookmarkStart w:id="4" w:name="OLE_LINK2"/>
      <w:r w:rsidRPr="00DA4FB3">
        <w:t>№ [138]</w:t>
      </w:r>
      <w:bookmarkEnd w:id="3"/>
      <w:bookmarkEnd w:id="4"/>
    </w:p>
    <w:p w:rsidR="00AA154E" w:rsidRPr="00DA4FB3" w:rsidRDefault="00AA154E" w:rsidP="00AA154E">
      <w:pPr>
        <w:pStyle w:val="H1GR"/>
      </w:pPr>
      <w:r w:rsidRPr="00DA4FB3">
        <w:tab/>
      </w:r>
      <w:r w:rsidRPr="00DA4FB3">
        <w:tab/>
        <w:t>Представлено экспертом от Международной организации предприятий автомобильной промышленности</w:t>
      </w:r>
      <w:r w:rsidRPr="00DA4FB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DA4FB3">
        <w:rPr>
          <w:rStyle w:val="FootnoteReference"/>
          <w:sz w:val="20"/>
          <w:vertAlign w:val="baseline"/>
        </w:rPr>
        <w:t xml:space="preserve"> </w:t>
      </w:r>
    </w:p>
    <w:p w:rsidR="00AA154E" w:rsidRPr="00DA4FB3" w:rsidRDefault="00AA154E" w:rsidP="00AA154E">
      <w:pPr>
        <w:pStyle w:val="SingleTxtGR"/>
      </w:pPr>
      <w:r w:rsidRPr="00DA4FB3">
        <w:tab/>
        <w:t>Воспроизведенный ниже текст был подготовлен экспертом от Междун</w:t>
      </w:r>
      <w:r w:rsidRPr="00DA4FB3">
        <w:t>а</w:t>
      </w:r>
      <w:r w:rsidRPr="00DA4FB3">
        <w:t>родной организации предприятий автомобильной промышленности и содержит предложение по поправкам серии 01 к Правилам № [138] (бесшумные тран</w:t>
      </w:r>
      <w:r w:rsidRPr="00DA4FB3">
        <w:t>с</w:t>
      </w:r>
      <w:r w:rsidRPr="00DA4FB3">
        <w:t>портные средства), которые были приняты Всемирным форумом для согласов</w:t>
      </w:r>
      <w:r w:rsidRPr="00DA4FB3">
        <w:t>а</w:t>
      </w:r>
      <w:r w:rsidRPr="00DA4FB3">
        <w:t>ния правил в области транспортных средств (WP.29) в марте 2016 года. Измен</w:t>
      </w:r>
      <w:r w:rsidRPr="00DA4FB3">
        <w:t>е</w:t>
      </w:r>
      <w:r w:rsidRPr="00DA4FB3">
        <w:t>ния к нынешнему тексту Правил (ECE/TRANS/WP.29/2016/26) выделены жи</w:t>
      </w:r>
      <w:r w:rsidRPr="00DA4FB3">
        <w:t>р</w:t>
      </w:r>
      <w:r w:rsidRPr="00DA4FB3">
        <w:t>ным шрифтом в случае новых положений или зачеркиванием в случае искл</w:t>
      </w:r>
      <w:r w:rsidRPr="00DA4FB3">
        <w:t>ю</w:t>
      </w:r>
      <w:r w:rsidRPr="00DA4FB3">
        <w:t xml:space="preserve">ченных элементов. </w:t>
      </w:r>
    </w:p>
    <w:p w:rsidR="00AA154E" w:rsidRPr="00DA4FB3" w:rsidRDefault="00AA154E" w:rsidP="00AA154E">
      <w:pPr>
        <w:pStyle w:val="SingleTxtGR"/>
      </w:pPr>
      <w:r w:rsidRPr="00DA4FB3">
        <w:br w:type="page"/>
      </w:r>
    </w:p>
    <w:p w:rsidR="00AA154E" w:rsidRPr="00DA4FB3" w:rsidRDefault="00AA154E" w:rsidP="00AA154E">
      <w:pPr>
        <w:pStyle w:val="HChGR"/>
      </w:pPr>
      <w:r w:rsidRPr="00DA4FB3">
        <w:lastRenderedPageBreak/>
        <w:tab/>
        <w:t>I.</w:t>
      </w:r>
      <w:r w:rsidRPr="00DA4FB3">
        <w:tab/>
        <w:t>Предложение</w:t>
      </w:r>
    </w:p>
    <w:p w:rsidR="00AA154E" w:rsidRPr="00DA4FB3" w:rsidRDefault="00AA154E" w:rsidP="00AA154E">
      <w:pPr>
        <w:pStyle w:val="SingleTxtGR"/>
      </w:pPr>
      <w:r w:rsidRPr="00DA4FB3">
        <w:rPr>
          <w:i/>
          <w:iCs/>
        </w:rPr>
        <w:t xml:space="preserve">Пункт 1 </w:t>
      </w:r>
      <w:r w:rsidRPr="00DA4FB3">
        <w:t>изменить следующим образом:</w:t>
      </w:r>
    </w:p>
    <w:p w:rsidR="00AA154E" w:rsidRPr="00DA4FB3" w:rsidRDefault="00FF63E3" w:rsidP="00AA154E">
      <w:pPr>
        <w:pStyle w:val="SingleTxtGR"/>
      </w:pPr>
      <w:r>
        <w:t>«</w:t>
      </w:r>
      <w:r w:rsidR="00AA154E" w:rsidRPr="00DA4FB3">
        <w:t>1.</w:t>
      </w:r>
      <w:r w:rsidR="00AA154E" w:rsidRPr="00DA4FB3">
        <w:tab/>
      </w:r>
      <w:r w:rsidR="00AA154E" w:rsidRPr="00DA4FB3">
        <w:tab/>
        <w:t>Область применения</w:t>
      </w:r>
    </w:p>
    <w:p w:rsidR="00AA154E" w:rsidRPr="00DA4FB3" w:rsidRDefault="00AA154E" w:rsidP="00AA154E">
      <w:pPr>
        <w:pStyle w:val="SingleTxtGR"/>
        <w:tabs>
          <w:tab w:val="clear" w:pos="1701"/>
        </w:tabs>
        <w:ind w:left="2268" w:hanging="1134"/>
        <w:rPr>
          <w:lang w:eastAsia="ru-RU"/>
        </w:rPr>
      </w:pPr>
      <w:r w:rsidRPr="00DA4FB3">
        <w:tab/>
        <w:t>Настоящие Правила применяются к электрифицированным тран</w:t>
      </w:r>
      <w:r w:rsidRPr="00DA4FB3">
        <w:t>с</w:t>
      </w:r>
      <w:r w:rsidRPr="00DA4FB3">
        <w:t xml:space="preserve">портным средствам категорий M и N, которые могут </w:t>
      </w:r>
      <w:r w:rsidRPr="00DA4FB3">
        <w:rPr>
          <w:strike/>
        </w:rPr>
        <w:t>двигаться</w:t>
      </w:r>
      <w:r w:rsidRPr="00DA4FB3">
        <w:t xml:space="preserve"> </w:t>
      </w:r>
      <w:r w:rsidRPr="00DA4FB3">
        <w:rPr>
          <w:b/>
          <w:bCs/>
        </w:rPr>
        <w:t>приводиться в движение</w:t>
      </w:r>
      <w:r w:rsidRPr="00DA4FB3">
        <w:t xml:space="preserve"> в обычном режиме, задним ходом или по крайней мере на одной передаче переднего хода при выключенном двигателе внутреннего сгорания</w:t>
      </w:r>
      <w:r w:rsidR="00FF63E3" w:rsidRPr="00FF63E3">
        <w:rPr>
          <w:rStyle w:val="FootnoteReference"/>
        </w:rPr>
        <w:t>1</w:t>
      </w:r>
      <w:r w:rsidRPr="00DA4FB3">
        <w:t>, в отношении их слышимости</w:t>
      </w:r>
      <w:r w:rsidR="00FF63E3">
        <w:t>»</w:t>
      </w:r>
      <w:r w:rsidRPr="00DA4FB3">
        <w:t>.</w:t>
      </w:r>
    </w:p>
    <w:p w:rsidR="00AA154E" w:rsidRPr="00DA4FB3" w:rsidRDefault="00AA154E" w:rsidP="00AA154E">
      <w:pPr>
        <w:pStyle w:val="SingleTxtGR"/>
      </w:pPr>
      <w:r w:rsidRPr="00DA4FB3">
        <w:rPr>
          <w:i/>
          <w:iCs/>
        </w:rPr>
        <w:t xml:space="preserve">Пункт 2.7 </w:t>
      </w:r>
      <w:r w:rsidRPr="00DA4FB3">
        <w:t>изменить следующим образом:</w:t>
      </w:r>
    </w:p>
    <w:p w:rsidR="00AA154E" w:rsidRPr="00DA4FB3" w:rsidRDefault="00E13F69" w:rsidP="00AA154E">
      <w:pPr>
        <w:pStyle w:val="SingleTxtGR"/>
        <w:tabs>
          <w:tab w:val="clear" w:pos="1701"/>
        </w:tabs>
        <w:ind w:left="2268" w:hanging="1134"/>
      </w:pPr>
      <w:r>
        <w:t>«</w:t>
      </w:r>
      <w:r w:rsidR="00AA154E" w:rsidRPr="00DA4FB3">
        <w:t>2.7</w:t>
      </w:r>
      <w:r w:rsidR="00AA154E" w:rsidRPr="00DA4FB3">
        <w:tab/>
      </w:r>
      <w:r>
        <w:t>«</w:t>
      </w:r>
      <w:r w:rsidR="00AA154E" w:rsidRPr="00DA4FB3">
        <w:rPr>
          <w:i/>
          <w:iCs/>
        </w:rPr>
        <w:t>функция временной остановки</w:t>
      </w:r>
      <w:r>
        <w:t>»</w:t>
      </w:r>
      <w:r w:rsidR="00AA154E" w:rsidRPr="00DA4FB3">
        <w:t xml:space="preserve"> означает механизм, </w:t>
      </w:r>
      <w:r w:rsidR="00AA154E" w:rsidRPr="00DA4FB3">
        <w:rPr>
          <w:b/>
          <w:bCs/>
        </w:rPr>
        <w:t>позволя</w:t>
      </w:r>
      <w:r w:rsidR="00AA154E" w:rsidRPr="00DA4FB3">
        <w:rPr>
          <w:b/>
          <w:bCs/>
        </w:rPr>
        <w:t>ю</w:t>
      </w:r>
      <w:r w:rsidR="00AA154E" w:rsidRPr="00DA4FB3">
        <w:rPr>
          <w:b/>
          <w:bCs/>
        </w:rPr>
        <w:t xml:space="preserve">щий водителю </w:t>
      </w:r>
      <w:r w:rsidR="00AA154E" w:rsidRPr="00DA4FB3">
        <w:rPr>
          <w:strike/>
        </w:rPr>
        <w:t>обеспечивающий временную остановку работы</w:t>
      </w:r>
      <w:r w:rsidR="00AA154E" w:rsidRPr="00DA4FB3">
        <w:t xml:space="preserve"> </w:t>
      </w:r>
      <w:r w:rsidR="00AA154E" w:rsidRPr="00DA4FB3">
        <w:rPr>
          <w:b/>
          <w:bCs/>
        </w:rPr>
        <w:t xml:space="preserve">остановить работу </w:t>
      </w:r>
      <w:r w:rsidR="00AA154E" w:rsidRPr="00DA4FB3">
        <w:t xml:space="preserve">АВАС, </w:t>
      </w:r>
      <w:r w:rsidR="00AA154E" w:rsidRPr="00DA4FB3">
        <w:rPr>
          <w:b/>
          <w:bCs/>
        </w:rPr>
        <w:t>когда такая система АВАС устано</w:t>
      </w:r>
      <w:r w:rsidR="00AA154E" w:rsidRPr="00DA4FB3">
        <w:rPr>
          <w:b/>
          <w:bCs/>
        </w:rPr>
        <w:t>в</w:t>
      </w:r>
      <w:r w:rsidR="00AA154E" w:rsidRPr="00DA4FB3">
        <w:rPr>
          <w:b/>
          <w:bCs/>
        </w:rPr>
        <w:t>лена на транспортном средстве</w:t>
      </w:r>
      <w:r>
        <w:t>»</w:t>
      </w:r>
      <w:r w:rsidR="00AA154E" w:rsidRPr="00DA4FB3">
        <w:t>.</w:t>
      </w:r>
    </w:p>
    <w:p w:rsidR="00AA154E" w:rsidRPr="00DA4FB3" w:rsidRDefault="00AA154E" w:rsidP="00AA154E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 w:rsidRPr="00DA4FB3">
        <w:rPr>
          <w:i/>
          <w:iCs/>
        </w:rPr>
        <w:t xml:space="preserve">Пункт 6.2.6 </w:t>
      </w:r>
      <w:r w:rsidRPr="00A97F66">
        <w:rPr>
          <w:iCs/>
        </w:rPr>
        <w:t>изменить следующим образом:</w:t>
      </w:r>
    </w:p>
    <w:p w:rsidR="00AA154E" w:rsidRPr="00DA4FB3" w:rsidRDefault="00E13F69" w:rsidP="00A97F66">
      <w:pPr>
        <w:pStyle w:val="SingleTxtGR"/>
        <w:tabs>
          <w:tab w:val="clear" w:pos="1701"/>
        </w:tabs>
        <w:ind w:left="2268" w:hanging="1134"/>
      </w:pPr>
      <w:r>
        <w:t>«</w:t>
      </w:r>
      <w:r w:rsidR="006A4C80">
        <w:t>6.2.6</w:t>
      </w:r>
      <w:r w:rsidR="006A4C80">
        <w:tab/>
      </w:r>
      <w:r w:rsidR="00AA154E" w:rsidRPr="00DA4FB3">
        <w:t>Функция временной остановки</w:t>
      </w:r>
    </w:p>
    <w:p w:rsidR="00AA154E" w:rsidRPr="00DA4FB3" w:rsidRDefault="00AA154E" w:rsidP="00A97F6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DA4FB3">
        <w:tab/>
      </w:r>
      <w:r w:rsidRPr="00DA4FB3">
        <w:rPr>
          <w:b/>
          <w:bCs/>
        </w:rPr>
        <w:t>Любая функция временной остановки, которая может актив</w:t>
      </w:r>
      <w:r w:rsidRPr="00DA4FB3">
        <w:rPr>
          <w:b/>
          <w:bCs/>
        </w:rPr>
        <w:t>и</w:t>
      </w:r>
      <w:r w:rsidRPr="00DA4FB3">
        <w:rPr>
          <w:b/>
          <w:bCs/>
        </w:rPr>
        <w:t>роваться водителем во время работы транспортного средства, запрещена.</w:t>
      </w:r>
      <w:r w:rsidRPr="00DA4FB3">
        <w:t xml:space="preserve"> </w:t>
      </w:r>
      <w:r w:rsidRPr="00DA4FB3">
        <w:rPr>
          <w:strike/>
        </w:rPr>
        <w:t>Изготовитель может предусмотреть функцию време</w:t>
      </w:r>
      <w:r w:rsidRPr="00DA4FB3">
        <w:rPr>
          <w:strike/>
        </w:rPr>
        <w:t>н</w:t>
      </w:r>
      <w:r w:rsidRPr="00DA4FB3">
        <w:rPr>
          <w:strike/>
        </w:rPr>
        <w:t>ного отключения АВАС. Любая иная функция отключения, которая не соответствует приведенным ниже требованиям, запрещается.</w:t>
      </w:r>
    </w:p>
    <w:p w:rsidR="00AA154E" w:rsidRPr="00DA4FB3" w:rsidRDefault="00AA154E" w:rsidP="00A97F6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DA4FB3">
        <w:rPr>
          <w:strike/>
        </w:rPr>
        <w:t>6.2.6.1</w:t>
      </w:r>
      <w:r w:rsidRPr="00DA4FB3">
        <w:rPr>
          <w:strike/>
        </w:rPr>
        <w:tab/>
        <w:t>Устройство временной остановки должно быть расположено в пр</w:t>
      </w:r>
      <w:r w:rsidRPr="00DA4FB3">
        <w:rPr>
          <w:strike/>
        </w:rPr>
        <w:t>е</w:t>
      </w:r>
      <w:r w:rsidRPr="00DA4FB3">
        <w:rPr>
          <w:strike/>
        </w:rPr>
        <w:t>делах досягаемости водителя, находящегося в нормальном сидячем положении.</w:t>
      </w:r>
    </w:p>
    <w:p w:rsidR="00AA154E" w:rsidRPr="00DA4FB3" w:rsidRDefault="00AA154E" w:rsidP="00A97F6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DA4FB3">
        <w:rPr>
          <w:strike/>
        </w:rPr>
        <w:t>6.2.6.2</w:t>
      </w:r>
      <w:r w:rsidRPr="00DA4FB3">
        <w:rPr>
          <w:strike/>
        </w:rPr>
        <w:tab/>
        <w:t>В случае активации этой функции водитель должен получать че</w:t>
      </w:r>
      <w:r w:rsidRPr="00DA4FB3">
        <w:rPr>
          <w:strike/>
        </w:rPr>
        <w:t>т</w:t>
      </w:r>
      <w:r w:rsidRPr="00DA4FB3">
        <w:rPr>
          <w:strike/>
        </w:rPr>
        <w:t>кое предупреждение о временной остановке работы АВАС.</w:t>
      </w:r>
    </w:p>
    <w:p w:rsidR="00AA154E" w:rsidRPr="00DA4FB3" w:rsidRDefault="00AA154E" w:rsidP="005F5E3C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DA4FB3">
        <w:rPr>
          <w:strike/>
        </w:rPr>
        <w:t>6.2.6.3</w:t>
      </w:r>
      <w:r w:rsidRPr="00DA4FB3">
        <w:rPr>
          <w:strike/>
        </w:rPr>
        <w:tab/>
        <w:t>АВАС повторно включается при каждом запуске транспортного средства, двигатель которого был выключен.</w:t>
      </w:r>
    </w:p>
    <w:p w:rsidR="00AA154E" w:rsidRPr="00DA4FB3" w:rsidRDefault="00AA154E" w:rsidP="005F5E3C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DA4FB3">
        <w:rPr>
          <w:strike/>
        </w:rPr>
        <w:t>6.2.6.4</w:t>
      </w:r>
      <w:r w:rsidRPr="00DA4FB3">
        <w:rPr>
          <w:strike/>
        </w:rPr>
        <w:tab/>
        <w:t>Информация в руководстве по эксплуатации</w:t>
      </w:r>
    </w:p>
    <w:p w:rsidR="00AA154E" w:rsidRPr="00DA4FB3" w:rsidRDefault="006A4C80" w:rsidP="005F5E3C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6A4C80">
        <w:tab/>
      </w:r>
      <w:r w:rsidR="00AA154E" w:rsidRPr="00DA4FB3">
        <w:rPr>
          <w:strike/>
        </w:rPr>
        <w:t>При наличии функции временной остановки изготовитель должен предоставить владельцу информацию (например, в руководстве по эксплуатации) о ее действии:</w:t>
      </w:r>
    </w:p>
    <w:p w:rsidR="00AA154E" w:rsidRPr="00DA4FB3" w:rsidRDefault="006A4C80" w:rsidP="005F5E3C">
      <w:pPr>
        <w:pStyle w:val="SingleTxtGR"/>
        <w:tabs>
          <w:tab w:val="clear" w:pos="1701"/>
        </w:tabs>
        <w:ind w:left="2268" w:hanging="1134"/>
      </w:pPr>
      <w:r w:rsidRPr="006A4C80">
        <w:tab/>
      </w:r>
      <w:r w:rsidR="00E13F69">
        <w:rPr>
          <w:strike/>
        </w:rPr>
        <w:t>«</w:t>
      </w:r>
      <w:r w:rsidR="00AA154E" w:rsidRPr="00DA4FB3">
        <w:rPr>
          <w:strike/>
        </w:rPr>
        <w:t>Функция временной остановки системы звукового предупрежд</w:t>
      </w:r>
      <w:r w:rsidR="00AA154E" w:rsidRPr="00DA4FB3">
        <w:rPr>
          <w:strike/>
        </w:rPr>
        <w:t>е</w:t>
      </w:r>
      <w:r w:rsidR="00AA154E" w:rsidRPr="00DA4FB3">
        <w:rPr>
          <w:strike/>
        </w:rPr>
        <w:t>ния о присутствии транспортного средства (АВАС) должна испол</w:t>
      </w:r>
      <w:r w:rsidR="00AA154E" w:rsidRPr="00DA4FB3">
        <w:rPr>
          <w:strike/>
        </w:rPr>
        <w:t>ь</w:t>
      </w:r>
      <w:r w:rsidR="00AA154E" w:rsidRPr="00DA4FB3">
        <w:rPr>
          <w:strike/>
        </w:rPr>
        <w:t>зоваться только в случае явного отсутствия необходимости в пр</w:t>
      </w:r>
      <w:r w:rsidR="00AA154E" w:rsidRPr="00DA4FB3">
        <w:rPr>
          <w:strike/>
        </w:rPr>
        <w:t>е</w:t>
      </w:r>
      <w:r w:rsidR="00AA154E" w:rsidRPr="00DA4FB3">
        <w:rPr>
          <w:strike/>
        </w:rPr>
        <w:t>дупредительном звуковом сигнале в прилежащей зоне и при нал</w:t>
      </w:r>
      <w:r w:rsidR="00AA154E" w:rsidRPr="00DA4FB3">
        <w:rPr>
          <w:strike/>
        </w:rPr>
        <w:t>и</w:t>
      </w:r>
      <w:r w:rsidR="00AA154E" w:rsidRPr="00DA4FB3">
        <w:rPr>
          <w:strike/>
        </w:rPr>
        <w:t>чии уверенности в том, что в непосредственной близости от тран</w:t>
      </w:r>
      <w:r w:rsidR="00AA154E" w:rsidRPr="00DA4FB3">
        <w:rPr>
          <w:strike/>
        </w:rPr>
        <w:t>с</w:t>
      </w:r>
      <w:r w:rsidR="00AA154E" w:rsidRPr="00DA4FB3">
        <w:rPr>
          <w:strike/>
        </w:rPr>
        <w:t>портного средства нет пешеходов</w:t>
      </w:r>
      <w:r w:rsidR="00E13F69">
        <w:rPr>
          <w:strike/>
        </w:rPr>
        <w:t>»</w:t>
      </w:r>
      <w:r w:rsidR="00AA154E" w:rsidRPr="00DA4FB3">
        <w:rPr>
          <w:strike/>
        </w:rPr>
        <w:t>.</w:t>
      </w:r>
    </w:p>
    <w:p w:rsidR="00AA154E" w:rsidRPr="00DA4FB3" w:rsidRDefault="00AA154E" w:rsidP="00AA154E">
      <w:pPr>
        <w:pStyle w:val="SingleTxtGR"/>
        <w:tabs>
          <w:tab w:val="clear" w:pos="1701"/>
        </w:tabs>
        <w:ind w:left="2268" w:hanging="1134"/>
      </w:pPr>
      <w:r w:rsidRPr="00DA4FB3">
        <w:rPr>
          <w:i/>
          <w:iCs/>
        </w:rPr>
        <w:t>Пункт 11</w:t>
      </w:r>
      <w:r w:rsidRPr="00DA4FB3">
        <w:t xml:space="preserve"> изменить следующим образом:</w:t>
      </w:r>
    </w:p>
    <w:p w:rsidR="00AA154E" w:rsidRPr="00DA4FB3" w:rsidRDefault="00E13F69" w:rsidP="00AA154E">
      <w:pPr>
        <w:pStyle w:val="SingleTxtGR"/>
        <w:tabs>
          <w:tab w:val="clear" w:pos="1701"/>
        </w:tabs>
        <w:ind w:left="2268" w:hanging="1134"/>
      </w:pPr>
      <w:r>
        <w:t>«</w:t>
      </w:r>
      <w:r w:rsidR="00AA154E" w:rsidRPr="00DA4FB3">
        <w:t>11.</w:t>
      </w:r>
      <w:r w:rsidR="00AA154E" w:rsidRPr="00DA4FB3">
        <w:tab/>
        <w:t>Переходные положения</w:t>
      </w:r>
    </w:p>
    <w:p w:rsidR="00AA154E" w:rsidRPr="00DA4FB3" w:rsidRDefault="00AA154E" w:rsidP="00AA154E">
      <w:pPr>
        <w:pStyle w:val="SingleTxtGR"/>
        <w:tabs>
          <w:tab w:val="clear" w:pos="1701"/>
        </w:tabs>
        <w:ind w:left="2268" w:hanging="1134"/>
      </w:pPr>
      <w:r w:rsidRPr="00FF63E3">
        <w:rPr>
          <w:bCs/>
        </w:rPr>
        <w:t>11.</w:t>
      </w:r>
      <w:r w:rsidRPr="00DA4FB3">
        <w:rPr>
          <w:b/>
          <w:bCs/>
        </w:rPr>
        <w:t>1</w:t>
      </w:r>
      <w:r w:rsidRPr="00DA4FB3">
        <w:rPr>
          <w:b/>
          <w:bCs/>
        </w:rPr>
        <w:tab/>
      </w:r>
      <w:r w:rsidRPr="00DA4FB3">
        <w:t>До 30 июня 2019 года для проверки соответствия испытательного трека, описанного в пункте 2.1.2 приложения 3 к настоящим Пр</w:t>
      </w:r>
      <w:r w:rsidRPr="00DA4FB3">
        <w:t>а</w:t>
      </w:r>
      <w:r w:rsidRPr="00DA4FB3">
        <w:t>вилам, в качестве альтернативы стандарту ISO 10844:2014 может применяться стандарт ISO 10844:1994.</w:t>
      </w:r>
    </w:p>
    <w:p w:rsidR="00AA154E" w:rsidRPr="00DA4FB3" w:rsidRDefault="00AA154E" w:rsidP="00AA154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A4FB3">
        <w:rPr>
          <w:b/>
          <w:bCs/>
        </w:rPr>
        <w:lastRenderedPageBreak/>
        <w:t>11.2</w:t>
      </w:r>
      <w:r w:rsidRPr="00DA4FB3">
        <w:tab/>
      </w:r>
      <w:r w:rsidRPr="00DA4FB3">
        <w:rPr>
          <w:b/>
          <w:bCs/>
        </w:rPr>
        <w:t>Начиная с официальной даты вступления в силу поправок с</w:t>
      </w:r>
      <w:r w:rsidRPr="00DA4FB3">
        <w:rPr>
          <w:b/>
          <w:bCs/>
        </w:rPr>
        <w:t>е</w:t>
      </w:r>
      <w:r w:rsidRPr="00DA4FB3">
        <w:rPr>
          <w:b/>
          <w:bCs/>
        </w:rPr>
        <w:t>рии 01 к настоящим Правилам ни одна из Договаривающихся сторон, применяющих настоящие Правила, не отказывает в предоставлении или признании официальных утверждений на основании настоящих Правил с поправками серии 01.</w:t>
      </w:r>
    </w:p>
    <w:p w:rsidR="00AA154E" w:rsidRPr="00DA4FB3" w:rsidRDefault="00AA154E" w:rsidP="00AA154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A4FB3">
        <w:rPr>
          <w:b/>
          <w:bCs/>
        </w:rPr>
        <w:t>11.3</w:t>
      </w:r>
      <w:r w:rsidRPr="00DA4FB3">
        <w:rPr>
          <w:b/>
          <w:bCs/>
        </w:rPr>
        <w:tab/>
        <w:t>Начиная с 1 сентября 2019 года Договаривающиеся стороны, применяющие настоящие Правила, не обязаны признавать официальные утверждения, предоставленные впервые на осн</w:t>
      </w:r>
      <w:r w:rsidRPr="00DA4FB3">
        <w:rPr>
          <w:b/>
          <w:bCs/>
        </w:rPr>
        <w:t>о</w:t>
      </w:r>
      <w:r w:rsidRPr="00DA4FB3">
        <w:rPr>
          <w:b/>
          <w:bCs/>
        </w:rPr>
        <w:t>вании настоящих Правил в их первоначальном варианте после 1 сентября 2019 года.</w:t>
      </w:r>
    </w:p>
    <w:p w:rsidR="00AA154E" w:rsidRPr="00DA4FB3" w:rsidRDefault="00AA154E" w:rsidP="00AA154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A4FB3">
        <w:rPr>
          <w:b/>
          <w:bCs/>
        </w:rPr>
        <w:t>11.4</w:t>
      </w:r>
      <w:r w:rsidRPr="00DA4FB3">
        <w:rPr>
          <w:b/>
          <w:bCs/>
        </w:rPr>
        <w:tab/>
        <w:t>До 1 сентября [2021] года Договаривающиеся стороны, прим</w:t>
      </w:r>
      <w:r w:rsidRPr="00DA4FB3">
        <w:rPr>
          <w:b/>
          <w:bCs/>
        </w:rPr>
        <w:t>е</w:t>
      </w:r>
      <w:r w:rsidRPr="00DA4FB3">
        <w:rPr>
          <w:b/>
          <w:bCs/>
        </w:rPr>
        <w:t>няющие настоящие Правила, признают официальные утве</w:t>
      </w:r>
      <w:r w:rsidRPr="00DA4FB3">
        <w:rPr>
          <w:b/>
          <w:bCs/>
        </w:rPr>
        <w:t>р</w:t>
      </w:r>
      <w:r w:rsidRPr="00DA4FB3">
        <w:rPr>
          <w:b/>
          <w:bCs/>
        </w:rPr>
        <w:t>ждения типа, предоставленные впервые на основании пред</w:t>
      </w:r>
      <w:r w:rsidRPr="00DA4FB3">
        <w:rPr>
          <w:b/>
          <w:bCs/>
        </w:rPr>
        <w:t>ы</w:t>
      </w:r>
      <w:r w:rsidRPr="00DA4FB3">
        <w:rPr>
          <w:b/>
          <w:bCs/>
        </w:rPr>
        <w:t>дущих серий поправок до 1 сентября 2019 года.</w:t>
      </w:r>
    </w:p>
    <w:p w:rsidR="00AA154E" w:rsidRPr="00DA4FB3" w:rsidRDefault="00AA154E" w:rsidP="00AA154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A4FB3">
        <w:rPr>
          <w:b/>
          <w:bCs/>
        </w:rPr>
        <w:t>11.5</w:t>
      </w:r>
      <w:r w:rsidRPr="00DA4FB3">
        <w:rPr>
          <w:b/>
          <w:bCs/>
        </w:rPr>
        <w:tab/>
        <w:t>После 1 сентября [2021] года Договаривающиеся стороны, пр</w:t>
      </w:r>
      <w:r w:rsidRPr="00DA4FB3">
        <w:rPr>
          <w:b/>
          <w:bCs/>
        </w:rPr>
        <w:t>и</w:t>
      </w:r>
      <w:r w:rsidRPr="00DA4FB3">
        <w:rPr>
          <w:b/>
          <w:bCs/>
        </w:rPr>
        <w:t>меняющие настоящие Правила, не обязаны признавать офиц</w:t>
      </w:r>
      <w:r w:rsidRPr="00DA4FB3">
        <w:rPr>
          <w:b/>
          <w:bCs/>
        </w:rPr>
        <w:t>и</w:t>
      </w:r>
      <w:r w:rsidRPr="00DA4FB3">
        <w:rPr>
          <w:b/>
          <w:bCs/>
        </w:rPr>
        <w:t>альные утверждения типа, предоставленные на основании предыдущих серий поправок к настоящим Правилам.</w:t>
      </w:r>
    </w:p>
    <w:p w:rsidR="00AA154E" w:rsidRPr="00DA4FB3" w:rsidRDefault="00AA154E" w:rsidP="00AA154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A4FB3">
        <w:rPr>
          <w:b/>
          <w:bCs/>
        </w:rPr>
        <w:t>11.6</w:t>
      </w:r>
      <w:r w:rsidRPr="00DA4FB3">
        <w:rPr>
          <w:b/>
          <w:bCs/>
        </w:rPr>
        <w:tab/>
        <w:t>Независимо от пунктов 11.3−11.5, приведенных выше, офиц</w:t>
      </w:r>
      <w:r w:rsidRPr="00DA4FB3">
        <w:rPr>
          <w:b/>
          <w:bCs/>
        </w:rPr>
        <w:t>и</w:t>
      </w:r>
      <w:r w:rsidRPr="00DA4FB3">
        <w:rPr>
          <w:b/>
          <w:bCs/>
        </w:rPr>
        <w:t>альные утверждения типа, предоставленные на основании предыдущих серий поправок к настоящим Правилам, которые не охвачены поправками серии 01, остаются в силе и Догов</w:t>
      </w:r>
      <w:r w:rsidRPr="00DA4FB3">
        <w:rPr>
          <w:b/>
          <w:bCs/>
        </w:rPr>
        <w:t>а</w:t>
      </w:r>
      <w:r w:rsidRPr="00DA4FB3">
        <w:rPr>
          <w:b/>
          <w:bCs/>
        </w:rPr>
        <w:t>ривающиеся стороны, применяющие настоящие Правила, пр</w:t>
      </w:r>
      <w:r w:rsidRPr="00DA4FB3">
        <w:rPr>
          <w:b/>
          <w:bCs/>
        </w:rPr>
        <w:t>и</w:t>
      </w:r>
      <w:r w:rsidRPr="00DA4FB3">
        <w:rPr>
          <w:b/>
          <w:bCs/>
        </w:rPr>
        <w:t>знают их.</w:t>
      </w:r>
    </w:p>
    <w:p w:rsidR="00AA154E" w:rsidRPr="00DA4FB3" w:rsidRDefault="00AA154E" w:rsidP="00AA154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A4FB3">
        <w:rPr>
          <w:b/>
          <w:bCs/>
        </w:rPr>
        <w:t>11.7</w:t>
      </w:r>
      <w:r w:rsidRPr="00DA4FB3">
        <w:rPr>
          <w:b/>
          <w:bCs/>
        </w:rPr>
        <w:tab/>
        <w:t>Независимо от переходных положений, приведенных выше, Д</w:t>
      </w:r>
      <w:r w:rsidRPr="00DA4FB3">
        <w:rPr>
          <w:b/>
          <w:bCs/>
        </w:rPr>
        <w:t>о</w:t>
      </w:r>
      <w:r w:rsidRPr="00DA4FB3">
        <w:rPr>
          <w:b/>
          <w:bCs/>
        </w:rPr>
        <w:t>говаривающиеся стороны, в которых настоящие Правила ООН вступают в силу после даты в</w:t>
      </w:r>
      <w:r w:rsidR="00495429">
        <w:rPr>
          <w:b/>
          <w:bCs/>
        </w:rPr>
        <w:t>ступления в силу поправок с</w:t>
      </w:r>
      <w:r w:rsidR="00495429">
        <w:rPr>
          <w:b/>
          <w:bCs/>
        </w:rPr>
        <w:t>е</w:t>
      </w:r>
      <w:r w:rsidR="00495429">
        <w:rPr>
          <w:b/>
          <w:bCs/>
        </w:rPr>
        <w:t>рии </w:t>
      </w:r>
      <w:r w:rsidRPr="00DA4FB3">
        <w:rPr>
          <w:b/>
          <w:bCs/>
        </w:rPr>
        <w:t>01, не обязаны признавать официальные утверждения, предоставленные на основании настоящих Правил в их перв</w:t>
      </w:r>
      <w:r w:rsidRPr="00DA4FB3">
        <w:rPr>
          <w:b/>
          <w:bCs/>
        </w:rPr>
        <w:t>о</w:t>
      </w:r>
      <w:r w:rsidRPr="00DA4FB3">
        <w:rPr>
          <w:b/>
          <w:bCs/>
        </w:rPr>
        <w:t>начальном варианте, и обязаны признавать только официал</w:t>
      </w:r>
      <w:r w:rsidRPr="00DA4FB3">
        <w:rPr>
          <w:b/>
          <w:bCs/>
        </w:rPr>
        <w:t>ь</w:t>
      </w:r>
      <w:r w:rsidRPr="00DA4FB3">
        <w:rPr>
          <w:b/>
          <w:bCs/>
        </w:rPr>
        <w:t>ные утверждения типа, которые предоставлены в соответствии с поправками серии 01.</w:t>
      </w:r>
    </w:p>
    <w:p w:rsidR="00AA154E" w:rsidRPr="00DA4FB3" w:rsidRDefault="00AA154E" w:rsidP="00AA154E">
      <w:pPr>
        <w:pStyle w:val="SingleTxtGR"/>
        <w:tabs>
          <w:tab w:val="clear" w:pos="1701"/>
        </w:tabs>
        <w:ind w:left="2268" w:hanging="1134"/>
      </w:pPr>
      <w:r w:rsidRPr="00DA4FB3">
        <w:rPr>
          <w:b/>
          <w:bCs/>
        </w:rPr>
        <w:t>11.8</w:t>
      </w:r>
      <w:r w:rsidRPr="00DA4FB3">
        <w:rPr>
          <w:b/>
          <w:bCs/>
        </w:rPr>
        <w:tab/>
        <w:t>Договаривающиеся стороны, применяющие настоящие Прав</w:t>
      </w:r>
      <w:r w:rsidRPr="00DA4FB3">
        <w:rPr>
          <w:b/>
          <w:bCs/>
        </w:rPr>
        <w:t>и</w:t>
      </w:r>
      <w:r w:rsidRPr="00DA4FB3">
        <w:rPr>
          <w:b/>
          <w:bCs/>
        </w:rPr>
        <w:t>ла, не отказывают в предоставлении или распространении официальных утверждений на основании настоящих Правил в их первоначальном варианте</w:t>
      </w:r>
      <w:r w:rsidR="00E13F69" w:rsidRPr="00FF63E3">
        <w:rPr>
          <w:bCs/>
        </w:rPr>
        <w:t>»</w:t>
      </w:r>
      <w:r w:rsidRPr="00FF63E3">
        <w:rPr>
          <w:bCs/>
        </w:rPr>
        <w:t>.</w:t>
      </w:r>
    </w:p>
    <w:p w:rsidR="00AA154E" w:rsidRPr="00DA4FB3" w:rsidRDefault="00AA154E" w:rsidP="00AA154E">
      <w:pPr>
        <w:pStyle w:val="HChGR"/>
      </w:pPr>
      <w:r w:rsidRPr="00DA4FB3">
        <w:tab/>
        <w:t>II.</w:t>
      </w:r>
      <w:r w:rsidRPr="00DA4FB3">
        <w:tab/>
        <w:t>Обоснование</w:t>
      </w:r>
    </w:p>
    <w:p w:rsidR="00AA154E" w:rsidRPr="00DA4FB3" w:rsidRDefault="00A80BF2" w:rsidP="00A80BF2">
      <w:pPr>
        <w:pStyle w:val="H4GR"/>
      </w:pPr>
      <w:r w:rsidRPr="00FF63E3">
        <w:tab/>
      </w:r>
      <w:r w:rsidRPr="00FF63E3">
        <w:tab/>
      </w:r>
      <w:r w:rsidR="00AA154E" w:rsidRPr="00DA4FB3">
        <w:t>Пункт 1. Область применения</w:t>
      </w:r>
    </w:p>
    <w:p w:rsidR="00AA154E" w:rsidRPr="00DA4FB3" w:rsidRDefault="00AA154E" w:rsidP="00AA154E">
      <w:pPr>
        <w:pStyle w:val="SingleTxtGR"/>
        <w:rPr>
          <w:bCs/>
        </w:rPr>
      </w:pPr>
      <w:r w:rsidRPr="00DA4FB3">
        <w:rPr>
          <w:bCs/>
        </w:rPr>
        <w:t>1.</w:t>
      </w:r>
      <w:r w:rsidRPr="00DA4FB3">
        <w:rPr>
          <w:bCs/>
        </w:rPr>
        <w:tab/>
        <w:t>Нынешние положения Правил № [138] требуют проведения испытаний в условиях, когда электрический двигатель автомобиля работает в активном р</w:t>
      </w:r>
      <w:r w:rsidRPr="00DA4FB3">
        <w:rPr>
          <w:bCs/>
        </w:rPr>
        <w:t>е</w:t>
      </w:r>
      <w:r w:rsidRPr="00DA4FB3">
        <w:rPr>
          <w:bCs/>
        </w:rPr>
        <w:t xml:space="preserve">жиме. Слово </w:t>
      </w:r>
      <w:r w:rsidR="00E13F69">
        <w:rPr>
          <w:bCs/>
        </w:rPr>
        <w:t>«</w:t>
      </w:r>
      <w:r w:rsidRPr="00DA4FB3">
        <w:rPr>
          <w:bCs/>
        </w:rPr>
        <w:t>двигаться</w:t>
      </w:r>
      <w:r w:rsidR="00E13F69">
        <w:rPr>
          <w:bCs/>
        </w:rPr>
        <w:t>»</w:t>
      </w:r>
      <w:r w:rsidRPr="00DA4FB3">
        <w:rPr>
          <w:bCs/>
        </w:rPr>
        <w:t xml:space="preserve"> может ввести в заблуждение, поскольку оно может быть понято таким образом, что охвачены также режимы, для которых в наст</w:t>
      </w:r>
      <w:r w:rsidRPr="00DA4FB3">
        <w:rPr>
          <w:bCs/>
        </w:rPr>
        <w:t>о</w:t>
      </w:r>
      <w:r w:rsidRPr="00DA4FB3">
        <w:rPr>
          <w:bCs/>
        </w:rPr>
        <w:t>ящих Правилах не предусмотрено никаких условий испытаний. Поэтому под действие настоящих Правил могут подпадать другие транспортные средства, например, любое транспортное средство, которое может рекуперировать эне</w:t>
      </w:r>
      <w:r w:rsidRPr="00DA4FB3">
        <w:rPr>
          <w:bCs/>
        </w:rPr>
        <w:t>р</w:t>
      </w:r>
      <w:r w:rsidRPr="00DA4FB3">
        <w:rPr>
          <w:bCs/>
        </w:rPr>
        <w:t xml:space="preserve">гию при движении накатом, что не свидетельствует о том, что оно успешно прошло испытание. Представляется нецелесообразным выдавать официальное </w:t>
      </w:r>
      <w:r w:rsidRPr="00DA4FB3">
        <w:rPr>
          <w:bCs/>
        </w:rPr>
        <w:lastRenderedPageBreak/>
        <w:t>утверждение на основании настоящих Правил для транспортных средств без проведения фактических испытаний, подтверждающих их соответствие треб</w:t>
      </w:r>
      <w:r w:rsidRPr="00DA4FB3">
        <w:rPr>
          <w:bCs/>
        </w:rPr>
        <w:t>о</w:t>
      </w:r>
      <w:r w:rsidRPr="00DA4FB3">
        <w:rPr>
          <w:bCs/>
        </w:rPr>
        <w:t>ваниям. Предлагаемая формулировка ограничивает область применения реж</w:t>
      </w:r>
      <w:r w:rsidRPr="00DA4FB3">
        <w:rPr>
          <w:bCs/>
        </w:rPr>
        <w:t>и</w:t>
      </w:r>
      <w:r w:rsidRPr="00DA4FB3">
        <w:rPr>
          <w:bCs/>
        </w:rPr>
        <w:t>мами вождения, которые охвачены настоящими Правилами.</w:t>
      </w:r>
    </w:p>
    <w:p w:rsidR="00AA154E" w:rsidRPr="00DA4FB3" w:rsidRDefault="00A80BF2" w:rsidP="00A80BF2">
      <w:pPr>
        <w:pStyle w:val="H4GR"/>
      </w:pPr>
      <w:r w:rsidRPr="00FF63E3">
        <w:tab/>
      </w:r>
      <w:r w:rsidRPr="00FF63E3">
        <w:tab/>
      </w:r>
      <w:r w:rsidR="00AA154E" w:rsidRPr="00DA4FB3">
        <w:t>Пункт 2.7</w:t>
      </w:r>
    </w:p>
    <w:p w:rsidR="00AA154E" w:rsidRPr="00DA4FB3" w:rsidRDefault="00AA154E" w:rsidP="00AA154E">
      <w:pPr>
        <w:pStyle w:val="SingleTxtGR"/>
        <w:rPr>
          <w:bCs/>
        </w:rPr>
      </w:pPr>
      <w:r w:rsidRPr="00DA4FB3">
        <w:rPr>
          <w:bCs/>
        </w:rPr>
        <w:t>2.</w:t>
      </w:r>
      <w:r w:rsidRPr="00DA4FB3">
        <w:rPr>
          <w:bCs/>
        </w:rPr>
        <w:tab/>
        <w:t xml:space="preserve">Определение </w:t>
      </w:r>
      <w:r w:rsidR="00E13F69">
        <w:t>«</w:t>
      </w:r>
      <w:r w:rsidRPr="00DA4FB3">
        <w:t>функция временной остановки</w:t>
      </w:r>
      <w:r w:rsidR="00E13F69">
        <w:t>»</w:t>
      </w:r>
      <w:r w:rsidRPr="00DA4FB3">
        <w:rPr>
          <w:bCs/>
        </w:rPr>
        <w:t xml:space="preserve"> уточнено для конкретного указания на то, что может быть остановлена работа только системы АВАС</w:t>
      </w:r>
      <w:r w:rsidR="00E13F69">
        <w:rPr>
          <w:bCs/>
        </w:rPr>
        <w:t xml:space="preserve"> (в </w:t>
      </w:r>
      <w:r w:rsidRPr="00DA4FB3">
        <w:rPr>
          <w:bCs/>
        </w:rPr>
        <w:t>случае ее установки на транспортном средстве) и что водитель не может вмешиваться в работу других соответствующих источников звука, создающих естественный звуковой фон транспортного средства.</w:t>
      </w:r>
    </w:p>
    <w:p w:rsidR="00AA154E" w:rsidRPr="00DA4FB3" w:rsidRDefault="00E13F69" w:rsidP="00E13F69">
      <w:pPr>
        <w:pStyle w:val="H4GR"/>
      </w:pPr>
      <w:r w:rsidRPr="00FF63E3">
        <w:tab/>
      </w:r>
      <w:r w:rsidRPr="00FF63E3">
        <w:tab/>
      </w:r>
      <w:r w:rsidR="00AA154E" w:rsidRPr="00DA4FB3">
        <w:t>Пункт 6.2.6</w:t>
      </w:r>
    </w:p>
    <w:p w:rsidR="00AA154E" w:rsidRPr="00DA4FB3" w:rsidRDefault="00AA154E" w:rsidP="00AA154E">
      <w:pPr>
        <w:pStyle w:val="SingleTxtGR"/>
        <w:rPr>
          <w:bCs/>
        </w:rPr>
      </w:pPr>
      <w:r w:rsidRPr="00DA4FB3">
        <w:rPr>
          <w:bCs/>
        </w:rPr>
        <w:t>3.</w:t>
      </w:r>
      <w:r w:rsidRPr="00DA4FB3">
        <w:rPr>
          <w:bCs/>
        </w:rPr>
        <w:tab/>
        <w:t>Предложение отражает результаты обсуждения в рамках Рабочей группы по вопросам шума (GRB) и учитывает предложение Японии о запрещении л</w:t>
      </w:r>
      <w:r w:rsidRPr="00DA4FB3">
        <w:rPr>
          <w:bCs/>
        </w:rPr>
        <w:t>ю</w:t>
      </w:r>
      <w:r w:rsidRPr="00DA4FB3">
        <w:rPr>
          <w:bCs/>
        </w:rPr>
        <w:t xml:space="preserve">бой </w:t>
      </w:r>
      <w:r w:rsidR="00E13F69">
        <w:t>«</w:t>
      </w:r>
      <w:r w:rsidRPr="00DA4FB3">
        <w:t>функции временной остановки</w:t>
      </w:r>
      <w:r w:rsidR="00E13F69">
        <w:t>»</w:t>
      </w:r>
      <w:r w:rsidRPr="00DA4FB3">
        <w:rPr>
          <w:bCs/>
        </w:rPr>
        <w:t>. Хотя МОПАП не полностью согласна с тем, чтобы ввести общий запрет на использование этих устройств, мы считаем, что формулировка, предложенная МОПАП, будет лучше отвечать нынешним требованиям.</w:t>
      </w:r>
    </w:p>
    <w:p w:rsidR="00AA154E" w:rsidRPr="00DA4FB3" w:rsidRDefault="00AA154E" w:rsidP="00AA154E">
      <w:pPr>
        <w:pStyle w:val="SingleTxtGR"/>
        <w:rPr>
          <w:bCs/>
        </w:rPr>
      </w:pPr>
      <w:r w:rsidRPr="00DA4FB3">
        <w:rPr>
          <w:bCs/>
        </w:rPr>
        <w:t>4.</w:t>
      </w:r>
      <w:r w:rsidRPr="00DA4FB3">
        <w:rPr>
          <w:bCs/>
        </w:rPr>
        <w:tab/>
        <w:t>Водитель транспортного средства не должен дезактивировать АВАС в процессе вождения. Однако у изготовителя должна быть возможность актив</w:t>
      </w:r>
      <w:r w:rsidRPr="00DA4FB3">
        <w:rPr>
          <w:bCs/>
        </w:rPr>
        <w:t>и</w:t>
      </w:r>
      <w:r w:rsidRPr="00DA4FB3">
        <w:rPr>
          <w:bCs/>
        </w:rPr>
        <w:t>ровать или дезактивировать АВАС с помощью региональных кодов в соотве</w:t>
      </w:r>
      <w:r w:rsidRPr="00DA4FB3">
        <w:rPr>
          <w:bCs/>
        </w:rPr>
        <w:t>т</w:t>
      </w:r>
      <w:r w:rsidRPr="00DA4FB3">
        <w:rPr>
          <w:bCs/>
        </w:rPr>
        <w:t>ствии с правовыми положениями, применяемыми на различных рынках. Например, в Европейском союзе использование АВАС обязательно. Пользов</w:t>
      </w:r>
      <w:r w:rsidRPr="00DA4FB3">
        <w:rPr>
          <w:bCs/>
        </w:rPr>
        <w:t>а</w:t>
      </w:r>
      <w:r w:rsidRPr="00DA4FB3">
        <w:rPr>
          <w:bCs/>
        </w:rPr>
        <w:t>тели и водители транспортных средств не должны иметь доступа к кодам изг</w:t>
      </w:r>
      <w:r w:rsidRPr="00DA4FB3">
        <w:rPr>
          <w:bCs/>
        </w:rPr>
        <w:t>о</w:t>
      </w:r>
      <w:r w:rsidRPr="00DA4FB3">
        <w:rPr>
          <w:bCs/>
        </w:rPr>
        <w:t>товителя.</w:t>
      </w:r>
    </w:p>
    <w:p w:rsidR="00AA154E" w:rsidRPr="00DA4FB3" w:rsidRDefault="00AA154E" w:rsidP="00AA154E">
      <w:pPr>
        <w:pStyle w:val="SingleTxtGR"/>
        <w:rPr>
          <w:bCs/>
        </w:rPr>
      </w:pPr>
      <w:r w:rsidRPr="00DA4FB3">
        <w:rPr>
          <w:bCs/>
        </w:rPr>
        <w:t>5.</w:t>
      </w:r>
      <w:r w:rsidRPr="00DA4FB3">
        <w:rPr>
          <w:bCs/>
        </w:rPr>
        <w:tab/>
        <w:t>Кроме того, изготовитель должен иметь возможность автоматически о</w:t>
      </w:r>
      <w:r w:rsidRPr="00DA4FB3">
        <w:rPr>
          <w:bCs/>
        </w:rPr>
        <w:t>т</w:t>
      </w:r>
      <w:r w:rsidRPr="00DA4FB3">
        <w:rPr>
          <w:bCs/>
        </w:rPr>
        <w:t>ключать систему АВАС вне зоны применения настоящих Правил, как это предусмотрено в пункте 6.2.</w:t>
      </w:r>
    </w:p>
    <w:p w:rsidR="00AA154E" w:rsidRPr="00DA4FB3" w:rsidRDefault="00E13F69" w:rsidP="00E13F69">
      <w:pPr>
        <w:pStyle w:val="H4GR"/>
      </w:pPr>
      <w:r w:rsidRPr="00FF63E3">
        <w:tab/>
      </w:r>
      <w:r w:rsidRPr="00FF63E3">
        <w:tab/>
      </w:r>
      <w:r w:rsidR="00AA154E" w:rsidRPr="00DA4FB3">
        <w:t>Пункт 11</w:t>
      </w:r>
    </w:p>
    <w:p w:rsidR="00AA154E" w:rsidRPr="00DA4FB3" w:rsidRDefault="00AA154E" w:rsidP="00AA154E">
      <w:pPr>
        <w:pStyle w:val="SingleTxtGR"/>
      </w:pPr>
      <w:r w:rsidRPr="00DA4FB3">
        <w:rPr>
          <w:bCs/>
        </w:rPr>
        <w:t>4.</w:t>
      </w:r>
      <w:r w:rsidRPr="00DA4FB3">
        <w:rPr>
          <w:bCs/>
        </w:rPr>
        <w:tab/>
        <w:t>Переходные положения были включены с учетом принципов WP.29, к</w:t>
      </w:r>
      <w:r w:rsidRPr="00DA4FB3">
        <w:rPr>
          <w:bCs/>
        </w:rPr>
        <w:t>а</w:t>
      </w:r>
      <w:r w:rsidRPr="00DA4FB3">
        <w:rPr>
          <w:bCs/>
        </w:rPr>
        <w:t>сающихся новых серий</w:t>
      </w:r>
      <w:r w:rsidR="00957759">
        <w:rPr>
          <w:bCs/>
        </w:rPr>
        <w:t xml:space="preserve"> поправок. Пункт 11.6</w:t>
      </w:r>
      <w:r w:rsidRPr="00DA4FB3">
        <w:rPr>
          <w:bCs/>
        </w:rPr>
        <w:t xml:space="preserve"> был добавлен для того, чтобы оставить в силе существующие официальные утверждения, которые также с</w:t>
      </w:r>
      <w:r w:rsidRPr="00DA4FB3">
        <w:rPr>
          <w:bCs/>
        </w:rPr>
        <w:t>о</w:t>
      </w:r>
      <w:r w:rsidRPr="00DA4FB3">
        <w:rPr>
          <w:bCs/>
        </w:rPr>
        <w:t xml:space="preserve">ответствуют новой серии поправок, как это имеет место в случае транспортных средств, не имеющих функции </w:t>
      </w:r>
      <w:r w:rsidRPr="00DA4FB3">
        <w:t>временной остановки</w:t>
      </w:r>
      <w:r w:rsidRPr="00DA4FB3">
        <w:rPr>
          <w:bCs/>
        </w:rPr>
        <w:t xml:space="preserve"> согласно новому предл</w:t>
      </w:r>
      <w:r w:rsidRPr="00DA4FB3">
        <w:rPr>
          <w:bCs/>
        </w:rPr>
        <w:t>о</w:t>
      </w:r>
      <w:r w:rsidRPr="00DA4FB3">
        <w:rPr>
          <w:bCs/>
        </w:rPr>
        <w:t>женному пункту 6.2.6.</w:t>
      </w:r>
    </w:p>
    <w:p w:rsidR="00A658DB" w:rsidRPr="00DA4FB3" w:rsidRDefault="00F75EBA" w:rsidP="00F75EBA">
      <w:pPr>
        <w:spacing w:before="240"/>
        <w:jc w:val="center"/>
        <w:rPr>
          <w:u w:val="single"/>
        </w:rPr>
      </w:pPr>
      <w:r w:rsidRPr="00DA4FB3">
        <w:rPr>
          <w:u w:val="single"/>
        </w:rPr>
        <w:tab/>
      </w:r>
      <w:r w:rsidRPr="00DA4FB3">
        <w:rPr>
          <w:u w:val="single"/>
        </w:rPr>
        <w:tab/>
      </w:r>
      <w:r w:rsidRPr="00DA4FB3">
        <w:rPr>
          <w:u w:val="single"/>
        </w:rPr>
        <w:tab/>
      </w:r>
    </w:p>
    <w:sectPr w:rsidR="00A658DB" w:rsidRPr="00DA4FB3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34" w:rsidRDefault="00F32934" w:rsidP="00B471C5">
      <w:r>
        <w:separator/>
      </w:r>
    </w:p>
  </w:endnote>
  <w:endnote w:type="continuationSeparator" w:id="0">
    <w:p w:rsidR="00F32934" w:rsidRDefault="00F3293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F6A8A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513215" w:rsidRPr="00513215">
      <w:rPr>
        <w:lang w:val="en-US"/>
      </w:rPr>
      <w:t>10158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513215" w:rsidRPr="00513215">
      <w:rPr>
        <w:lang w:val="en-US"/>
      </w:rPr>
      <w:t>10158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F6A8A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513215" w:rsidRPr="00513215">
            <w:rPr>
              <w:lang w:val="en-US"/>
            </w:rPr>
            <w:t>10158</w:t>
          </w:r>
          <w:r w:rsidRPr="00513215">
            <w:t xml:space="preserve"> </w:t>
          </w:r>
          <w:r w:rsidRPr="001C3ABC">
            <w:rPr>
              <w:lang w:val="en-US"/>
            </w:rPr>
            <w:t>(R)</w:t>
          </w:r>
          <w:r w:rsidR="00513215">
            <w:rPr>
              <w:lang w:val="en-US"/>
            </w:rPr>
            <w:t xml:space="preserve">  010716  010716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236B0C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B/2016/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B/2016/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13215" w:rsidRDefault="0051321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132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132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132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132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132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132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132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132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5132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34" w:rsidRPr="009141DC" w:rsidRDefault="00F3293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32934" w:rsidRPr="00D1261C" w:rsidRDefault="00F3293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A154E" w:rsidRPr="00295BAB" w:rsidRDefault="00AA154E" w:rsidP="00AA154E">
      <w:pPr>
        <w:pStyle w:val="FootnoteText"/>
        <w:rPr>
          <w:sz w:val="20"/>
          <w:lang w:val="ru-RU"/>
        </w:rPr>
      </w:pPr>
      <w:r>
        <w:tab/>
      </w:r>
      <w:r w:rsidRPr="00656ED4">
        <w:rPr>
          <w:rStyle w:val="FootnoteReference"/>
          <w:sz w:val="20"/>
          <w:vertAlign w:val="baseline"/>
          <w:lang w:val="ru-RU"/>
        </w:rPr>
        <w:t>*</w:t>
      </w:r>
      <w:r w:rsidRPr="00656ED4">
        <w:rPr>
          <w:sz w:val="20"/>
          <w:lang w:val="ru-RU"/>
        </w:rPr>
        <w:t xml:space="preserve"> </w:t>
      </w:r>
      <w:r w:rsidRPr="00656ED4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656ED4">
        <w:rPr>
          <w:lang w:val="ru-RU"/>
        </w:rPr>
        <w:br/>
        <w:t xml:space="preserve">на 2014–2018 годы (ECE/TRANS/240, пункт 105, и ECE/TRANS/2014/26, подпрограмма 02.4) Всемирный форум будет разрабатывать, согласовывать </w:t>
      </w:r>
      <w:r w:rsidRPr="00295BAB">
        <w:rPr>
          <w:lang w:val="ru-RU"/>
        </w:rPr>
        <w:br/>
      </w:r>
      <w:r w:rsidRPr="00656ED4">
        <w:rPr>
          <w:lang w:val="ru-RU"/>
        </w:rPr>
        <w:t>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236B0C">
    <w:pPr>
      <w:pStyle w:val="Header"/>
      <w:rPr>
        <w:lang w:val="en-US"/>
      </w:rPr>
    </w:pPr>
    <w:r w:rsidRPr="00236B0C">
      <w:rPr>
        <w:lang w:val="en-US"/>
      </w:rPr>
      <w:t>ECE/TRANS/WP.29/GRB/2016/9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236B0C" w:rsidP="007005EE">
    <w:pPr>
      <w:pStyle w:val="Header"/>
      <w:jc w:val="right"/>
      <w:rPr>
        <w:lang w:val="en-US"/>
      </w:rPr>
    </w:pPr>
    <w:r w:rsidRPr="00236B0C">
      <w:rPr>
        <w:lang w:val="en-US"/>
      </w:rPr>
      <w:t>ECE/TRANS/WP.29/GRB/2016/9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15" w:rsidRDefault="00513215" w:rsidP="0051321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34"/>
    <w:rsid w:val="000450D1"/>
    <w:rsid w:val="000B1FD5"/>
    <w:rsid w:val="000F2A4F"/>
    <w:rsid w:val="001F6A8A"/>
    <w:rsid w:val="00203F84"/>
    <w:rsid w:val="00236B0C"/>
    <w:rsid w:val="00275188"/>
    <w:rsid w:val="0028687D"/>
    <w:rsid w:val="002B091C"/>
    <w:rsid w:val="002B3D40"/>
    <w:rsid w:val="002D0CCB"/>
    <w:rsid w:val="00345C79"/>
    <w:rsid w:val="00366A39"/>
    <w:rsid w:val="0048005C"/>
    <w:rsid w:val="00495429"/>
    <w:rsid w:val="004A1BB2"/>
    <w:rsid w:val="004D639B"/>
    <w:rsid w:val="004E242B"/>
    <w:rsid w:val="00513215"/>
    <w:rsid w:val="00544379"/>
    <w:rsid w:val="00566944"/>
    <w:rsid w:val="005A4B37"/>
    <w:rsid w:val="005D56BF"/>
    <w:rsid w:val="005D7193"/>
    <w:rsid w:val="005F5E3C"/>
    <w:rsid w:val="0062027E"/>
    <w:rsid w:val="00643644"/>
    <w:rsid w:val="00665D8D"/>
    <w:rsid w:val="006A4C80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D3F1E"/>
    <w:rsid w:val="008E0423"/>
    <w:rsid w:val="009141DC"/>
    <w:rsid w:val="009174A1"/>
    <w:rsid w:val="00957759"/>
    <w:rsid w:val="0098674D"/>
    <w:rsid w:val="00997ACA"/>
    <w:rsid w:val="00A00ABD"/>
    <w:rsid w:val="00A03FB7"/>
    <w:rsid w:val="00A55C56"/>
    <w:rsid w:val="00A64D4B"/>
    <w:rsid w:val="00A658DB"/>
    <w:rsid w:val="00A75A11"/>
    <w:rsid w:val="00A80BF2"/>
    <w:rsid w:val="00A9606E"/>
    <w:rsid w:val="00A97F66"/>
    <w:rsid w:val="00AA154E"/>
    <w:rsid w:val="00AD7EAD"/>
    <w:rsid w:val="00B35A32"/>
    <w:rsid w:val="00B432C6"/>
    <w:rsid w:val="00B471C5"/>
    <w:rsid w:val="00B644C9"/>
    <w:rsid w:val="00B6474A"/>
    <w:rsid w:val="00BE1742"/>
    <w:rsid w:val="00D1261C"/>
    <w:rsid w:val="00D26030"/>
    <w:rsid w:val="00D75DCE"/>
    <w:rsid w:val="00DA4FB3"/>
    <w:rsid w:val="00DD35AC"/>
    <w:rsid w:val="00DD479F"/>
    <w:rsid w:val="00DF06CF"/>
    <w:rsid w:val="00E13F69"/>
    <w:rsid w:val="00E15E48"/>
    <w:rsid w:val="00EB0723"/>
    <w:rsid w:val="00EB2957"/>
    <w:rsid w:val="00EE6F37"/>
    <w:rsid w:val="00F1599F"/>
    <w:rsid w:val="00F31EF2"/>
    <w:rsid w:val="00F32934"/>
    <w:rsid w:val="00F75EBA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">
    <w:name w:val="__Single Txt"/>
    <w:basedOn w:val="Normal"/>
    <w:qFormat/>
    <w:rsid w:val="00AA154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8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">
    <w:name w:val="__Single Txt"/>
    <w:basedOn w:val="Normal"/>
    <w:qFormat/>
    <w:rsid w:val="00AA154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8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6E78-FA76-4A18-9889-BA3EF530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6807</Characters>
  <Application>Microsoft Office Word</Application>
  <DocSecurity>4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Benedicte Boudol</cp:lastModifiedBy>
  <cp:revision>2</cp:revision>
  <cp:lastPrinted>2016-07-01T15:10:00Z</cp:lastPrinted>
  <dcterms:created xsi:type="dcterms:W3CDTF">2016-07-19T07:49:00Z</dcterms:created>
  <dcterms:modified xsi:type="dcterms:W3CDTF">2016-07-19T07:49:00Z</dcterms:modified>
</cp:coreProperties>
</file>