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4204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42041" w:rsidP="00642041">
            <w:pPr>
              <w:jc w:val="right"/>
            </w:pPr>
            <w:r w:rsidRPr="00642041">
              <w:rPr>
                <w:sz w:val="40"/>
              </w:rPr>
              <w:t>ECE</w:t>
            </w:r>
            <w:r>
              <w:t>/TRANS/WP.29/GRE/2016/33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42041" w:rsidP="00892A2F">
            <w:pPr>
              <w:spacing w:before="240"/>
            </w:pPr>
            <w:r>
              <w:t>Distr. générale</w:t>
            </w:r>
          </w:p>
          <w:p w:rsidR="00642041" w:rsidRDefault="00642041" w:rsidP="00642041">
            <w:pPr>
              <w:spacing w:line="240" w:lineRule="exact"/>
            </w:pPr>
            <w:r>
              <w:t>11 août 2016</w:t>
            </w:r>
          </w:p>
          <w:p w:rsidR="00642041" w:rsidRDefault="00642041" w:rsidP="00642041">
            <w:pPr>
              <w:spacing w:line="240" w:lineRule="exact"/>
            </w:pPr>
            <w:r>
              <w:t>Français</w:t>
            </w:r>
          </w:p>
          <w:p w:rsidR="00642041" w:rsidRPr="00DB58B5" w:rsidRDefault="00642041" w:rsidP="00201562">
            <w:pPr>
              <w:spacing w:line="240" w:lineRule="exact"/>
            </w:pPr>
            <w:r>
              <w:t>Original</w:t>
            </w:r>
            <w:r w:rsidR="00201562">
              <w:t> </w:t>
            </w:r>
            <w:r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642041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42041" w:rsidRPr="00642041" w:rsidRDefault="00642041" w:rsidP="00642041">
      <w:pPr>
        <w:spacing w:after="120"/>
        <w:rPr>
          <w:b/>
          <w:bCs/>
          <w:sz w:val="24"/>
          <w:szCs w:val="24"/>
        </w:rPr>
      </w:pPr>
      <w:r w:rsidRPr="00642041">
        <w:rPr>
          <w:b/>
          <w:bCs/>
          <w:sz w:val="24"/>
          <w:szCs w:val="24"/>
        </w:rPr>
        <w:t xml:space="preserve">Forum mondial de l’harmonisation </w:t>
      </w:r>
      <w:r>
        <w:rPr>
          <w:b/>
          <w:bCs/>
          <w:sz w:val="24"/>
          <w:szCs w:val="24"/>
        </w:rPr>
        <w:br/>
      </w:r>
      <w:r w:rsidRPr="00642041">
        <w:rPr>
          <w:b/>
          <w:bCs/>
          <w:sz w:val="24"/>
          <w:szCs w:val="24"/>
        </w:rPr>
        <w:t>des Règlements concernant les véhicules</w:t>
      </w:r>
    </w:p>
    <w:p w:rsidR="00642041" w:rsidRPr="00642041" w:rsidRDefault="00642041" w:rsidP="00642041">
      <w:pPr>
        <w:spacing w:after="120"/>
        <w:rPr>
          <w:b/>
          <w:bCs/>
        </w:rPr>
      </w:pPr>
      <w:r w:rsidRPr="00642041">
        <w:rPr>
          <w:b/>
          <w:bCs/>
        </w:rPr>
        <w:t>Groupe de travail de l’éclairage et de la signalisation lumineuse</w:t>
      </w:r>
    </w:p>
    <w:p w:rsidR="00642041" w:rsidRPr="00642041" w:rsidRDefault="00642041" w:rsidP="00642041">
      <w:pPr>
        <w:rPr>
          <w:b/>
          <w:bCs/>
        </w:rPr>
      </w:pPr>
      <w:r w:rsidRPr="00642041">
        <w:rPr>
          <w:b/>
          <w:bCs/>
        </w:rPr>
        <w:t>Soixante-sixième session</w:t>
      </w:r>
    </w:p>
    <w:p w:rsidR="00642041" w:rsidRPr="00A7331F" w:rsidRDefault="00642041" w:rsidP="00642041">
      <w:r w:rsidRPr="00A7331F">
        <w:t>Genève, 25-28 octobre 2016</w:t>
      </w:r>
    </w:p>
    <w:p w:rsidR="00642041" w:rsidRPr="00A7331F" w:rsidRDefault="00642041" w:rsidP="00642041">
      <w:r w:rsidRPr="00A7331F">
        <w:t>Point 6 a) de l</w:t>
      </w:r>
      <w:r>
        <w:t>’</w:t>
      </w:r>
      <w:r w:rsidRPr="00A7331F">
        <w:t>ordre du jour provisoire</w:t>
      </w:r>
    </w:p>
    <w:p w:rsidR="00642041" w:rsidRPr="00642041" w:rsidRDefault="00642041" w:rsidP="00642041">
      <w:pPr>
        <w:rPr>
          <w:b/>
          <w:bCs/>
        </w:rPr>
      </w:pPr>
      <w:r w:rsidRPr="00642041">
        <w:rPr>
          <w:b/>
          <w:bCs/>
        </w:rPr>
        <w:t xml:space="preserve">Règlement </w:t>
      </w:r>
      <w:r w:rsidRPr="00642041">
        <w:rPr>
          <w:rFonts w:eastAsia="MS Mincho"/>
          <w:b/>
          <w:bCs/>
        </w:rPr>
        <w:t>n</w:t>
      </w:r>
      <w:r w:rsidRPr="00642041">
        <w:rPr>
          <w:rFonts w:eastAsia="MS Mincho"/>
          <w:b/>
          <w:bCs/>
          <w:vertAlign w:val="superscript"/>
        </w:rPr>
        <w:t>o</w:t>
      </w:r>
      <w:r>
        <w:rPr>
          <w:b/>
          <w:bCs/>
        </w:rPr>
        <w:t> </w:t>
      </w:r>
      <w:r w:rsidRPr="00642041">
        <w:rPr>
          <w:b/>
          <w:bCs/>
        </w:rPr>
        <w:t xml:space="preserve">48 (Installation des dispositifs d’éclairage </w:t>
      </w:r>
      <w:r>
        <w:rPr>
          <w:b/>
          <w:bCs/>
        </w:rPr>
        <w:br/>
      </w:r>
      <w:r w:rsidRPr="00642041">
        <w:rPr>
          <w:b/>
          <w:bCs/>
        </w:rPr>
        <w:t xml:space="preserve">et de signalisation lumineuse) </w:t>
      </w:r>
      <w:r>
        <w:rPr>
          <w:b/>
          <w:bCs/>
        </w:rPr>
        <w:t>−</w:t>
      </w:r>
      <w:r w:rsidRPr="00642041">
        <w:rPr>
          <w:b/>
          <w:bCs/>
        </w:rPr>
        <w:t xml:space="preserve"> Propositions d’amendements </w:t>
      </w:r>
      <w:r>
        <w:rPr>
          <w:b/>
          <w:bCs/>
        </w:rPr>
        <w:br/>
      </w:r>
      <w:r w:rsidRPr="00642041">
        <w:rPr>
          <w:b/>
          <w:bCs/>
        </w:rPr>
        <w:t>aux séries 05 et 06 d’amendements</w:t>
      </w:r>
    </w:p>
    <w:p w:rsidR="00642041" w:rsidRPr="00A7331F" w:rsidRDefault="00642041" w:rsidP="00642041">
      <w:pPr>
        <w:pStyle w:val="HChG"/>
      </w:pPr>
      <w:r>
        <w:tab/>
      </w:r>
      <w:r>
        <w:tab/>
      </w:r>
      <w:r w:rsidRPr="00A7331F">
        <w:t xml:space="preserve">Proposition de complément 18 à la série 04, </w:t>
      </w:r>
      <w:r>
        <w:br/>
      </w:r>
      <w:r w:rsidRPr="00A7331F">
        <w:t xml:space="preserve">de complément 11 à la série 05 et de complément 9 </w:t>
      </w:r>
      <w:r>
        <w:br/>
      </w:r>
      <w:r w:rsidRPr="00A7331F">
        <w:t>à la série 06 d</w:t>
      </w:r>
      <w:r>
        <w:t>’</w:t>
      </w:r>
      <w:r w:rsidRPr="00A7331F">
        <w:t xml:space="preserve">amendements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A7331F">
        <w:t xml:space="preserve">48 </w:t>
      </w:r>
      <w:r>
        <w:br/>
      </w:r>
      <w:r w:rsidRPr="00A7331F">
        <w:t>(Installation des dispositifs d</w:t>
      </w:r>
      <w:r>
        <w:t>’</w:t>
      </w:r>
      <w:r w:rsidRPr="00A7331F">
        <w:t xml:space="preserve">éclairage </w:t>
      </w:r>
      <w:r>
        <w:br/>
      </w:r>
      <w:r w:rsidRPr="00A7331F">
        <w:t>et de signalisation lumineuse)</w:t>
      </w:r>
    </w:p>
    <w:p w:rsidR="00642041" w:rsidRPr="00A7331F" w:rsidRDefault="00642041" w:rsidP="00642041">
      <w:pPr>
        <w:pStyle w:val="H1G"/>
      </w:pPr>
      <w:r>
        <w:tab/>
      </w:r>
      <w:r>
        <w:tab/>
      </w:r>
      <w:r w:rsidRPr="00A7331F">
        <w:t>Communication des experts de l</w:t>
      </w:r>
      <w:r>
        <w:t>’</w:t>
      </w:r>
      <w:r w:rsidRPr="00A7331F">
        <w:t>Allemagne et de l</w:t>
      </w:r>
      <w:r>
        <w:t>’</w:t>
      </w:r>
      <w:r w:rsidRPr="00A7331F">
        <w:t>Organisation internationale des constructeurs d</w:t>
      </w:r>
      <w:r>
        <w:t>’</w:t>
      </w:r>
      <w:r w:rsidRPr="00A7331F">
        <w:t>automobiles (OICA)</w:t>
      </w:r>
      <w:r w:rsidRPr="00642041">
        <w:rPr>
          <w:b w:val="0"/>
          <w:bCs/>
          <w:sz w:val="20"/>
        </w:rPr>
        <w:footnoteReference w:customMarkFollows="1" w:id="2"/>
        <w:t>*</w:t>
      </w:r>
    </w:p>
    <w:p w:rsidR="00642041" w:rsidRPr="00A7331F" w:rsidRDefault="00642041" w:rsidP="00642041">
      <w:pPr>
        <w:pStyle w:val="SingleTxtG"/>
        <w:ind w:firstLine="567"/>
        <w:rPr>
          <w:b/>
        </w:rPr>
      </w:pPr>
      <w:r w:rsidRPr="00A7331F">
        <w:t>Le texte reproduit ci-après, établi par les experts de l</w:t>
      </w:r>
      <w:r>
        <w:t>’</w:t>
      </w:r>
      <w:r w:rsidRPr="00A7331F">
        <w:t>Allemagne et de l</w:t>
      </w:r>
      <w:r>
        <w:t>’</w:t>
      </w:r>
      <w:r w:rsidRPr="00A7331F">
        <w:t>Organisation internationale des constructeurs d</w:t>
      </w:r>
      <w:r>
        <w:t>’</w:t>
      </w:r>
      <w:r w:rsidRPr="00A7331F">
        <w:t xml:space="preserve">automobiles (OICA), a pour objet de proposer des amendements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A7331F">
        <w:t>48 comme suite aux résultats de la 167</w:t>
      </w:r>
      <w:r w:rsidRPr="00A7331F">
        <w:rPr>
          <w:vertAlign w:val="superscript"/>
        </w:rPr>
        <w:t>e</w:t>
      </w:r>
      <w:r>
        <w:t> </w:t>
      </w:r>
      <w:r w:rsidRPr="00A7331F">
        <w:t>session du Forum mondial de l</w:t>
      </w:r>
      <w:r>
        <w:t>’</w:t>
      </w:r>
      <w:r w:rsidRPr="00A7331F">
        <w:t>harmonisation des Règlements concernant les véhicules (WP.29), lors de laquelle des amendements aux Règlements n</w:t>
      </w:r>
      <w:r w:rsidRPr="00A7331F">
        <w:rPr>
          <w:vertAlign w:val="superscript"/>
        </w:rPr>
        <w:t>os</w:t>
      </w:r>
      <w:r w:rsidRPr="00642041">
        <w:t> </w:t>
      </w:r>
      <w:r w:rsidRPr="00A7331F">
        <w:t>97 et 116 relatifs aux indicateurs de position du système d</w:t>
      </w:r>
      <w:r>
        <w:t>’</w:t>
      </w:r>
      <w:r w:rsidRPr="00A7331F">
        <w:t>alarme pour véhicules (SAV), du système d</w:t>
      </w:r>
      <w:r>
        <w:t>’</w:t>
      </w:r>
      <w:r w:rsidRPr="00A7331F">
        <w:t>alarme (SA) et du système d</w:t>
      </w:r>
      <w:r>
        <w:t>’</w:t>
      </w:r>
      <w:r w:rsidRPr="00A7331F">
        <w:t>immobilisation ont été adoptés (ECE/TRANS/WP.29/2015/87 et ECE/TRANS/WP.29/</w:t>
      </w:r>
      <w:r>
        <w:br/>
      </w:r>
      <w:r w:rsidRPr="00A7331F">
        <w:t>2015/91). Les modifications qu</w:t>
      </w:r>
      <w:r>
        <w:t>’</w:t>
      </w:r>
      <w:r w:rsidRPr="00A7331F">
        <w:t>il est proposé d</w:t>
      </w:r>
      <w:r>
        <w:t>’</w:t>
      </w:r>
      <w:r w:rsidRPr="00A7331F">
        <w:t xml:space="preserve">apporter au texte actuel 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A7331F">
        <w:t xml:space="preserve">48 </w:t>
      </w:r>
      <w:r w:rsidRPr="00A7331F">
        <w:lastRenderedPageBreak/>
        <w:t>visent à donner une définition de l</w:t>
      </w:r>
      <w:r>
        <w:t>’</w:t>
      </w:r>
      <w:r w:rsidRPr="00A7331F">
        <w:t>indicateur extérieur de position du SAV, SA ou système d</w:t>
      </w:r>
      <w:r>
        <w:t>’</w:t>
      </w:r>
      <w:r w:rsidRPr="00A7331F">
        <w:t>immobilisation et à en préciser le fonctionnement. Ces modifications sont signalées en caractères gras pour les parties de texte nouvelles et en caractères biffés pour les parties supprimées.</w:t>
      </w:r>
    </w:p>
    <w:p w:rsidR="00642041" w:rsidRPr="00A7331F" w:rsidRDefault="00642041" w:rsidP="00642041">
      <w:pPr>
        <w:pStyle w:val="HChG"/>
      </w:pPr>
      <w:r>
        <w:tab/>
      </w:r>
      <w:r>
        <w:tab/>
      </w:r>
      <w:r w:rsidRPr="00A7331F">
        <w:t>I.</w:t>
      </w:r>
      <w:r w:rsidRPr="00A7331F">
        <w:tab/>
        <w:t>Proposition</w:t>
      </w:r>
    </w:p>
    <w:p w:rsidR="00642041" w:rsidRPr="00A7331F" w:rsidRDefault="00642041" w:rsidP="00642041">
      <w:pPr>
        <w:pStyle w:val="SingleTxtG"/>
        <w:rPr>
          <w:b/>
        </w:rPr>
      </w:pPr>
      <w:r w:rsidRPr="00642041">
        <w:rPr>
          <w:i/>
          <w:iCs/>
        </w:rPr>
        <w:t>Ajouter un nouveau paragraphe</w:t>
      </w:r>
      <w:r w:rsidRPr="00A7331F">
        <w:t>, ainsi conçu</w:t>
      </w:r>
      <w:r>
        <w:t> </w:t>
      </w:r>
      <w:r w:rsidRPr="00A7331F">
        <w:t>:</w:t>
      </w:r>
    </w:p>
    <w:p w:rsidR="00642041" w:rsidRPr="00A7331F" w:rsidRDefault="00642041" w:rsidP="00642041">
      <w:pPr>
        <w:pStyle w:val="SingleTxtG"/>
        <w:ind w:left="2268" w:hanging="1134"/>
        <w:rPr>
          <w:b/>
          <w:szCs w:val="24"/>
        </w:rPr>
      </w:pPr>
      <w:r w:rsidRPr="00A7331F">
        <w:t>«</w:t>
      </w:r>
      <w:r>
        <w:t> </w:t>
      </w:r>
      <w:r w:rsidRPr="00642041">
        <w:rPr>
          <w:b/>
          <w:bCs/>
        </w:rPr>
        <w:t>2.37</w:t>
      </w:r>
      <w:r w:rsidRPr="00642041">
        <w:rPr>
          <w:b/>
          <w:bCs/>
        </w:rPr>
        <w:tab/>
      </w:r>
      <w:r w:rsidRPr="00642041">
        <w:rPr>
          <w:b/>
          <w:bCs/>
        </w:rPr>
        <w:tab/>
        <w:t xml:space="preserve">Par </w:t>
      </w:r>
      <w:r>
        <w:rPr>
          <w:b/>
          <w:bCs/>
        </w:rPr>
        <w:t>“</w:t>
      </w:r>
      <w:r w:rsidRPr="00642041">
        <w:rPr>
          <w:b/>
          <w:bCs/>
          <w:i/>
          <w:iCs/>
        </w:rPr>
        <w:t>indicateur extérieur de position</w:t>
      </w:r>
      <w:r>
        <w:rPr>
          <w:b/>
          <w:bCs/>
        </w:rPr>
        <w:t>”</w:t>
      </w:r>
      <w:r w:rsidRPr="00642041">
        <w:rPr>
          <w:b/>
          <w:bCs/>
        </w:rPr>
        <w:t>, on entend un signal optique</w:t>
      </w:r>
      <w:r w:rsidRPr="00A7331F">
        <w:rPr>
          <w:sz w:val="28"/>
        </w:rPr>
        <w:t xml:space="preserve"> </w:t>
      </w:r>
      <w:r w:rsidRPr="00A7331F">
        <w:rPr>
          <w:b/>
          <w:szCs w:val="24"/>
        </w:rPr>
        <w:t>installé à l</w:t>
      </w:r>
      <w:r>
        <w:rPr>
          <w:b/>
          <w:szCs w:val="24"/>
        </w:rPr>
        <w:t>’</w:t>
      </w:r>
      <w:r w:rsidRPr="00A7331F">
        <w:rPr>
          <w:b/>
          <w:szCs w:val="24"/>
        </w:rPr>
        <w:t>extérieur du véhicule qui sert à indiquer, lorsque le véhicule est stationné, la position ou le changement de position d</w:t>
      </w:r>
      <w:r>
        <w:rPr>
          <w:b/>
          <w:szCs w:val="24"/>
        </w:rPr>
        <w:t>’</w:t>
      </w:r>
      <w:r w:rsidRPr="00A7331F">
        <w:rPr>
          <w:b/>
          <w:szCs w:val="24"/>
        </w:rPr>
        <w:t xml:space="preserve">un système. Les indicateurs extérieurs de position ne sont pas considérés </w:t>
      </w:r>
      <w:r w:rsidRPr="00642041">
        <w:rPr>
          <w:b/>
          <w:bCs/>
        </w:rPr>
        <w:t>comme</w:t>
      </w:r>
      <w:r w:rsidRPr="00A7331F">
        <w:rPr>
          <w:b/>
          <w:szCs w:val="24"/>
        </w:rPr>
        <w:t xml:space="preserve"> des feux </w:t>
      </w:r>
      <w:r>
        <w:rPr>
          <w:b/>
          <w:szCs w:val="24"/>
        </w:rPr>
        <w:t>au sens du présent Règlement. ».</w:t>
      </w:r>
    </w:p>
    <w:p w:rsidR="00642041" w:rsidRPr="00A7331F" w:rsidRDefault="00642041" w:rsidP="00642041">
      <w:pPr>
        <w:pStyle w:val="SingleTxtG"/>
      </w:pPr>
      <w:r w:rsidRPr="00642041">
        <w:rPr>
          <w:i/>
          <w:iCs/>
        </w:rPr>
        <w:t>Ajouter un nouveau paragraphe</w:t>
      </w:r>
      <w:r w:rsidRPr="00A7331F">
        <w:t>, ainsi conçu</w:t>
      </w:r>
      <w:r>
        <w:t> </w:t>
      </w:r>
      <w:r w:rsidRPr="00A7331F">
        <w:t>:</w:t>
      </w:r>
    </w:p>
    <w:p w:rsidR="00642041" w:rsidRPr="00642041" w:rsidRDefault="00642041" w:rsidP="00642041">
      <w:pPr>
        <w:pStyle w:val="SingleTxtG"/>
        <w:ind w:left="2268" w:hanging="1134"/>
        <w:rPr>
          <w:b/>
          <w:bCs/>
        </w:rPr>
      </w:pPr>
      <w:r>
        <w:t>« </w:t>
      </w:r>
      <w:r w:rsidRPr="00642041">
        <w:rPr>
          <w:b/>
          <w:bCs/>
        </w:rPr>
        <w:t>5.30</w:t>
      </w:r>
      <w:r w:rsidRPr="00642041">
        <w:rPr>
          <w:b/>
          <w:bCs/>
        </w:rPr>
        <w:tab/>
        <w:t>Indicateur extérieur</w:t>
      </w:r>
      <w:r>
        <w:rPr>
          <w:b/>
          <w:bCs/>
        </w:rPr>
        <w:t xml:space="preserve"> de position</w:t>
      </w:r>
    </w:p>
    <w:p w:rsidR="00642041" w:rsidRPr="00642041" w:rsidRDefault="00642041" w:rsidP="00642041">
      <w:pPr>
        <w:pStyle w:val="SingleTxtG"/>
        <w:ind w:left="2268"/>
        <w:rPr>
          <w:b/>
          <w:bCs/>
        </w:rPr>
      </w:pPr>
      <w:r w:rsidRPr="00642041">
        <w:rPr>
          <w:b/>
          <w:bCs/>
        </w:rPr>
        <w:t>L’indicateur extérieur de position d’un système d’alarme pour véhicules (SAV), système d’alarme (SA) ou système d’immobilisation doit satisfaire aux prescriptions suivantes</w:t>
      </w:r>
      <w:r>
        <w:rPr>
          <w:b/>
          <w:bCs/>
        </w:rPr>
        <w:t> </w:t>
      </w:r>
      <w:r w:rsidRPr="00642041">
        <w:rPr>
          <w:b/>
          <w:bCs/>
        </w:rPr>
        <w:t>:</w:t>
      </w:r>
    </w:p>
    <w:p w:rsidR="00642041" w:rsidRPr="00642041" w:rsidRDefault="00642041" w:rsidP="006B47C5">
      <w:pPr>
        <w:pStyle w:val="SingleTxtG"/>
        <w:ind w:left="2835" w:hanging="567"/>
        <w:rPr>
          <w:b/>
          <w:bCs/>
        </w:rPr>
      </w:pPr>
      <w:r w:rsidRPr="00642041">
        <w:rPr>
          <w:b/>
          <w:bCs/>
        </w:rPr>
        <w:t>a)</w:t>
      </w:r>
      <w:r w:rsidRPr="00642041">
        <w:rPr>
          <w:b/>
          <w:bCs/>
        </w:rPr>
        <w:tab/>
        <w:t>L’intensité lumineuse ne dépasse pas 0,5</w:t>
      </w:r>
      <w:r w:rsidR="006B47C5">
        <w:rPr>
          <w:b/>
          <w:bCs/>
        </w:rPr>
        <w:t> </w:t>
      </w:r>
      <w:r w:rsidRPr="00642041">
        <w:rPr>
          <w:b/>
          <w:bCs/>
        </w:rPr>
        <w:t>cd, dans toute direction</w:t>
      </w:r>
      <w:r>
        <w:rPr>
          <w:b/>
          <w:bCs/>
        </w:rPr>
        <w:t> </w:t>
      </w:r>
      <w:r w:rsidRPr="00642041">
        <w:rPr>
          <w:b/>
          <w:bCs/>
        </w:rPr>
        <w:t>;</w:t>
      </w:r>
    </w:p>
    <w:p w:rsidR="00642041" w:rsidRPr="00A7331F" w:rsidRDefault="00642041" w:rsidP="00642041">
      <w:pPr>
        <w:pStyle w:val="SingleTxtG"/>
        <w:ind w:left="2835" w:hanging="567"/>
        <w:rPr>
          <w:b/>
          <w:szCs w:val="24"/>
        </w:rPr>
      </w:pPr>
      <w:r w:rsidRPr="00A7331F">
        <w:rPr>
          <w:b/>
          <w:szCs w:val="24"/>
        </w:rPr>
        <w:t>b)</w:t>
      </w:r>
      <w:r w:rsidRPr="00A7331F">
        <w:rPr>
          <w:b/>
          <w:szCs w:val="24"/>
        </w:rPr>
        <w:tab/>
        <w:t xml:space="preserve">La couleur de la lumière émise est </w:t>
      </w:r>
      <w:r w:rsidRPr="00642041">
        <w:rPr>
          <w:b/>
          <w:bCs/>
        </w:rPr>
        <w:t>blanche</w:t>
      </w:r>
      <w:r w:rsidRPr="00A7331F">
        <w:rPr>
          <w:b/>
          <w:szCs w:val="24"/>
        </w:rPr>
        <w:t>, rouge ou jaune-auto</w:t>
      </w:r>
      <w:r>
        <w:rPr>
          <w:b/>
          <w:szCs w:val="24"/>
        </w:rPr>
        <w:t> </w:t>
      </w:r>
      <w:r w:rsidRPr="00A7331F">
        <w:rPr>
          <w:b/>
          <w:szCs w:val="24"/>
        </w:rPr>
        <w:t>;</w:t>
      </w:r>
    </w:p>
    <w:p w:rsidR="00642041" w:rsidRPr="00A7331F" w:rsidRDefault="00642041" w:rsidP="00642041">
      <w:pPr>
        <w:pStyle w:val="SingleTxtG"/>
        <w:ind w:left="2835" w:hanging="567"/>
        <w:rPr>
          <w:b/>
          <w:szCs w:val="24"/>
        </w:rPr>
      </w:pPr>
      <w:r w:rsidRPr="00A7331F">
        <w:rPr>
          <w:b/>
          <w:szCs w:val="24"/>
        </w:rPr>
        <w:t>c)</w:t>
      </w:r>
      <w:r w:rsidRPr="00A7331F">
        <w:rPr>
          <w:b/>
          <w:szCs w:val="24"/>
        </w:rPr>
        <w:tab/>
        <w:t xml:space="preserve">La superficie de la surface </w:t>
      </w:r>
      <w:r w:rsidRPr="00642041">
        <w:rPr>
          <w:b/>
          <w:bCs/>
        </w:rPr>
        <w:t>apparente</w:t>
      </w:r>
      <w:r>
        <w:rPr>
          <w:b/>
          <w:szCs w:val="24"/>
        </w:rPr>
        <w:t xml:space="preserve"> ne dépasse pas 50 </w:t>
      </w:r>
      <w:r w:rsidRPr="00A7331F">
        <w:rPr>
          <w:b/>
          <w:szCs w:val="24"/>
        </w:rPr>
        <w:t>cm</w:t>
      </w:r>
      <w:r w:rsidRPr="00A7331F">
        <w:rPr>
          <w:b/>
          <w:szCs w:val="24"/>
          <w:vertAlign w:val="superscript"/>
        </w:rPr>
        <w:t>2</w:t>
      </w:r>
      <w:r w:rsidRPr="00A7331F">
        <w:rPr>
          <w:b/>
          <w:szCs w:val="24"/>
        </w:rPr>
        <w:t>.</w:t>
      </w:r>
    </w:p>
    <w:p w:rsidR="00642041" w:rsidRPr="00A7331F" w:rsidRDefault="00642041" w:rsidP="00642041">
      <w:pPr>
        <w:pStyle w:val="SingleTxtG"/>
        <w:ind w:left="2268"/>
        <w:rPr>
          <w:b/>
          <w:szCs w:val="24"/>
        </w:rPr>
      </w:pPr>
      <w:r w:rsidRPr="00A7331F">
        <w:rPr>
          <w:b/>
          <w:szCs w:val="24"/>
        </w:rPr>
        <w:t>Jusqu</w:t>
      </w:r>
      <w:r>
        <w:rPr>
          <w:b/>
          <w:szCs w:val="24"/>
        </w:rPr>
        <w:t>’</w:t>
      </w:r>
      <w:r w:rsidRPr="00A7331F">
        <w:rPr>
          <w:b/>
          <w:szCs w:val="24"/>
        </w:rPr>
        <w:t xml:space="preserve">à deux indicateurs extérieurs de position du </w:t>
      </w:r>
      <w:r w:rsidRPr="00642041">
        <w:rPr>
          <w:b/>
          <w:bCs/>
        </w:rPr>
        <w:t>système</w:t>
      </w:r>
      <w:r w:rsidRPr="00A7331F">
        <w:rPr>
          <w:b/>
          <w:szCs w:val="24"/>
        </w:rPr>
        <w:t xml:space="preserve"> d</w:t>
      </w:r>
      <w:r>
        <w:rPr>
          <w:b/>
          <w:szCs w:val="24"/>
        </w:rPr>
        <w:t>’</w:t>
      </w:r>
      <w:r w:rsidRPr="00A7331F">
        <w:rPr>
          <w:b/>
          <w:szCs w:val="24"/>
        </w:rPr>
        <w:t>alarme pour véhicules (SAV), système d</w:t>
      </w:r>
      <w:r>
        <w:rPr>
          <w:b/>
          <w:szCs w:val="24"/>
        </w:rPr>
        <w:t>’</w:t>
      </w:r>
      <w:r w:rsidRPr="00A7331F">
        <w:rPr>
          <w:b/>
          <w:szCs w:val="24"/>
        </w:rPr>
        <w:t>alarme (SA) ou système d</w:t>
      </w:r>
      <w:r>
        <w:rPr>
          <w:b/>
          <w:szCs w:val="24"/>
        </w:rPr>
        <w:t>’</w:t>
      </w:r>
      <w:r w:rsidRPr="00A7331F">
        <w:rPr>
          <w:b/>
          <w:szCs w:val="24"/>
        </w:rPr>
        <w:t>immobilisation peuvent être installés sur un véhicule, à condition que la surface apparente de chaq</w:t>
      </w:r>
      <w:r>
        <w:rPr>
          <w:b/>
          <w:szCs w:val="24"/>
        </w:rPr>
        <w:t>ue indicateur ne dépasse pas 25 </w:t>
      </w:r>
      <w:r w:rsidRPr="00A7331F">
        <w:rPr>
          <w:b/>
          <w:szCs w:val="24"/>
        </w:rPr>
        <w:t>cm</w:t>
      </w:r>
      <w:r w:rsidRPr="00A7331F">
        <w:rPr>
          <w:b/>
          <w:szCs w:val="24"/>
          <w:vertAlign w:val="superscript"/>
        </w:rPr>
        <w:t>2</w:t>
      </w:r>
      <w:r w:rsidRPr="00A7331F">
        <w:rPr>
          <w:b/>
          <w:szCs w:val="24"/>
        </w:rPr>
        <w:t>.</w:t>
      </w:r>
      <w:r w:rsidRPr="00642041">
        <w:rPr>
          <w:bCs/>
          <w:szCs w:val="24"/>
        </w:rPr>
        <w:t> ».</w:t>
      </w:r>
    </w:p>
    <w:p w:rsidR="00642041" w:rsidRPr="00A7331F" w:rsidRDefault="00642041" w:rsidP="00642041">
      <w:pPr>
        <w:pStyle w:val="HChG"/>
      </w:pPr>
      <w:r>
        <w:tab/>
      </w:r>
      <w:r w:rsidRPr="00A7331F">
        <w:t>II.</w:t>
      </w:r>
      <w:r w:rsidRPr="00A7331F">
        <w:tab/>
        <w:t>Justification</w:t>
      </w:r>
    </w:p>
    <w:p w:rsidR="00642041" w:rsidRPr="00A7331F" w:rsidRDefault="00642041" w:rsidP="00201562">
      <w:pPr>
        <w:pStyle w:val="ParNoG"/>
      </w:pPr>
      <w:r w:rsidRPr="00A7331F">
        <w:t>À la 167</w:t>
      </w:r>
      <w:r w:rsidRPr="00A7331F">
        <w:rPr>
          <w:vertAlign w:val="superscript"/>
        </w:rPr>
        <w:t>e</w:t>
      </w:r>
      <w:r w:rsidR="00201562">
        <w:t> </w:t>
      </w:r>
      <w:r w:rsidRPr="00A7331F">
        <w:t>session du WP.29, des amendements aux Règlements n</w:t>
      </w:r>
      <w:r w:rsidRPr="00A7331F">
        <w:rPr>
          <w:vertAlign w:val="superscript"/>
        </w:rPr>
        <w:t>os</w:t>
      </w:r>
      <w:r w:rsidRPr="00A7331F">
        <w:t xml:space="preserve"> 97 et 116 ont été adoptés (ECE/TRANS/WP.29/2015/87 et ECE/TRANS/WP.29/2015/91). Tant le Règlement </w:t>
      </w:r>
      <w:r w:rsidR="00201562">
        <w:rPr>
          <w:rFonts w:eastAsia="MS Mincho"/>
        </w:rPr>
        <w:t>n</w:t>
      </w:r>
      <w:r w:rsidR="00201562">
        <w:rPr>
          <w:rFonts w:eastAsia="MS Mincho"/>
          <w:vertAlign w:val="superscript"/>
        </w:rPr>
        <w:t>o</w:t>
      </w:r>
      <w:r w:rsidR="00201562">
        <w:t> </w:t>
      </w:r>
      <w:r w:rsidRPr="00A7331F">
        <w:t xml:space="preserve">97 que le Règlement </w:t>
      </w:r>
      <w:r w:rsidR="00201562">
        <w:rPr>
          <w:rFonts w:eastAsia="MS Mincho"/>
        </w:rPr>
        <w:t>n</w:t>
      </w:r>
      <w:r w:rsidR="00201562">
        <w:rPr>
          <w:rFonts w:eastAsia="MS Mincho"/>
          <w:vertAlign w:val="superscript"/>
        </w:rPr>
        <w:t>o</w:t>
      </w:r>
      <w:r w:rsidR="00201562">
        <w:t> </w:t>
      </w:r>
      <w:r w:rsidRPr="00A7331F">
        <w:t>116 autorisent l</w:t>
      </w:r>
      <w:r>
        <w:t>’</w:t>
      </w:r>
      <w:r w:rsidRPr="00A7331F">
        <w:t>installation, à l</w:t>
      </w:r>
      <w:r>
        <w:t>’</w:t>
      </w:r>
      <w:r w:rsidRPr="00A7331F">
        <w:t>extérieur du véhicule, de signaux optiques servant à indiquer la position du système d</w:t>
      </w:r>
      <w:r>
        <w:t>’</w:t>
      </w:r>
      <w:r w:rsidRPr="00A7331F">
        <w:t>alarme pour véhicules (SAV), du système d</w:t>
      </w:r>
      <w:r>
        <w:t>’</w:t>
      </w:r>
      <w:r w:rsidRPr="00A7331F">
        <w:t>alarme (SA) ou du système d</w:t>
      </w:r>
      <w:r>
        <w:t>’</w:t>
      </w:r>
      <w:r w:rsidRPr="00A7331F">
        <w:t xml:space="preserve">immobilisation. Ces indicateurs doivent satisfaire aux prescriptions du Règlement </w:t>
      </w:r>
      <w:r w:rsidR="00201562">
        <w:rPr>
          <w:rFonts w:eastAsia="MS Mincho"/>
        </w:rPr>
        <w:t>n</w:t>
      </w:r>
      <w:r w:rsidR="00201562">
        <w:rPr>
          <w:rFonts w:eastAsia="MS Mincho"/>
          <w:vertAlign w:val="superscript"/>
        </w:rPr>
        <w:t>o</w:t>
      </w:r>
      <w:r w:rsidR="00201562">
        <w:t> </w:t>
      </w:r>
      <w:r w:rsidRPr="00A7331F">
        <w:t>48, lequel ne porte cependant pas sur ce type de dispositif, d</w:t>
      </w:r>
      <w:r>
        <w:t>’</w:t>
      </w:r>
      <w:r w:rsidRPr="00A7331F">
        <w:t>où la décision prise par le WP.29 de le modifier. Le représentant de l</w:t>
      </w:r>
      <w:r>
        <w:t>’</w:t>
      </w:r>
      <w:r w:rsidRPr="00A7331F">
        <w:t>Allemagne a offert d</w:t>
      </w:r>
      <w:r>
        <w:t>’</w:t>
      </w:r>
      <w:r w:rsidRPr="00A7331F">
        <w:t>élaborer, en collaboration avec les experts de l</w:t>
      </w:r>
      <w:r>
        <w:t>’</w:t>
      </w:r>
      <w:r w:rsidRPr="00A7331F">
        <w:t>OICA, une proposition d</w:t>
      </w:r>
      <w:r>
        <w:t>’</w:t>
      </w:r>
      <w:r w:rsidR="00201562">
        <w:t xml:space="preserve">amendements au Règlement </w:t>
      </w:r>
      <w:r w:rsidR="00201562">
        <w:rPr>
          <w:rFonts w:eastAsia="MS Mincho"/>
        </w:rPr>
        <w:t>n</w:t>
      </w:r>
      <w:r w:rsidR="00201562">
        <w:rPr>
          <w:rFonts w:eastAsia="MS Mincho"/>
          <w:vertAlign w:val="superscript"/>
        </w:rPr>
        <w:t>o</w:t>
      </w:r>
      <w:r w:rsidR="00201562">
        <w:t> </w:t>
      </w:r>
      <w:r w:rsidRPr="00A7331F">
        <w:t>48, pour examen par le Groupe de travail de l</w:t>
      </w:r>
      <w:r>
        <w:t>’</w:t>
      </w:r>
      <w:r w:rsidRPr="00A7331F">
        <w:t>éclairage et de la signalisation lumineuse à sa prochaine session.</w:t>
      </w:r>
    </w:p>
    <w:p w:rsidR="00642041" w:rsidRPr="00A7331F" w:rsidRDefault="00642041" w:rsidP="00201562">
      <w:pPr>
        <w:pStyle w:val="ParNoG"/>
        <w:tabs>
          <w:tab w:val="clear" w:pos="1701"/>
        </w:tabs>
        <w:rPr>
          <w:szCs w:val="24"/>
        </w:rPr>
      </w:pPr>
      <w:r w:rsidRPr="00A7331F">
        <w:rPr>
          <w:szCs w:val="24"/>
        </w:rPr>
        <w:t xml:space="preserve">Le Règlement </w:t>
      </w:r>
      <w:r w:rsidR="00201562" w:rsidRPr="00201562">
        <w:rPr>
          <w:rFonts w:eastAsia="MS Mincho"/>
          <w:szCs w:val="24"/>
        </w:rPr>
        <w:t>n</w:t>
      </w:r>
      <w:r w:rsidR="00201562" w:rsidRPr="00201562">
        <w:rPr>
          <w:rFonts w:eastAsia="MS Mincho"/>
          <w:szCs w:val="24"/>
          <w:vertAlign w:val="superscript"/>
        </w:rPr>
        <w:t>o</w:t>
      </w:r>
      <w:r w:rsidR="00201562">
        <w:rPr>
          <w:szCs w:val="24"/>
        </w:rPr>
        <w:t> </w:t>
      </w:r>
      <w:r w:rsidRPr="00A7331F">
        <w:rPr>
          <w:szCs w:val="24"/>
        </w:rPr>
        <w:t xml:space="preserve">48 porte sur les feux et non sur les </w:t>
      </w:r>
      <w:r w:rsidRPr="00642041">
        <w:t>indicateurs</w:t>
      </w:r>
      <w:r w:rsidRPr="00A7331F">
        <w:rPr>
          <w:szCs w:val="24"/>
        </w:rPr>
        <w:t xml:space="preserve"> de position, raison pour</w:t>
      </w:r>
      <w:r w:rsidR="00201562">
        <w:rPr>
          <w:szCs w:val="24"/>
        </w:rPr>
        <w:t xml:space="preserve"> laquelle le nouveau paragraphe </w:t>
      </w:r>
      <w:r w:rsidRPr="00A7331F">
        <w:rPr>
          <w:szCs w:val="24"/>
        </w:rPr>
        <w:t>2.37 donne une définition de ces indicateurs. En outre, un dispositif dont l</w:t>
      </w:r>
      <w:r>
        <w:rPr>
          <w:szCs w:val="24"/>
        </w:rPr>
        <w:t>’</w:t>
      </w:r>
      <w:r w:rsidRPr="00A7331F">
        <w:rPr>
          <w:szCs w:val="24"/>
        </w:rPr>
        <w:t xml:space="preserve">intensité lumineuse ne dépasse pas </w:t>
      </w:r>
      <w:r w:rsidR="00201562">
        <w:rPr>
          <w:szCs w:val="24"/>
        </w:rPr>
        <w:t>0,5 </w:t>
      </w:r>
      <w:r w:rsidRPr="00A7331F">
        <w:rPr>
          <w:szCs w:val="24"/>
        </w:rPr>
        <w:t>cd n</w:t>
      </w:r>
      <w:r>
        <w:rPr>
          <w:szCs w:val="24"/>
        </w:rPr>
        <w:t>’</w:t>
      </w:r>
      <w:r w:rsidRPr="00A7331F">
        <w:rPr>
          <w:szCs w:val="24"/>
        </w:rPr>
        <w:t xml:space="preserve">est pas considéré comme un feu. Les indicateurs de position ne devraient donc pas être considérés comme tels, ainsi que le précise le </w:t>
      </w:r>
      <w:r w:rsidR="00201562">
        <w:rPr>
          <w:szCs w:val="24"/>
        </w:rPr>
        <w:t>nouveau paragraphe </w:t>
      </w:r>
      <w:r w:rsidRPr="00A7331F">
        <w:rPr>
          <w:szCs w:val="24"/>
        </w:rPr>
        <w:t>5.30.</w:t>
      </w:r>
    </w:p>
    <w:p w:rsidR="00201562" w:rsidRPr="00201562" w:rsidRDefault="00642041" w:rsidP="00201562">
      <w:pPr>
        <w:pStyle w:val="ParNoG"/>
        <w:tabs>
          <w:tab w:val="clear" w:pos="1701"/>
        </w:tabs>
        <w:rPr>
          <w:szCs w:val="24"/>
        </w:rPr>
      </w:pPr>
      <w:r w:rsidRPr="00A7331F">
        <w:rPr>
          <w:szCs w:val="24"/>
        </w:rPr>
        <w:t>La couleur de la lumière émise par l</w:t>
      </w:r>
      <w:r>
        <w:rPr>
          <w:szCs w:val="24"/>
        </w:rPr>
        <w:t>’</w:t>
      </w:r>
      <w:r w:rsidRPr="00A7331F">
        <w:rPr>
          <w:szCs w:val="24"/>
        </w:rPr>
        <w:t>«</w:t>
      </w:r>
      <w:r w:rsidR="00201562">
        <w:rPr>
          <w:szCs w:val="24"/>
        </w:rPr>
        <w:t> </w:t>
      </w:r>
      <w:r w:rsidRPr="00A7331F">
        <w:rPr>
          <w:szCs w:val="24"/>
        </w:rPr>
        <w:t>indicateur extérieur de position</w:t>
      </w:r>
      <w:r w:rsidR="00201562">
        <w:rPr>
          <w:szCs w:val="24"/>
        </w:rPr>
        <w:t> </w:t>
      </w:r>
      <w:r w:rsidRPr="00A7331F">
        <w:rPr>
          <w:szCs w:val="24"/>
        </w:rPr>
        <w:t>» doit être défi</w:t>
      </w:r>
      <w:r w:rsidR="00201562">
        <w:rPr>
          <w:szCs w:val="24"/>
        </w:rPr>
        <w:t xml:space="preserve">nie conformément au Règlement </w:t>
      </w:r>
      <w:r w:rsidR="00201562" w:rsidRPr="00201562">
        <w:rPr>
          <w:rFonts w:eastAsia="MS Mincho"/>
          <w:szCs w:val="24"/>
        </w:rPr>
        <w:t>n</w:t>
      </w:r>
      <w:r w:rsidR="00201562" w:rsidRPr="00201562">
        <w:rPr>
          <w:rFonts w:eastAsia="MS Mincho"/>
          <w:szCs w:val="24"/>
          <w:vertAlign w:val="superscript"/>
        </w:rPr>
        <w:t>o</w:t>
      </w:r>
      <w:r w:rsidR="00201562">
        <w:rPr>
          <w:szCs w:val="24"/>
        </w:rPr>
        <w:t> </w:t>
      </w:r>
      <w:r w:rsidRPr="00A7331F">
        <w:rPr>
          <w:szCs w:val="24"/>
        </w:rPr>
        <w:t>48. Afin d</w:t>
      </w:r>
      <w:r>
        <w:rPr>
          <w:szCs w:val="24"/>
        </w:rPr>
        <w:t>’</w:t>
      </w:r>
      <w:r w:rsidRPr="00A7331F">
        <w:rPr>
          <w:szCs w:val="24"/>
        </w:rPr>
        <w:t>éviter tout malentendu, seules les couleurs blanche, rouge et jaune-auto te</w:t>
      </w:r>
      <w:r w:rsidR="00201562">
        <w:rPr>
          <w:szCs w:val="24"/>
        </w:rPr>
        <w:t>lles que définies au paragraphe </w:t>
      </w:r>
      <w:r w:rsidRPr="00A7331F">
        <w:rPr>
          <w:szCs w:val="24"/>
        </w:rPr>
        <w:t>2.29 sont autorisées.</w:t>
      </w:r>
    </w:p>
    <w:p w:rsidR="00642041" w:rsidRPr="00A7331F" w:rsidRDefault="00642041" w:rsidP="00642041">
      <w:pPr>
        <w:pStyle w:val="ParNoG"/>
        <w:tabs>
          <w:tab w:val="clear" w:pos="1701"/>
        </w:tabs>
        <w:rPr>
          <w:szCs w:val="24"/>
        </w:rPr>
      </w:pPr>
      <w:r w:rsidRPr="00A7331F">
        <w:rPr>
          <w:szCs w:val="24"/>
        </w:rPr>
        <w:lastRenderedPageBreak/>
        <w:t xml:space="preserve">La superficie de la surface apparente du voyant de </w:t>
      </w:r>
      <w:r w:rsidRPr="00642041">
        <w:t>l’indicateur</w:t>
      </w:r>
      <w:r w:rsidRPr="00A7331F">
        <w:rPr>
          <w:szCs w:val="24"/>
        </w:rPr>
        <w:t xml:space="preserve"> de position doit être définie afin d</w:t>
      </w:r>
      <w:r>
        <w:rPr>
          <w:szCs w:val="24"/>
        </w:rPr>
        <w:t>’</w:t>
      </w:r>
      <w:r w:rsidRPr="00A7331F">
        <w:rPr>
          <w:szCs w:val="24"/>
        </w:rPr>
        <w:t>éviter toute utilisation impropre à l</w:t>
      </w:r>
      <w:r>
        <w:rPr>
          <w:szCs w:val="24"/>
        </w:rPr>
        <w:t>’</w:t>
      </w:r>
      <w:r w:rsidRPr="00A7331F">
        <w:rPr>
          <w:szCs w:val="24"/>
        </w:rPr>
        <w:t>avenir, s</w:t>
      </w:r>
      <w:r>
        <w:rPr>
          <w:szCs w:val="24"/>
        </w:rPr>
        <w:t>’</w:t>
      </w:r>
      <w:r w:rsidRPr="00A7331F">
        <w:rPr>
          <w:szCs w:val="24"/>
        </w:rPr>
        <w:t>agissant en particulier de l</w:t>
      </w:r>
      <w:r>
        <w:rPr>
          <w:szCs w:val="24"/>
        </w:rPr>
        <w:t>’</w:t>
      </w:r>
      <w:r w:rsidRPr="00A7331F">
        <w:rPr>
          <w:szCs w:val="24"/>
        </w:rPr>
        <w:t>équipement</w:t>
      </w:r>
      <w:r>
        <w:rPr>
          <w:szCs w:val="24"/>
        </w:rPr>
        <w:t xml:space="preserve"> </w:t>
      </w:r>
      <w:r w:rsidRPr="00A7331F">
        <w:rPr>
          <w:szCs w:val="24"/>
        </w:rPr>
        <w:t>de véhicules en circulation à l</w:t>
      </w:r>
      <w:r>
        <w:rPr>
          <w:szCs w:val="24"/>
        </w:rPr>
        <w:t>’</w:t>
      </w:r>
      <w:r w:rsidRPr="00A7331F">
        <w:rPr>
          <w:szCs w:val="24"/>
        </w:rPr>
        <w:t>aide d</w:t>
      </w:r>
      <w:r>
        <w:rPr>
          <w:szCs w:val="24"/>
        </w:rPr>
        <w:t>’</w:t>
      </w:r>
      <w:r w:rsidRPr="00A7331F">
        <w:rPr>
          <w:szCs w:val="24"/>
        </w:rPr>
        <w:t>indicateurs qui ne seraient pas d</w:t>
      </w:r>
      <w:r>
        <w:rPr>
          <w:szCs w:val="24"/>
        </w:rPr>
        <w:t>’</w:t>
      </w:r>
      <w:r w:rsidRPr="00A7331F">
        <w:rPr>
          <w:szCs w:val="24"/>
        </w:rPr>
        <w:t>origine</w:t>
      </w:r>
      <w:r w:rsidR="00201562">
        <w:rPr>
          <w:szCs w:val="24"/>
        </w:rPr>
        <w:t>.</w:t>
      </w:r>
    </w:p>
    <w:p w:rsidR="00642041" w:rsidRPr="00A7331F" w:rsidRDefault="00642041" w:rsidP="00201562">
      <w:pPr>
        <w:pStyle w:val="ParNoG"/>
        <w:tabs>
          <w:tab w:val="clear" w:pos="1701"/>
        </w:tabs>
        <w:rPr>
          <w:szCs w:val="24"/>
        </w:rPr>
      </w:pPr>
      <w:r w:rsidRPr="00A7331F">
        <w:rPr>
          <w:szCs w:val="24"/>
        </w:rPr>
        <w:t>S</w:t>
      </w:r>
      <w:r>
        <w:rPr>
          <w:szCs w:val="24"/>
        </w:rPr>
        <w:t>’</w:t>
      </w:r>
      <w:r w:rsidRPr="00A7331F">
        <w:rPr>
          <w:szCs w:val="24"/>
        </w:rPr>
        <w:t xml:space="preserve">il est prévu que des voyants installés sur le véhicule </w:t>
      </w:r>
      <w:r w:rsidRPr="00642041">
        <w:t>indiquent</w:t>
      </w:r>
      <w:r w:rsidRPr="00A7331F">
        <w:rPr>
          <w:szCs w:val="24"/>
        </w:rPr>
        <w:t xml:space="preserve"> la position du SAV, du SA ou du système d</w:t>
      </w:r>
      <w:r>
        <w:rPr>
          <w:szCs w:val="24"/>
        </w:rPr>
        <w:t>’</w:t>
      </w:r>
      <w:r w:rsidRPr="00A7331F">
        <w:rPr>
          <w:szCs w:val="24"/>
        </w:rPr>
        <w:t>immobilisation, cela doit être précisé aux alinéas correspondants du paragraphe</w:t>
      </w:r>
      <w:r w:rsidR="00201562">
        <w:rPr>
          <w:szCs w:val="24"/>
        </w:rPr>
        <w:t> </w:t>
      </w:r>
      <w:r w:rsidRPr="00A7331F">
        <w:rPr>
          <w:szCs w:val="24"/>
        </w:rPr>
        <w:t xml:space="preserve">6 du Règlement </w:t>
      </w:r>
      <w:r w:rsidR="00201562" w:rsidRPr="00201562">
        <w:rPr>
          <w:rFonts w:eastAsia="MS Mincho"/>
          <w:szCs w:val="24"/>
        </w:rPr>
        <w:t>n</w:t>
      </w:r>
      <w:r w:rsidR="00201562" w:rsidRPr="00201562">
        <w:rPr>
          <w:rFonts w:eastAsia="MS Mincho"/>
          <w:szCs w:val="24"/>
          <w:vertAlign w:val="superscript"/>
        </w:rPr>
        <w:t>o</w:t>
      </w:r>
      <w:r w:rsidR="00201562">
        <w:rPr>
          <w:szCs w:val="24"/>
        </w:rPr>
        <w:t> </w:t>
      </w:r>
      <w:r w:rsidRPr="00A7331F">
        <w:rPr>
          <w:szCs w:val="24"/>
        </w:rPr>
        <w:t>48.</w:t>
      </w:r>
    </w:p>
    <w:p w:rsidR="00642041" w:rsidRPr="00A7331F" w:rsidRDefault="00642041" w:rsidP="006B47C5">
      <w:pPr>
        <w:pStyle w:val="ParNoG"/>
        <w:tabs>
          <w:tab w:val="clear" w:pos="1701"/>
        </w:tabs>
        <w:rPr>
          <w:szCs w:val="24"/>
        </w:rPr>
      </w:pPr>
      <w:r w:rsidRPr="00A7331F">
        <w:rPr>
          <w:szCs w:val="24"/>
        </w:rPr>
        <w:t xml:space="preserve">Le Règlement </w:t>
      </w:r>
      <w:r w:rsidR="00201562" w:rsidRPr="00201562">
        <w:rPr>
          <w:rFonts w:eastAsia="MS Mincho"/>
          <w:szCs w:val="24"/>
        </w:rPr>
        <w:t>n</w:t>
      </w:r>
      <w:r w:rsidR="00201562" w:rsidRPr="00201562">
        <w:rPr>
          <w:rFonts w:eastAsia="MS Mincho"/>
          <w:szCs w:val="24"/>
          <w:vertAlign w:val="superscript"/>
        </w:rPr>
        <w:t>o</w:t>
      </w:r>
      <w:r w:rsidR="00201562">
        <w:rPr>
          <w:szCs w:val="24"/>
        </w:rPr>
        <w:t> </w:t>
      </w:r>
      <w:r w:rsidRPr="00A7331F">
        <w:rPr>
          <w:szCs w:val="24"/>
        </w:rPr>
        <w:t xml:space="preserve">48 ne porte que sur les dispositifs </w:t>
      </w:r>
      <w:r w:rsidRPr="00642041">
        <w:t>d’éclairage</w:t>
      </w:r>
      <w:r w:rsidRPr="00A7331F">
        <w:rPr>
          <w:szCs w:val="24"/>
        </w:rPr>
        <w:t xml:space="preserve"> extérieurs. Les indicateurs visés dans ce </w:t>
      </w:r>
      <w:r w:rsidR="006B47C5" w:rsidRPr="00A7331F">
        <w:rPr>
          <w:szCs w:val="24"/>
        </w:rPr>
        <w:t xml:space="preserve">Règlement </w:t>
      </w:r>
      <w:r w:rsidRPr="00A7331F">
        <w:rPr>
          <w:szCs w:val="24"/>
        </w:rPr>
        <w:t>ne peuvent donc être installés qu</w:t>
      </w:r>
      <w:r>
        <w:rPr>
          <w:szCs w:val="24"/>
        </w:rPr>
        <w:t>’</w:t>
      </w:r>
      <w:r w:rsidRPr="00A7331F">
        <w:rPr>
          <w:szCs w:val="24"/>
        </w:rPr>
        <w:t>à l</w:t>
      </w:r>
      <w:r>
        <w:rPr>
          <w:szCs w:val="24"/>
        </w:rPr>
        <w:t>’</w:t>
      </w:r>
      <w:r w:rsidRPr="00A7331F">
        <w:rPr>
          <w:szCs w:val="24"/>
        </w:rPr>
        <w:t>extérieur du véhicule (</w:t>
      </w:r>
      <w:r w:rsidR="006B47C5">
        <w:rPr>
          <w:szCs w:val="24"/>
        </w:rPr>
        <w:t>par exemple</w:t>
      </w:r>
      <w:r w:rsidRPr="00A7331F">
        <w:rPr>
          <w:szCs w:val="24"/>
        </w:rPr>
        <w:t xml:space="preserve"> indicateurs extérieurs).</w:t>
      </w:r>
    </w:p>
    <w:p w:rsidR="00642041" w:rsidRPr="00A7331F" w:rsidRDefault="00642041" w:rsidP="00201562">
      <w:pPr>
        <w:pStyle w:val="ParNoG"/>
        <w:tabs>
          <w:tab w:val="clear" w:pos="1701"/>
        </w:tabs>
        <w:rPr>
          <w:szCs w:val="24"/>
        </w:rPr>
      </w:pPr>
      <w:r w:rsidRPr="00A7331F">
        <w:rPr>
          <w:szCs w:val="24"/>
        </w:rPr>
        <w:t>Le SAV, le SA et le système d</w:t>
      </w:r>
      <w:r>
        <w:rPr>
          <w:szCs w:val="24"/>
        </w:rPr>
        <w:t>’</w:t>
      </w:r>
      <w:r w:rsidRPr="00A7331F">
        <w:rPr>
          <w:szCs w:val="24"/>
        </w:rPr>
        <w:t xml:space="preserve">immobilisation sont </w:t>
      </w:r>
      <w:r w:rsidRPr="00642041">
        <w:t>mentionnés</w:t>
      </w:r>
      <w:r w:rsidRPr="00A7331F">
        <w:rPr>
          <w:szCs w:val="24"/>
        </w:rPr>
        <w:t xml:space="preserve"> dans les prescriptions du Règlement </w:t>
      </w:r>
      <w:r w:rsidR="00201562" w:rsidRPr="00201562">
        <w:rPr>
          <w:rFonts w:eastAsia="MS Mincho"/>
          <w:szCs w:val="24"/>
        </w:rPr>
        <w:t>n</w:t>
      </w:r>
      <w:r w:rsidR="00201562" w:rsidRPr="00201562">
        <w:rPr>
          <w:rFonts w:eastAsia="MS Mincho"/>
          <w:szCs w:val="24"/>
          <w:vertAlign w:val="superscript"/>
        </w:rPr>
        <w:t>o</w:t>
      </w:r>
      <w:r w:rsidR="00201562">
        <w:rPr>
          <w:szCs w:val="24"/>
        </w:rPr>
        <w:t> </w:t>
      </w:r>
      <w:r w:rsidRPr="00A7331F">
        <w:rPr>
          <w:szCs w:val="24"/>
        </w:rPr>
        <w:t>48 tout comme ils le sont dans les</w:t>
      </w:r>
      <w:r>
        <w:rPr>
          <w:szCs w:val="24"/>
        </w:rPr>
        <w:t xml:space="preserve"> </w:t>
      </w:r>
      <w:r w:rsidRPr="00A7331F">
        <w:rPr>
          <w:szCs w:val="24"/>
        </w:rPr>
        <w:t>Règlements n</w:t>
      </w:r>
      <w:r w:rsidRPr="00A7331F">
        <w:rPr>
          <w:szCs w:val="24"/>
          <w:vertAlign w:val="superscript"/>
        </w:rPr>
        <w:t>os</w:t>
      </w:r>
      <w:r w:rsidRPr="00A7331F">
        <w:rPr>
          <w:szCs w:val="24"/>
        </w:rPr>
        <w:t> 97 et 116. Il n</w:t>
      </w:r>
      <w:r>
        <w:rPr>
          <w:szCs w:val="24"/>
        </w:rPr>
        <w:t>’</w:t>
      </w:r>
      <w:r w:rsidRPr="00A7331F">
        <w:rPr>
          <w:szCs w:val="24"/>
        </w:rPr>
        <w:t xml:space="preserve">est donc pas réellement nécessaire de citer expressément ceux-ci dans le texte du Règlement </w:t>
      </w:r>
      <w:r w:rsidR="00201562" w:rsidRPr="00201562">
        <w:rPr>
          <w:rFonts w:eastAsia="MS Mincho"/>
          <w:szCs w:val="24"/>
        </w:rPr>
        <w:t>n</w:t>
      </w:r>
      <w:r w:rsidR="00201562" w:rsidRPr="00201562">
        <w:rPr>
          <w:rFonts w:eastAsia="MS Mincho"/>
          <w:szCs w:val="24"/>
          <w:vertAlign w:val="superscript"/>
        </w:rPr>
        <w:t>o</w:t>
      </w:r>
      <w:r w:rsidR="00201562">
        <w:rPr>
          <w:szCs w:val="24"/>
        </w:rPr>
        <w:t> </w:t>
      </w:r>
      <w:r w:rsidRPr="00A7331F">
        <w:rPr>
          <w:szCs w:val="24"/>
        </w:rPr>
        <w:t>48. Sinon, il faudrait indiquer précisément</w:t>
      </w:r>
      <w:r>
        <w:rPr>
          <w:szCs w:val="24"/>
        </w:rPr>
        <w:t xml:space="preserve"> </w:t>
      </w:r>
      <w:r w:rsidRPr="00A7331F">
        <w:rPr>
          <w:szCs w:val="24"/>
        </w:rPr>
        <w:t xml:space="preserve">le complément à partir duquel un renvoi au </w:t>
      </w:r>
      <w:r w:rsidR="00201562">
        <w:rPr>
          <w:szCs w:val="24"/>
        </w:rPr>
        <w:t xml:space="preserve">Règlement </w:t>
      </w:r>
      <w:r w:rsidR="00201562" w:rsidRPr="00201562">
        <w:rPr>
          <w:rFonts w:eastAsia="MS Mincho"/>
          <w:szCs w:val="24"/>
        </w:rPr>
        <w:t>n</w:t>
      </w:r>
      <w:r w:rsidR="00201562" w:rsidRPr="00201562">
        <w:rPr>
          <w:rFonts w:eastAsia="MS Mincho"/>
          <w:szCs w:val="24"/>
          <w:vertAlign w:val="superscript"/>
        </w:rPr>
        <w:t>o</w:t>
      </w:r>
      <w:r w:rsidR="00201562">
        <w:rPr>
          <w:rFonts w:eastAsia="MS Mincho"/>
          <w:szCs w:val="24"/>
        </w:rPr>
        <w:t> </w:t>
      </w:r>
      <w:r w:rsidRPr="00A7331F">
        <w:rPr>
          <w:szCs w:val="24"/>
        </w:rPr>
        <w:t>48 a été introduit dans ces deux Règlements.</w:t>
      </w:r>
    </w:p>
    <w:p w:rsidR="00642041" w:rsidRPr="00A7331F" w:rsidRDefault="00642041" w:rsidP="00201562">
      <w:pPr>
        <w:pStyle w:val="ParNoG"/>
        <w:tabs>
          <w:tab w:val="clear" w:pos="1701"/>
        </w:tabs>
        <w:rPr>
          <w:b/>
        </w:rPr>
      </w:pPr>
      <w:r w:rsidRPr="00A7331F">
        <w:rPr>
          <w:szCs w:val="24"/>
        </w:rPr>
        <w:t>Les nouveaux amendements aux Règlements n</w:t>
      </w:r>
      <w:r w:rsidRPr="00A7331F">
        <w:rPr>
          <w:szCs w:val="24"/>
          <w:vertAlign w:val="superscript"/>
        </w:rPr>
        <w:t>os</w:t>
      </w:r>
      <w:r w:rsidRPr="00A7331F">
        <w:rPr>
          <w:szCs w:val="24"/>
        </w:rPr>
        <w:t xml:space="preserve"> 97 et 116 </w:t>
      </w:r>
      <w:r w:rsidRPr="00642041">
        <w:t>visent</w:t>
      </w:r>
      <w:r w:rsidRPr="00A7331F">
        <w:rPr>
          <w:szCs w:val="24"/>
        </w:rPr>
        <w:t xml:space="preserve"> à éviter que les indicateurs extérieurs ne contreviennent aux prescriptions du Règlement </w:t>
      </w:r>
      <w:r w:rsidR="00201562" w:rsidRPr="00201562">
        <w:rPr>
          <w:rFonts w:eastAsia="MS Mincho"/>
          <w:szCs w:val="24"/>
        </w:rPr>
        <w:t>n</w:t>
      </w:r>
      <w:r w:rsidR="00201562" w:rsidRPr="00201562">
        <w:rPr>
          <w:rFonts w:eastAsia="MS Mincho"/>
          <w:szCs w:val="24"/>
          <w:vertAlign w:val="superscript"/>
        </w:rPr>
        <w:t>o</w:t>
      </w:r>
      <w:r w:rsidR="00201562">
        <w:rPr>
          <w:szCs w:val="24"/>
        </w:rPr>
        <w:t> </w:t>
      </w:r>
      <w:r w:rsidRPr="00A7331F">
        <w:rPr>
          <w:szCs w:val="24"/>
        </w:rPr>
        <w:t>48. Ils n</w:t>
      </w:r>
      <w:r>
        <w:rPr>
          <w:szCs w:val="24"/>
        </w:rPr>
        <w:t>’</w:t>
      </w:r>
      <w:r w:rsidRPr="00A7331F">
        <w:rPr>
          <w:szCs w:val="24"/>
        </w:rPr>
        <w:t>interdisent toutefois pas les dispositifs de ce type, car ces derniers étaient déjà autorisés. Comme ces amendements entreront en vigueur sans dispositions transitoires, les séries 04, 05 et 06 d</w:t>
      </w:r>
      <w:r>
        <w:rPr>
          <w:szCs w:val="24"/>
        </w:rPr>
        <w:t>’</w:t>
      </w:r>
      <w:r w:rsidRPr="00A7331F">
        <w:rPr>
          <w:szCs w:val="24"/>
        </w:rPr>
        <w:t xml:space="preserve">amendements au Règlement </w:t>
      </w:r>
      <w:r w:rsidR="00201562" w:rsidRPr="00201562">
        <w:rPr>
          <w:rFonts w:eastAsia="MS Mincho"/>
          <w:szCs w:val="24"/>
        </w:rPr>
        <w:t>n</w:t>
      </w:r>
      <w:r w:rsidR="00201562" w:rsidRPr="00201562">
        <w:rPr>
          <w:rFonts w:eastAsia="MS Mincho"/>
          <w:szCs w:val="24"/>
          <w:vertAlign w:val="superscript"/>
        </w:rPr>
        <w:t>o</w:t>
      </w:r>
      <w:r w:rsidR="00201562">
        <w:rPr>
          <w:szCs w:val="24"/>
        </w:rPr>
        <w:t> </w:t>
      </w:r>
      <w:r w:rsidRPr="00A7331F">
        <w:rPr>
          <w:szCs w:val="24"/>
        </w:rPr>
        <w:t>48 doivent être modifiées.</w:t>
      </w:r>
    </w:p>
    <w:p w:rsidR="00F9573C" w:rsidRPr="00642041" w:rsidRDefault="00642041" w:rsidP="0064204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42041" w:rsidSect="0064204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C5" w:rsidRDefault="000D1AC5" w:rsidP="00F95C08">
      <w:pPr>
        <w:spacing w:line="240" w:lineRule="auto"/>
      </w:pPr>
    </w:p>
  </w:endnote>
  <w:endnote w:type="continuationSeparator" w:id="0">
    <w:p w:rsidR="000D1AC5" w:rsidRPr="00AC3823" w:rsidRDefault="000D1AC5" w:rsidP="00AC3823">
      <w:pPr>
        <w:pStyle w:val="Footer"/>
      </w:pPr>
    </w:p>
  </w:endnote>
  <w:endnote w:type="continuationNotice" w:id="1">
    <w:p w:rsidR="000D1AC5" w:rsidRDefault="000D1A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41" w:rsidRPr="00642041" w:rsidRDefault="00642041" w:rsidP="00642041">
    <w:pPr>
      <w:pStyle w:val="Footer"/>
      <w:tabs>
        <w:tab w:val="right" w:pos="9638"/>
      </w:tabs>
    </w:pPr>
    <w:r w:rsidRPr="00642041">
      <w:rPr>
        <w:b/>
        <w:sz w:val="18"/>
      </w:rPr>
      <w:fldChar w:fldCharType="begin"/>
    </w:r>
    <w:r w:rsidRPr="00642041">
      <w:rPr>
        <w:b/>
        <w:sz w:val="18"/>
      </w:rPr>
      <w:instrText xml:space="preserve"> PAGE  \* MERGEFORMAT </w:instrText>
    </w:r>
    <w:r w:rsidRPr="00642041">
      <w:rPr>
        <w:b/>
        <w:sz w:val="18"/>
      </w:rPr>
      <w:fldChar w:fldCharType="separate"/>
    </w:r>
    <w:r w:rsidR="00554AD7">
      <w:rPr>
        <w:b/>
        <w:noProof/>
        <w:sz w:val="18"/>
      </w:rPr>
      <w:t>2</w:t>
    </w:r>
    <w:r w:rsidRPr="00642041">
      <w:rPr>
        <w:b/>
        <w:sz w:val="18"/>
      </w:rPr>
      <w:fldChar w:fldCharType="end"/>
    </w:r>
    <w:r>
      <w:rPr>
        <w:b/>
        <w:sz w:val="18"/>
      </w:rPr>
      <w:tab/>
    </w:r>
    <w:r>
      <w:t>GE.16-13941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41" w:rsidRPr="00642041" w:rsidRDefault="00642041" w:rsidP="00642041">
    <w:pPr>
      <w:pStyle w:val="Footer"/>
      <w:tabs>
        <w:tab w:val="right" w:pos="9638"/>
      </w:tabs>
      <w:rPr>
        <w:b/>
        <w:sz w:val="18"/>
      </w:rPr>
    </w:pPr>
    <w:r>
      <w:t>GE.16-13941</w:t>
    </w:r>
    <w:r>
      <w:tab/>
    </w:r>
    <w:r w:rsidRPr="00642041">
      <w:rPr>
        <w:b/>
        <w:sz w:val="18"/>
      </w:rPr>
      <w:fldChar w:fldCharType="begin"/>
    </w:r>
    <w:r w:rsidRPr="00642041">
      <w:rPr>
        <w:b/>
        <w:sz w:val="18"/>
      </w:rPr>
      <w:instrText xml:space="preserve"> PAGE  \* MERGEFORMAT </w:instrText>
    </w:r>
    <w:r w:rsidRPr="00642041">
      <w:rPr>
        <w:b/>
        <w:sz w:val="18"/>
      </w:rPr>
      <w:fldChar w:fldCharType="separate"/>
    </w:r>
    <w:r w:rsidR="00554AD7">
      <w:rPr>
        <w:b/>
        <w:noProof/>
        <w:sz w:val="18"/>
      </w:rPr>
      <w:t>3</w:t>
    </w:r>
    <w:r w:rsidRPr="00642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642041" w:rsidRDefault="00642041" w:rsidP="0064204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CA3DE93" wp14:editId="459E8F42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16-13941  (F)    060916    060916</w:t>
    </w:r>
    <w:r>
      <w:rPr>
        <w:sz w:val="20"/>
      </w:rPr>
      <w:br/>
    </w:r>
    <w:r w:rsidRPr="00642041">
      <w:rPr>
        <w:rFonts w:ascii="C39T30Lfz" w:hAnsi="C39T30Lfz"/>
        <w:sz w:val="56"/>
      </w:rPr>
      <w:t></w:t>
    </w:r>
    <w:r w:rsidRPr="00642041">
      <w:rPr>
        <w:rFonts w:ascii="C39T30Lfz" w:hAnsi="C39T30Lfz"/>
        <w:sz w:val="56"/>
      </w:rPr>
      <w:t></w:t>
    </w:r>
    <w:r w:rsidRPr="00642041">
      <w:rPr>
        <w:rFonts w:ascii="C39T30Lfz" w:hAnsi="C39T30Lfz"/>
        <w:sz w:val="56"/>
      </w:rPr>
      <w:t></w:t>
    </w:r>
    <w:r w:rsidRPr="00642041">
      <w:rPr>
        <w:rFonts w:ascii="C39T30Lfz" w:hAnsi="C39T30Lfz"/>
        <w:sz w:val="56"/>
      </w:rPr>
      <w:t></w:t>
    </w:r>
    <w:r w:rsidRPr="00642041">
      <w:rPr>
        <w:rFonts w:ascii="C39T30Lfz" w:hAnsi="C39T30Lfz"/>
        <w:sz w:val="56"/>
      </w:rPr>
      <w:t></w:t>
    </w:r>
    <w:r w:rsidRPr="00642041">
      <w:rPr>
        <w:rFonts w:ascii="C39T30Lfz" w:hAnsi="C39T30Lfz"/>
        <w:sz w:val="56"/>
      </w:rPr>
      <w:t></w:t>
    </w:r>
    <w:r w:rsidRPr="00642041">
      <w:rPr>
        <w:rFonts w:ascii="C39T30Lfz" w:hAnsi="C39T30Lfz"/>
        <w:sz w:val="56"/>
      </w:rPr>
      <w:t></w:t>
    </w:r>
    <w:r w:rsidRPr="00642041">
      <w:rPr>
        <w:rFonts w:ascii="C39T30Lfz" w:hAnsi="C39T30Lfz"/>
        <w:sz w:val="56"/>
      </w:rPr>
      <w:t></w:t>
    </w:r>
    <w:r w:rsidRPr="0064204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6/3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3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C5" w:rsidRPr="00AC3823" w:rsidRDefault="000D1AC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1AC5" w:rsidRPr="00AC3823" w:rsidRDefault="000D1AC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D1AC5" w:rsidRPr="00AC3823" w:rsidRDefault="000D1AC5">
      <w:pPr>
        <w:spacing w:line="240" w:lineRule="auto"/>
        <w:rPr>
          <w:sz w:val="2"/>
          <w:szCs w:val="2"/>
        </w:rPr>
      </w:pPr>
    </w:p>
  </w:footnote>
  <w:footnote w:id="2">
    <w:p w:rsidR="00642041" w:rsidRPr="00642041" w:rsidRDefault="00642041" w:rsidP="00642041">
      <w:pPr>
        <w:pStyle w:val="FootnoteText"/>
        <w:rPr>
          <w:spacing w:val="-2"/>
        </w:rPr>
      </w:pPr>
      <w:r w:rsidRPr="00A7331F">
        <w:tab/>
      </w:r>
      <w:r w:rsidRPr="00A7331F">
        <w:rPr>
          <w:sz w:val="20"/>
        </w:rPr>
        <w:t>*</w:t>
      </w:r>
      <w:r w:rsidRPr="00A7331F">
        <w:rPr>
          <w:sz w:val="20"/>
        </w:rPr>
        <w:tab/>
      </w:r>
      <w:r w:rsidRPr="00642041">
        <w:rPr>
          <w:spacing w:val="-2"/>
        </w:rPr>
        <w:t>Conformément au programme de travail du Comité des transports intérieurs pour la période 2014-2018 (ECE/TRANS/240, par</w:t>
      </w:r>
      <w:r>
        <w:rPr>
          <w:spacing w:val="-2"/>
        </w:rPr>
        <w:t>. </w:t>
      </w:r>
      <w:r w:rsidRPr="00642041">
        <w:rPr>
          <w:spacing w:val="-2"/>
        </w:rPr>
        <w:t>105, et ECE/TRANS/2014/26, activité</w:t>
      </w:r>
      <w:r>
        <w:rPr>
          <w:spacing w:val="-2"/>
        </w:rPr>
        <w:t> </w:t>
      </w:r>
      <w:r w:rsidRPr="00642041">
        <w:rPr>
          <w:spacing w:val="-2"/>
        </w:rPr>
        <w:t>02.4), le Forum mondial a pour mission d’élaborer, d’harmoniser et de mettre à jour les Règlements en vue d’améliorer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41" w:rsidRPr="00642041" w:rsidRDefault="00642041">
    <w:pPr>
      <w:pStyle w:val="Header"/>
    </w:pPr>
    <w:r>
      <w:t>ECE/TRANS/WP.29/GRE/2016/33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41" w:rsidRPr="00642041" w:rsidRDefault="00642041" w:rsidP="00642041">
    <w:pPr>
      <w:pStyle w:val="Header"/>
      <w:jc w:val="right"/>
    </w:pPr>
    <w:r>
      <w:t>ECE/TRANS/WP.29/GRE/2016/33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C5"/>
    <w:rsid w:val="00017F94"/>
    <w:rsid w:val="00023842"/>
    <w:rsid w:val="000334F9"/>
    <w:rsid w:val="0007796D"/>
    <w:rsid w:val="000B7790"/>
    <w:rsid w:val="000D1AC5"/>
    <w:rsid w:val="00111F2F"/>
    <w:rsid w:val="0014365E"/>
    <w:rsid w:val="00143C66"/>
    <w:rsid w:val="00176178"/>
    <w:rsid w:val="001F525A"/>
    <w:rsid w:val="00201562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54AD7"/>
    <w:rsid w:val="00573BE5"/>
    <w:rsid w:val="00586ED3"/>
    <w:rsid w:val="00596AA9"/>
    <w:rsid w:val="00642041"/>
    <w:rsid w:val="006B47C5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D7A04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5149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ECE/TRANS/WP.29/GRE/2016/33</vt:lpstr>
      <vt:lpstr>ECE/TRANS/WP.29/GRE/2016/33</vt:lpstr>
    </vt:vector>
  </TitlesOfParts>
  <Company>DCM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ECE/TRANS/WP.29/GRE/2016/33</dc:title>
  <dc:creator>Morin</dc:creator>
  <cp:lastModifiedBy>Benedicte Boudol</cp:lastModifiedBy>
  <cp:revision>2</cp:revision>
  <cp:lastPrinted>2014-05-14T10:59:00Z</cp:lastPrinted>
  <dcterms:created xsi:type="dcterms:W3CDTF">2016-09-07T08:23:00Z</dcterms:created>
  <dcterms:modified xsi:type="dcterms:W3CDTF">2016-09-07T08:23:00Z</dcterms:modified>
</cp:coreProperties>
</file>