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74" w:rsidRDefault="002E6B74" w:rsidP="002E6B74">
      <w:pPr>
        <w:spacing w:line="240" w:lineRule="auto"/>
        <w:rPr>
          <w:sz w:val="2"/>
        </w:rPr>
        <w:sectPr w:rsidR="002E6B74" w:rsidSect="002E6B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2E6B74" w:rsidRDefault="002E6B74" w:rsidP="002E6B74">
      <w:pPr>
        <w:pStyle w:val="H1"/>
        <w:spacing w:after="120"/>
        <w:rPr>
          <w:sz w:val="28"/>
        </w:rPr>
      </w:pPr>
      <w:r>
        <w:rPr>
          <w:sz w:val="28"/>
        </w:rPr>
        <w:lastRenderedPageBreak/>
        <w:t>Commission économique pour l’Europe</w:t>
      </w:r>
    </w:p>
    <w:p w:rsidR="002E6B74" w:rsidRDefault="002E6B74" w:rsidP="00E32323">
      <w:pPr>
        <w:pStyle w:val="H1"/>
        <w:spacing w:after="120" w:line="300" w:lineRule="exact"/>
        <w:rPr>
          <w:b w:val="0"/>
          <w:sz w:val="28"/>
        </w:rPr>
      </w:pPr>
      <w:r>
        <w:rPr>
          <w:b w:val="0"/>
          <w:sz w:val="28"/>
        </w:rPr>
        <w:t>Comité des transports intérieurs</w:t>
      </w:r>
    </w:p>
    <w:p w:rsidR="00E32323" w:rsidRDefault="00E32323" w:rsidP="00E3232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Forum mondial de l’harmonisation </w:t>
      </w:r>
      <w:r>
        <w:br/>
        <w:t>des Règlements concernant les véhicules</w:t>
      </w:r>
    </w:p>
    <w:p w:rsidR="00E32323" w:rsidRPr="00E32323" w:rsidRDefault="00E32323" w:rsidP="00E32323">
      <w:pPr>
        <w:spacing w:line="120" w:lineRule="exact"/>
        <w:rPr>
          <w:sz w:val="10"/>
        </w:rPr>
      </w:pPr>
    </w:p>
    <w:p w:rsidR="00E32323" w:rsidRDefault="00E32323" w:rsidP="00292612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Groupe de travail de la pollution et de l’énergie</w:t>
      </w:r>
    </w:p>
    <w:p w:rsidR="00E32323" w:rsidRPr="00E32323" w:rsidRDefault="00E32323" w:rsidP="00E32323">
      <w:pPr>
        <w:spacing w:line="120" w:lineRule="exact"/>
        <w:rPr>
          <w:sz w:val="10"/>
        </w:rPr>
      </w:pPr>
    </w:p>
    <w:p w:rsidR="00E32323" w:rsidRDefault="00E32323" w:rsidP="00E3232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Soixante-douzième session</w:t>
      </w:r>
    </w:p>
    <w:p w:rsidR="00E32323" w:rsidRDefault="00E32323" w:rsidP="00E32323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Genève, 12-15 janvier 2016</w:t>
      </w:r>
    </w:p>
    <w:p w:rsidR="00E32323" w:rsidRDefault="00E32323" w:rsidP="00E32323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Point 4 a) de l’ordre du jour provisoire</w:t>
      </w:r>
      <w:bookmarkStart w:id="1" w:name="insstart"/>
      <w:bookmarkEnd w:id="1"/>
    </w:p>
    <w:p w:rsidR="00E32323" w:rsidRDefault="00E32323" w:rsidP="00E3232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Véhicules utilitaires lourds – Règlements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os</w:t>
      </w:r>
      <w:r>
        <w:t xml:space="preserve"> 49 </w:t>
      </w:r>
      <w:r>
        <w:br/>
        <w:t xml:space="preserve">(Émissions des moteurs à allumage par compression </w:t>
      </w:r>
      <w:r>
        <w:br/>
        <w:t xml:space="preserve">et des moteurs à allumage commandé (GNC et GPL)) </w:t>
      </w:r>
      <w:r>
        <w:br/>
      </w:r>
      <w:r w:rsidRPr="00E32323">
        <w:t>et 132 (Dispositifs antipollution non montés d’origine)</w:t>
      </w:r>
    </w:p>
    <w:p w:rsidR="00E32323" w:rsidRPr="00E32323" w:rsidRDefault="00E32323" w:rsidP="00E32323">
      <w:pPr>
        <w:spacing w:line="120" w:lineRule="exact"/>
        <w:rPr>
          <w:sz w:val="10"/>
        </w:rPr>
      </w:pPr>
    </w:p>
    <w:p w:rsidR="00E32323" w:rsidRPr="00E32323" w:rsidRDefault="00E32323" w:rsidP="00E32323">
      <w:pPr>
        <w:spacing w:line="120" w:lineRule="exact"/>
        <w:rPr>
          <w:sz w:val="10"/>
        </w:rPr>
      </w:pPr>
    </w:p>
    <w:p w:rsidR="00E32323" w:rsidRPr="00E32323" w:rsidRDefault="00E32323" w:rsidP="00E32323">
      <w:pPr>
        <w:spacing w:line="120" w:lineRule="exact"/>
        <w:rPr>
          <w:sz w:val="10"/>
        </w:rPr>
      </w:pPr>
    </w:p>
    <w:p w:rsidR="00E32323" w:rsidRDefault="00E32323" w:rsidP="00E3232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</w:pPr>
      <w:r>
        <w:tab/>
      </w:r>
      <w:r>
        <w:tab/>
        <w:t xml:space="preserve">Proposition de nouveau complément à la série 06 </w:t>
      </w:r>
      <w:r>
        <w:br/>
        <w:t xml:space="preserve">d’amendements au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 </w:t>
      </w:r>
      <w:r>
        <w:t xml:space="preserve">49 </w:t>
      </w:r>
      <w:r w:rsidR="00700E8F">
        <w:t>[</w:t>
      </w:r>
      <w:r>
        <w:t xml:space="preserve">Émissions </w:t>
      </w:r>
      <w:r>
        <w:br/>
        <w:t xml:space="preserve">des moteurs à allumage par compression et des </w:t>
      </w:r>
      <w:r>
        <w:br/>
        <w:t>moteurs à allumage commandé (GNC et GPL)</w:t>
      </w:r>
      <w:r w:rsidR="00700E8F">
        <w:t>]</w:t>
      </w:r>
    </w:p>
    <w:p w:rsidR="00E32323" w:rsidRPr="00E32323" w:rsidRDefault="00E32323" w:rsidP="00E32323">
      <w:pPr>
        <w:spacing w:line="120" w:lineRule="exact"/>
        <w:rPr>
          <w:sz w:val="10"/>
        </w:rPr>
      </w:pPr>
    </w:p>
    <w:p w:rsidR="00E32323" w:rsidRPr="00E32323" w:rsidRDefault="00E32323" w:rsidP="00E32323">
      <w:pPr>
        <w:spacing w:line="120" w:lineRule="exact"/>
        <w:rPr>
          <w:sz w:val="10"/>
        </w:rPr>
      </w:pPr>
    </w:p>
    <w:p w:rsidR="00E32323" w:rsidRDefault="00E32323" w:rsidP="00E3232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  <w:rPr>
          <w:b w:val="0"/>
          <w:sz w:val="20"/>
          <w:szCs w:val="20"/>
        </w:rPr>
      </w:pPr>
      <w:r>
        <w:tab/>
      </w:r>
      <w:r>
        <w:tab/>
        <w:t xml:space="preserve">Communication de l’expert de l’Organisation internationale </w:t>
      </w:r>
      <w:r>
        <w:br/>
        <w:t>des constructeurs d’automobiles</w:t>
      </w:r>
      <w:r w:rsidRPr="00E32323">
        <w:rPr>
          <w:rStyle w:val="FootnoteReference"/>
          <w:b w:val="0"/>
          <w:sz w:val="20"/>
          <w:szCs w:val="20"/>
          <w:vertAlign w:val="baseline"/>
        </w:rPr>
        <w:footnoteReference w:customMarkFollows="1" w:id="1"/>
        <w:t>*</w:t>
      </w:r>
    </w:p>
    <w:p w:rsidR="00E32323" w:rsidRPr="00E32323" w:rsidRDefault="00E32323" w:rsidP="00E32323">
      <w:pPr>
        <w:spacing w:line="120" w:lineRule="exact"/>
        <w:rPr>
          <w:sz w:val="10"/>
        </w:rPr>
      </w:pPr>
    </w:p>
    <w:p w:rsidR="00E32323" w:rsidRPr="00E32323" w:rsidRDefault="00E32323" w:rsidP="00E32323">
      <w:pPr>
        <w:spacing w:line="120" w:lineRule="exact"/>
        <w:rPr>
          <w:sz w:val="10"/>
        </w:rPr>
      </w:pPr>
    </w:p>
    <w:p w:rsidR="00E32323" w:rsidRDefault="00E32323" w:rsidP="00E32323">
      <w:pPr>
        <w:pStyle w:val="SingleTxt"/>
      </w:pPr>
      <w:r>
        <w:tab/>
        <w:t xml:space="preserve">Le texte reproduit ci-après, établi par l’expert de l’Organisation internationale des constructeurs d’automobiles (OICA), vise à adapter les prescriptions relatives à la surveillance des défauts de fonctionnement de l’injection de carburant </w:t>
      </w:r>
      <w:r w:rsidR="00700E8F">
        <w:t>[</w:t>
      </w:r>
      <w:r>
        <w:t xml:space="preserve">systèmes de </w:t>
      </w:r>
      <w:proofErr w:type="gramStart"/>
      <w:r>
        <w:t>diagnostic</w:t>
      </w:r>
      <w:proofErr w:type="gramEnd"/>
      <w:r>
        <w:t xml:space="preserve"> embarqué (OBD)</w:t>
      </w:r>
      <w:r w:rsidR="00700E8F">
        <w:t>]</w:t>
      </w:r>
      <w:r>
        <w:t xml:space="preserve"> aux technologies actuelles. Il s’inspire du document informel GRPE-71-06 (voir le rapport publié sous la cote ECE/TRANS/WP.29/</w:t>
      </w:r>
      <w:r>
        <w:br/>
        <w:t xml:space="preserve">GRPE/71, par. 25 et 26). Les modifications qu’il est proposé d’apporter au texte actuel du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 w:rsidR="00292612">
        <w:t> 4</w:t>
      </w:r>
      <w:r>
        <w:t xml:space="preserve">9 sont indiquées en caractères gras pour les parties nouvelles et biffées pour les parties supprimées. </w:t>
      </w:r>
    </w:p>
    <w:p w:rsidR="00E32323" w:rsidRDefault="00E32323" w:rsidP="00E32323">
      <w:r>
        <w:br w:type="page"/>
      </w:r>
    </w:p>
    <w:p w:rsidR="00E32323" w:rsidRDefault="00E32323" w:rsidP="00E3232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E32323">
        <w:rPr>
          <w:lang w:val="fr-CH"/>
        </w:rPr>
        <w:lastRenderedPageBreak/>
        <w:tab/>
        <w:t>I.</w:t>
      </w:r>
      <w:r w:rsidRPr="00E32323">
        <w:rPr>
          <w:lang w:val="fr-CH"/>
        </w:rPr>
        <w:tab/>
        <w:t>Proposition</w:t>
      </w:r>
    </w:p>
    <w:p w:rsidR="00E32323" w:rsidRPr="00E32323" w:rsidRDefault="00E32323" w:rsidP="00E32323">
      <w:pPr>
        <w:pStyle w:val="SingleTxt"/>
        <w:spacing w:after="0" w:line="120" w:lineRule="exact"/>
        <w:rPr>
          <w:sz w:val="10"/>
          <w:lang w:val="fr-CH"/>
        </w:rPr>
      </w:pPr>
    </w:p>
    <w:p w:rsidR="00E32323" w:rsidRPr="00E32323" w:rsidRDefault="00E32323" w:rsidP="00E32323">
      <w:pPr>
        <w:pStyle w:val="SingleTxt"/>
        <w:spacing w:after="0" w:line="120" w:lineRule="exact"/>
        <w:rPr>
          <w:sz w:val="10"/>
          <w:lang w:val="fr-CH"/>
        </w:rPr>
      </w:pPr>
    </w:p>
    <w:p w:rsidR="00E32323" w:rsidRPr="00E32323" w:rsidRDefault="00E32323" w:rsidP="00E32323">
      <w:pPr>
        <w:pStyle w:val="SingleTxt"/>
        <w:rPr>
          <w:lang w:val="fr-CH"/>
        </w:rPr>
      </w:pPr>
      <w:r w:rsidRPr="00E32323">
        <w:rPr>
          <w:i/>
          <w:lang w:val="fr-CH"/>
        </w:rPr>
        <w:t>Annexe 9A, paragraphe 2.3.1</w:t>
      </w:r>
      <w:r w:rsidRPr="00E32323">
        <w:rPr>
          <w:lang w:val="fr-CH"/>
        </w:rPr>
        <w:t xml:space="preserve">, </w:t>
      </w:r>
      <w:proofErr w:type="gramStart"/>
      <w:r w:rsidRPr="00E32323">
        <w:rPr>
          <w:lang w:val="fr-CH"/>
        </w:rPr>
        <w:t>modifier</w:t>
      </w:r>
      <w:proofErr w:type="gramEnd"/>
      <w:r w:rsidRPr="00E32323">
        <w:rPr>
          <w:lang w:val="fr-CH"/>
        </w:rPr>
        <w:t xml:space="preserve"> comme suit</w:t>
      </w:r>
      <w:r w:rsidR="008E1AB2">
        <w:rPr>
          <w:lang w:val="fr-CH"/>
        </w:rPr>
        <w:t> </w:t>
      </w:r>
      <w:r w:rsidRPr="00E32323">
        <w:rPr>
          <w:lang w:val="fr-CH"/>
        </w:rPr>
        <w:t>:</w:t>
      </w:r>
    </w:p>
    <w:p w:rsidR="00E32323" w:rsidRPr="00E32323" w:rsidRDefault="00E32323" w:rsidP="00E32323">
      <w:pPr>
        <w:pStyle w:val="SingleTxt"/>
        <w:rPr>
          <w:lang w:val="fr-CH"/>
        </w:rPr>
      </w:pPr>
      <w:r>
        <w:rPr>
          <w:lang w:val="fr-CH"/>
        </w:rPr>
        <w:t>« 2.3.1</w:t>
      </w:r>
      <w:r>
        <w:rPr>
          <w:lang w:val="fr-CH"/>
        </w:rPr>
        <w:tab/>
        <w:t>Injecteurs défaillants</w:t>
      </w:r>
    </w:p>
    <w:p w:rsidR="00E32323" w:rsidRPr="00E32323" w:rsidRDefault="00E32323" w:rsidP="00E32323">
      <w:pPr>
        <w:pStyle w:val="SingleTxt"/>
        <w:ind w:left="2218" w:hanging="951"/>
        <w:rPr>
          <w:b/>
          <w:szCs w:val="24"/>
          <w:lang w:val="fr-CH"/>
        </w:rPr>
      </w:pPr>
      <w:r w:rsidRPr="00E32323">
        <w:rPr>
          <w:szCs w:val="24"/>
          <w:lang w:val="fr-CH"/>
        </w:rPr>
        <w:tab/>
      </w:r>
      <w:r w:rsidRPr="00E32323">
        <w:rPr>
          <w:szCs w:val="24"/>
          <w:lang w:val="fr-CH"/>
        </w:rPr>
        <w:tab/>
      </w:r>
      <w:r w:rsidRPr="00E32323">
        <w:rPr>
          <w:b/>
          <w:szCs w:val="24"/>
          <w:lang w:val="fr-CH"/>
        </w:rPr>
        <w:t xml:space="preserve">En lieu et place du dispositif de contrôle spécifié à la ligne d) du </w:t>
      </w:r>
      <w:r w:rsidRPr="00E32323">
        <w:rPr>
          <w:rFonts w:ascii="Times New Roman Bold" w:hAnsi="Times New Roman Bold"/>
          <w:b/>
          <w:spacing w:val="0"/>
          <w:szCs w:val="24"/>
          <w:lang w:val="fr-CH"/>
        </w:rPr>
        <w:t>tableau du point 7 de l’appendice 3 de l’annexe 9B</w:t>
      </w:r>
      <w:r w:rsidRPr="00E32323">
        <w:rPr>
          <w:b/>
          <w:spacing w:val="0"/>
          <w:szCs w:val="24"/>
          <w:lang w:val="fr-CH"/>
        </w:rPr>
        <w:t xml:space="preserve"> du présent Règlement, le fabricant peut choisir de respecter les dispositions des paragraphes 2.3.1.1</w:t>
      </w:r>
      <w:r w:rsidRPr="00E32323">
        <w:rPr>
          <w:b/>
          <w:szCs w:val="24"/>
          <w:lang w:val="fr-CH"/>
        </w:rPr>
        <w:t xml:space="preserve"> à 2.3.1.2.1 de la présente annexe</w:t>
      </w:r>
      <w:r>
        <w:rPr>
          <w:b/>
          <w:szCs w:val="24"/>
          <w:lang w:val="fr-CH"/>
        </w:rPr>
        <w:t>.</w:t>
      </w:r>
      <w:r w:rsidRPr="00E32323">
        <w:rPr>
          <w:b/>
          <w:szCs w:val="24"/>
          <w:lang w:val="fr-CH"/>
        </w:rPr>
        <w:t> </w:t>
      </w:r>
      <w:r w:rsidRPr="00E32323">
        <w:rPr>
          <w:szCs w:val="24"/>
          <w:lang w:val="fr-CH"/>
        </w:rPr>
        <w:t>».</w:t>
      </w:r>
    </w:p>
    <w:p w:rsidR="00E32323" w:rsidRPr="00E32323" w:rsidRDefault="00E32323" w:rsidP="00E32323">
      <w:pPr>
        <w:pStyle w:val="SingleTxt"/>
        <w:rPr>
          <w:szCs w:val="24"/>
          <w:lang w:val="fr-CH"/>
        </w:rPr>
      </w:pPr>
      <w:r w:rsidRPr="00E32323">
        <w:rPr>
          <w:i/>
          <w:szCs w:val="24"/>
          <w:lang w:val="fr-CH"/>
        </w:rPr>
        <w:t>Annexe 9B, appendice 3, point 7</w:t>
      </w:r>
      <w:r w:rsidRPr="00E32323">
        <w:rPr>
          <w:szCs w:val="24"/>
          <w:lang w:val="fr-CH"/>
        </w:rPr>
        <w:t>,</w:t>
      </w:r>
      <w:r w:rsidRPr="00E32323">
        <w:rPr>
          <w:b/>
          <w:szCs w:val="24"/>
          <w:lang w:val="fr-CH"/>
        </w:rPr>
        <w:t xml:space="preserve"> </w:t>
      </w:r>
      <w:proofErr w:type="gramStart"/>
      <w:r w:rsidRPr="00E32323">
        <w:rPr>
          <w:szCs w:val="24"/>
          <w:lang w:val="fr-CH"/>
        </w:rPr>
        <w:t>modifier</w:t>
      </w:r>
      <w:proofErr w:type="gramEnd"/>
      <w:r w:rsidRPr="00E32323">
        <w:rPr>
          <w:szCs w:val="24"/>
          <w:lang w:val="fr-CH"/>
        </w:rPr>
        <w:t xml:space="preserve"> comme suit</w:t>
      </w:r>
      <w:r w:rsidR="008E1AB2">
        <w:rPr>
          <w:szCs w:val="24"/>
          <w:lang w:val="fr-CH"/>
        </w:rPr>
        <w:t> </w:t>
      </w:r>
      <w:r w:rsidRPr="00E32323">
        <w:rPr>
          <w:szCs w:val="24"/>
          <w:lang w:val="fr-CH"/>
        </w:rPr>
        <w:t>:</w:t>
      </w:r>
    </w:p>
    <w:p w:rsidR="00E32323" w:rsidRPr="00E32323" w:rsidRDefault="008E1AB2" w:rsidP="00E32323">
      <w:pPr>
        <w:pStyle w:val="SingleTxt"/>
        <w:rPr>
          <w:szCs w:val="24"/>
          <w:lang w:val="fr-CH"/>
        </w:rPr>
      </w:pPr>
      <w:r>
        <w:rPr>
          <w:szCs w:val="24"/>
          <w:lang w:val="fr-CH"/>
        </w:rPr>
        <w:t>« </w:t>
      </w:r>
      <w:r w:rsidR="00E32323" w:rsidRPr="00E32323">
        <w:rPr>
          <w:szCs w:val="24"/>
          <w:lang w:val="fr-CH"/>
        </w:rPr>
        <w:t>Surveillance du système d’alimentation en carburant</w:t>
      </w:r>
    </w:p>
    <w:p w:rsidR="00E32323" w:rsidRDefault="00E32323" w:rsidP="00E32323">
      <w:pPr>
        <w:pStyle w:val="SingleTxt"/>
        <w:rPr>
          <w:szCs w:val="24"/>
          <w:lang w:val="fr-CH"/>
        </w:rPr>
      </w:pPr>
      <w:r w:rsidRPr="00E32323">
        <w:rPr>
          <w:szCs w:val="24"/>
          <w:lang w:val="fr-CH"/>
        </w:rPr>
        <w:t>Le système OBD doit surveiller, sur les moteurs équipés, les caractéristiques ci-dessous du système d’alimentation en carburant pour contrôler le bon fonctionnement</w:t>
      </w:r>
      <w:r w:rsidR="008E1AB2">
        <w:rPr>
          <w:szCs w:val="24"/>
          <w:lang w:val="fr-CH"/>
        </w:rPr>
        <w:t> </w:t>
      </w:r>
      <w:r w:rsidRPr="00E32323">
        <w:rPr>
          <w:szCs w:val="24"/>
          <w:lang w:val="fr-CH"/>
        </w:rPr>
        <w:t>:</w:t>
      </w:r>
    </w:p>
    <w:p w:rsidR="008E1AB2" w:rsidRPr="008E1AB2" w:rsidRDefault="008E1AB2" w:rsidP="008E1AB2">
      <w:pPr>
        <w:pStyle w:val="SingleTxt"/>
        <w:spacing w:after="0" w:line="120" w:lineRule="exact"/>
        <w:rPr>
          <w:sz w:val="10"/>
          <w:szCs w:val="24"/>
          <w:lang w:val="fr-CH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5"/>
        <w:gridCol w:w="875"/>
        <w:gridCol w:w="875"/>
      </w:tblGrid>
      <w:tr w:rsidR="008E1AB2" w:rsidRPr="00907B08" w:rsidTr="00104E35">
        <w:trPr>
          <w:tblHeader/>
        </w:trPr>
        <w:tc>
          <w:tcPr>
            <w:tcW w:w="57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1AB2" w:rsidRPr="00907B08" w:rsidRDefault="008E1AB2" w:rsidP="00907B0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40"/>
              <w:rPr>
                <w:i/>
                <w:sz w:val="14"/>
                <w:lang w:val="fr-CH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1AB2" w:rsidRPr="00A127FC" w:rsidRDefault="008E1AB2" w:rsidP="00104E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43"/>
              <w:jc w:val="right"/>
              <w:rPr>
                <w:i/>
                <w:sz w:val="14"/>
                <w:lang w:val="fr-CH"/>
              </w:rPr>
            </w:pPr>
            <w:proofErr w:type="spellStart"/>
            <w:r w:rsidRPr="00907B08">
              <w:rPr>
                <w:i/>
                <w:sz w:val="14"/>
                <w:lang w:val="en-GB"/>
              </w:rPr>
              <w:t>Gazole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1AB2" w:rsidRPr="00907B08" w:rsidRDefault="008E1AB2" w:rsidP="00104E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43"/>
              <w:jc w:val="right"/>
              <w:rPr>
                <w:i/>
                <w:sz w:val="14"/>
                <w:lang w:val="fr-CH"/>
              </w:rPr>
            </w:pPr>
            <w:r w:rsidRPr="00A127FC">
              <w:rPr>
                <w:i/>
                <w:sz w:val="14"/>
                <w:lang w:val="fr-CH"/>
              </w:rPr>
              <w:t>Gaz</w:t>
            </w:r>
          </w:p>
        </w:tc>
      </w:tr>
      <w:tr w:rsidR="008E1AB2" w:rsidRPr="00907B08" w:rsidTr="00104E35">
        <w:trPr>
          <w:trHeight w:hRule="exact" w:val="115"/>
          <w:tblHeader/>
        </w:trPr>
        <w:tc>
          <w:tcPr>
            <w:tcW w:w="576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E1AB2" w:rsidRPr="00907B08" w:rsidRDefault="008E1AB2" w:rsidP="00907B0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lang w:val="fr-CH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E1AB2" w:rsidRPr="00907B08" w:rsidRDefault="008E1AB2" w:rsidP="00104E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jc w:val="right"/>
              <w:rPr>
                <w:lang w:val="fr-CH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E1AB2" w:rsidRPr="00907B08" w:rsidRDefault="008E1AB2" w:rsidP="00104E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jc w:val="right"/>
              <w:rPr>
                <w:lang w:val="fr-CH"/>
              </w:rPr>
            </w:pPr>
          </w:p>
        </w:tc>
      </w:tr>
      <w:tr w:rsidR="008E1AB2" w:rsidRPr="00907B08" w:rsidTr="00104E35">
        <w:tc>
          <w:tcPr>
            <w:tcW w:w="5765" w:type="dxa"/>
            <w:shd w:val="clear" w:color="auto" w:fill="auto"/>
          </w:tcPr>
          <w:p w:rsidR="008E1AB2" w:rsidRPr="00907B08" w:rsidRDefault="008E1AB2" w:rsidP="00907B0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88" w:right="40" w:hanging="288"/>
              <w:rPr>
                <w:lang w:val="fr-CH"/>
              </w:rPr>
            </w:pPr>
            <w:r w:rsidRPr="00907B08">
              <w:rPr>
                <w:lang w:val="fr-CH"/>
              </w:rPr>
              <w:t>a)</w:t>
            </w:r>
            <w:r w:rsidRPr="00907B08">
              <w:rPr>
                <w:lang w:val="fr-CH"/>
              </w:rPr>
              <w:tab/>
            </w:r>
            <w:r w:rsidRPr="00907B08">
              <w:t xml:space="preserve">Pression d’alimentation: capacité du système d’alimentation </w:t>
            </w:r>
            <w:r w:rsidR="009215DA" w:rsidRPr="00907B08">
              <w:br/>
            </w:r>
            <w:r w:rsidRPr="00907B08">
              <w:t xml:space="preserve">en carburant à atteindre la pression prescrite dans un circuit </w:t>
            </w:r>
            <w:r w:rsidR="009215DA" w:rsidRPr="00907B08">
              <w:br/>
            </w:r>
            <w:r w:rsidRPr="00907B08">
              <w:t>à boucle fermée – surveillance de l’efficacité</w:t>
            </w:r>
            <w:r w:rsidRPr="001A5E79">
              <w:rPr>
                <w:lang w:val="fr-CH"/>
              </w:rPr>
              <w:t>.</w:t>
            </w:r>
          </w:p>
        </w:tc>
        <w:tc>
          <w:tcPr>
            <w:tcW w:w="875" w:type="dxa"/>
            <w:shd w:val="clear" w:color="auto" w:fill="auto"/>
          </w:tcPr>
          <w:p w:rsidR="008E1AB2" w:rsidRPr="00907B08" w:rsidRDefault="008E1AB2" w:rsidP="00104E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jc w:val="right"/>
              <w:rPr>
                <w:lang w:val="fr-CH"/>
              </w:rPr>
            </w:pPr>
            <w:r w:rsidRPr="00907B08">
              <w:rPr>
                <w:lang w:val="en-GB"/>
              </w:rPr>
              <w:t>X</w:t>
            </w:r>
          </w:p>
        </w:tc>
        <w:tc>
          <w:tcPr>
            <w:tcW w:w="875" w:type="dxa"/>
            <w:shd w:val="clear" w:color="auto" w:fill="auto"/>
          </w:tcPr>
          <w:p w:rsidR="008E1AB2" w:rsidRPr="00907B08" w:rsidRDefault="008E1AB2" w:rsidP="00104E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jc w:val="right"/>
              <w:rPr>
                <w:lang w:val="fr-CH"/>
              </w:rPr>
            </w:pPr>
          </w:p>
        </w:tc>
      </w:tr>
      <w:tr w:rsidR="008E1AB2" w:rsidRPr="00907B08" w:rsidTr="00104E35">
        <w:tc>
          <w:tcPr>
            <w:tcW w:w="5765" w:type="dxa"/>
            <w:shd w:val="clear" w:color="auto" w:fill="auto"/>
          </w:tcPr>
          <w:p w:rsidR="008E1AB2" w:rsidRPr="00907B08" w:rsidRDefault="008E1AB2" w:rsidP="00907B0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88" w:right="40" w:hanging="288"/>
              <w:rPr>
                <w:lang w:val="fr-CH"/>
              </w:rPr>
            </w:pPr>
            <w:r w:rsidRPr="00907B08">
              <w:rPr>
                <w:lang w:val="fr-CH"/>
              </w:rPr>
              <w:t>b)</w:t>
            </w:r>
            <w:r w:rsidRPr="00907B08">
              <w:rPr>
                <w:lang w:val="fr-CH"/>
              </w:rPr>
              <w:tab/>
            </w:r>
            <w:r w:rsidRPr="00907B08">
              <w:t>Pression d’alimentation: capacité du système à atteindre la pression prescrite dans un circuit à boucle fermée au cas où telle sorte que la pression puisse être commandée indépendamment d’autres paramètres – surveillance de l’efficacité.</w:t>
            </w:r>
          </w:p>
        </w:tc>
        <w:tc>
          <w:tcPr>
            <w:tcW w:w="875" w:type="dxa"/>
            <w:shd w:val="clear" w:color="auto" w:fill="auto"/>
          </w:tcPr>
          <w:p w:rsidR="008E1AB2" w:rsidRPr="00907B08" w:rsidRDefault="008E1AB2" w:rsidP="00104E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jc w:val="right"/>
              <w:rPr>
                <w:lang w:val="fr-CH"/>
              </w:rPr>
            </w:pPr>
            <w:r w:rsidRPr="00907B08">
              <w:rPr>
                <w:lang w:val="fr-CH"/>
              </w:rPr>
              <w:t>X</w:t>
            </w:r>
          </w:p>
        </w:tc>
        <w:tc>
          <w:tcPr>
            <w:tcW w:w="875" w:type="dxa"/>
            <w:shd w:val="clear" w:color="auto" w:fill="auto"/>
          </w:tcPr>
          <w:p w:rsidR="008E1AB2" w:rsidRPr="00907B08" w:rsidRDefault="008E1AB2" w:rsidP="00104E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jc w:val="right"/>
              <w:rPr>
                <w:lang w:val="fr-CH"/>
              </w:rPr>
            </w:pPr>
          </w:p>
        </w:tc>
      </w:tr>
      <w:tr w:rsidR="008E1AB2" w:rsidRPr="00907B08" w:rsidTr="00104E35">
        <w:tc>
          <w:tcPr>
            <w:tcW w:w="5765" w:type="dxa"/>
            <w:shd w:val="clear" w:color="auto" w:fill="auto"/>
          </w:tcPr>
          <w:p w:rsidR="008E1AB2" w:rsidRPr="00907B08" w:rsidRDefault="008E1AB2" w:rsidP="00907B0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88" w:right="40" w:hanging="288"/>
              <w:rPr>
                <w:lang w:val="fr-CH"/>
              </w:rPr>
            </w:pPr>
            <w:r w:rsidRPr="00907B08">
              <w:rPr>
                <w:lang w:val="fr-CH"/>
              </w:rPr>
              <w:t>c)</w:t>
            </w:r>
            <w:r w:rsidRPr="00907B08">
              <w:rPr>
                <w:lang w:val="fr-CH"/>
              </w:rPr>
              <w:tab/>
            </w:r>
            <w:r w:rsidRPr="00907B08">
              <w:t xml:space="preserve">Point d’injection: capacité du système d’alimentation en carburant à respecter le point d’injection prévu pendant </w:t>
            </w:r>
            <w:r w:rsidR="00104E35">
              <w:br/>
            </w:r>
            <w:r w:rsidRPr="00907B08">
              <w:t xml:space="preserve">au moins un cycle d’injection lorsque le moteur est équipé </w:t>
            </w:r>
            <w:r w:rsidR="00104E35">
              <w:br/>
            </w:r>
            <w:r w:rsidRPr="00907B08">
              <w:t>des sondes appropriées – surveillance de l’efficacité.</w:t>
            </w:r>
          </w:p>
        </w:tc>
        <w:tc>
          <w:tcPr>
            <w:tcW w:w="875" w:type="dxa"/>
            <w:shd w:val="clear" w:color="auto" w:fill="auto"/>
          </w:tcPr>
          <w:p w:rsidR="008E1AB2" w:rsidRPr="00907B08" w:rsidRDefault="008E1AB2" w:rsidP="00104E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jc w:val="right"/>
              <w:rPr>
                <w:lang w:val="fr-CH"/>
              </w:rPr>
            </w:pPr>
            <w:r w:rsidRPr="00907B08">
              <w:rPr>
                <w:lang w:val="fr-CH"/>
              </w:rPr>
              <w:t>X</w:t>
            </w:r>
          </w:p>
        </w:tc>
        <w:tc>
          <w:tcPr>
            <w:tcW w:w="875" w:type="dxa"/>
            <w:shd w:val="clear" w:color="auto" w:fill="auto"/>
          </w:tcPr>
          <w:p w:rsidR="008E1AB2" w:rsidRPr="00907B08" w:rsidRDefault="008E1AB2" w:rsidP="00104E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jc w:val="right"/>
              <w:rPr>
                <w:lang w:val="fr-CH"/>
              </w:rPr>
            </w:pPr>
          </w:p>
        </w:tc>
      </w:tr>
      <w:tr w:rsidR="008E1AB2" w:rsidRPr="00907B08" w:rsidTr="00104E35">
        <w:tc>
          <w:tcPr>
            <w:tcW w:w="5765" w:type="dxa"/>
            <w:shd w:val="clear" w:color="auto" w:fill="auto"/>
          </w:tcPr>
          <w:p w:rsidR="008E1AB2" w:rsidRPr="00907B08" w:rsidRDefault="008E1AB2" w:rsidP="00907B0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88" w:right="40" w:hanging="288"/>
              <w:rPr>
                <w:b/>
                <w:lang w:val="fr-CH"/>
              </w:rPr>
            </w:pPr>
            <w:r w:rsidRPr="00907B08">
              <w:rPr>
                <w:lang w:val="fr-CH"/>
              </w:rPr>
              <w:t>d)</w:t>
            </w:r>
            <w:r w:rsidRPr="00907B08">
              <w:rPr>
                <w:b/>
                <w:lang w:val="fr-CH"/>
              </w:rPr>
              <w:tab/>
            </w:r>
            <w:r w:rsidRPr="00907B08">
              <w:rPr>
                <w:b/>
              </w:rPr>
              <w:t xml:space="preserve">Quantité de carburant injectée: capacité du système </w:t>
            </w:r>
            <w:r w:rsidR="009215DA" w:rsidRPr="00907B08">
              <w:rPr>
                <w:b/>
              </w:rPr>
              <w:br/>
            </w:r>
            <w:r w:rsidRPr="00907B08">
              <w:rPr>
                <w:b/>
              </w:rPr>
              <w:t xml:space="preserve">à injecter la quantité de carburant prescrite en détectant </w:t>
            </w:r>
            <w:r w:rsidR="009215DA" w:rsidRPr="00907B08">
              <w:rPr>
                <w:b/>
              </w:rPr>
              <w:br/>
            </w:r>
            <w:r w:rsidRPr="00907B08">
              <w:rPr>
                <w:b/>
              </w:rPr>
              <w:t>les erreurs de dosage pendant au moins un cycle d’injection (par ex</w:t>
            </w:r>
            <w:r w:rsidR="00116157" w:rsidRPr="00907B08">
              <w:rPr>
                <w:b/>
              </w:rPr>
              <w:t>emple</w:t>
            </w:r>
            <w:r w:rsidRPr="00907B08">
              <w:rPr>
                <w:b/>
              </w:rPr>
              <w:t>, avant, pendant ou après l’injection) – surveillance des seuils d’émission.</w:t>
            </w:r>
          </w:p>
        </w:tc>
        <w:tc>
          <w:tcPr>
            <w:tcW w:w="875" w:type="dxa"/>
            <w:shd w:val="clear" w:color="auto" w:fill="auto"/>
          </w:tcPr>
          <w:p w:rsidR="008E1AB2" w:rsidRPr="00907B08" w:rsidRDefault="008E1AB2" w:rsidP="00104E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jc w:val="right"/>
              <w:rPr>
                <w:lang w:val="fr-CH"/>
              </w:rPr>
            </w:pPr>
            <w:r w:rsidRPr="00907B08">
              <w:rPr>
                <w:lang w:val="fr-CH"/>
              </w:rPr>
              <w:t>X</w:t>
            </w:r>
          </w:p>
        </w:tc>
        <w:tc>
          <w:tcPr>
            <w:tcW w:w="875" w:type="dxa"/>
            <w:shd w:val="clear" w:color="auto" w:fill="auto"/>
          </w:tcPr>
          <w:p w:rsidR="008E1AB2" w:rsidRPr="00907B08" w:rsidRDefault="008E1AB2" w:rsidP="00104E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jc w:val="right"/>
              <w:rPr>
                <w:lang w:val="fr-CH"/>
              </w:rPr>
            </w:pPr>
          </w:p>
        </w:tc>
      </w:tr>
      <w:tr w:rsidR="008E1AB2" w:rsidRPr="00907B08" w:rsidTr="00104E35">
        <w:tc>
          <w:tcPr>
            <w:tcW w:w="5765" w:type="dxa"/>
            <w:tcBorders>
              <w:bottom w:val="single" w:sz="12" w:space="0" w:color="auto"/>
            </w:tcBorders>
            <w:shd w:val="clear" w:color="auto" w:fill="auto"/>
          </w:tcPr>
          <w:p w:rsidR="008E1AB2" w:rsidRPr="00907B08" w:rsidRDefault="008E1AB2" w:rsidP="00907B0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88" w:right="40" w:hanging="288"/>
              <w:rPr>
                <w:lang w:val="fr-CH"/>
              </w:rPr>
            </w:pPr>
            <w:r w:rsidRPr="00907B08">
              <w:rPr>
                <w:b/>
                <w:lang w:val="fr-CH"/>
              </w:rPr>
              <w:t>e)</w:t>
            </w:r>
            <w:r w:rsidRPr="00907B08">
              <w:rPr>
                <w:lang w:val="fr-CH"/>
              </w:rPr>
              <w:tab/>
            </w:r>
            <w:r w:rsidRPr="00907B08">
              <w:t xml:space="preserve">Rapport air-carburant: capacité du système d’injection </w:t>
            </w:r>
            <w:r w:rsidR="00104E35">
              <w:br/>
            </w:r>
            <w:r w:rsidRPr="00907B08">
              <w:t>à maintenir le rapport air-carburant souhaité (compte tenu entre autres</w:t>
            </w:r>
            <w:r w:rsidRPr="00907B08">
              <w:rPr>
                <w:spacing w:val="2"/>
              </w:rPr>
              <w:t>, mais non exclusivement, des capacités d’auto</w:t>
            </w:r>
            <w:r w:rsidRPr="00907B08">
              <w:t>-adaptation) – surveillance de l’efficacité.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8E1AB2" w:rsidRPr="00907B08" w:rsidRDefault="008E1AB2" w:rsidP="00104E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jc w:val="right"/>
              <w:rPr>
                <w:lang w:val="fr-CH"/>
              </w:rPr>
            </w:pP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8E1AB2" w:rsidRPr="00907B08" w:rsidRDefault="008E1AB2" w:rsidP="00104E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jc w:val="right"/>
              <w:rPr>
                <w:lang w:val="fr-CH"/>
              </w:rPr>
            </w:pPr>
            <w:r w:rsidRPr="00907B08">
              <w:rPr>
                <w:lang w:val="fr-CH"/>
              </w:rPr>
              <w:t>X</w:t>
            </w:r>
          </w:p>
        </w:tc>
      </w:tr>
    </w:tbl>
    <w:p w:rsidR="008E1AB2" w:rsidRPr="008E1AB2" w:rsidRDefault="00700E8F" w:rsidP="00700E8F">
      <w:pPr>
        <w:pStyle w:val="SingleTxt"/>
        <w:jc w:val="right"/>
        <w:rPr>
          <w:lang w:val="fr-CH"/>
        </w:rPr>
      </w:pPr>
      <w:r>
        <w:rPr>
          <w:lang w:val="fr-CH"/>
        </w:rPr>
        <w:t> ».</w:t>
      </w:r>
    </w:p>
    <w:p w:rsidR="008E1AB2" w:rsidRPr="009215DA" w:rsidRDefault="008E1AB2" w:rsidP="009215DA">
      <w:pPr>
        <w:pStyle w:val="SingleTxt"/>
        <w:spacing w:after="0" w:line="120" w:lineRule="exact"/>
        <w:rPr>
          <w:b/>
          <w:sz w:val="10"/>
          <w:szCs w:val="24"/>
          <w:lang w:val="fr-CH"/>
        </w:rPr>
      </w:pPr>
    </w:p>
    <w:p w:rsidR="009215DA" w:rsidRPr="00104E35" w:rsidRDefault="009215DA" w:rsidP="00104E35">
      <w:pPr>
        <w:pStyle w:val="SingleTxt"/>
        <w:spacing w:after="0" w:line="120" w:lineRule="exact"/>
        <w:rPr>
          <w:b/>
          <w:sz w:val="10"/>
          <w:szCs w:val="24"/>
          <w:lang w:val="fr-CH"/>
        </w:rPr>
      </w:pPr>
    </w:p>
    <w:p w:rsidR="00104E35" w:rsidRPr="008E1AB2" w:rsidRDefault="00104E35" w:rsidP="008E1AB2">
      <w:pPr>
        <w:pStyle w:val="SingleTxt"/>
        <w:spacing w:after="0" w:line="120" w:lineRule="exact"/>
        <w:rPr>
          <w:b/>
          <w:sz w:val="10"/>
          <w:szCs w:val="24"/>
          <w:lang w:val="fr-CH"/>
        </w:rPr>
      </w:pPr>
    </w:p>
    <w:p w:rsidR="00E32323" w:rsidRDefault="00E32323" w:rsidP="008E1AB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E32323">
        <w:rPr>
          <w:lang w:val="fr-CH"/>
        </w:rPr>
        <w:tab/>
        <w:t>II.</w:t>
      </w:r>
      <w:r w:rsidRPr="00E32323">
        <w:rPr>
          <w:lang w:val="fr-CH"/>
        </w:rPr>
        <w:tab/>
        <w:t>Justification</w:t>
      </w:r>
    </w:p>
    <w:p w:rsidR="008E1AB2" w:rsidRPr="008E1AB2" w:rsidRDefault="008E1AB2" w:rsidP="008E1AB2">
      <w:pPr>
        <w:pStyle w:val="SingleTxt"/>
        <w:spacing w:after="0" w:line="120" w:lineRule="exact"/>
        <w:rPr>
          <w:sz w:val="10"/>
          <w:lang w:val="fr-CH"/>
        </w:rPr>
      </w:pPr>
    </w:p>
    <w:p w:rsidR="008E1AB2" w:rsidRPr="008E1AB2" w:rsidRDefault="008E1AB2" w:rsidP="008E1AB2">
      <w:pPr>
        <w:pStyle w:val="SingleTxt"/>
        <w:spacing w:after="0" w:line="120" w:lineRule="exact"/>
        <w:rPr>
          <w:sz w:val="10"/>
          <w:lang w:val="fr-CH"/>
        </w:rPr>
      </w:pPr>
    </w:p>
    <w:p w:rsidR="00E32323" w:rsidRPr="00E32323" w:rsidRDefault="00E32323" w:rsidP="008E1AB2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szCs w:val="24"/>
          <w:lang w:val="fr-CH"/>
        </w:rPr>
      </w:pPr>
      <w:r w:rsidRPr="00E32323">
        <w:rPr>
          <w:szCs w:val="24"/>
          <w:lang w:val="fr-CH"/>
        </w:rPr>
        <w:t>La surveillance de l’encrassement des systèmes d’injection a été introduite dans la législation afin de prévenir un niveau élevé d’émissions de particules lorsqu’une défaillance partielle du filtre à particules di</w:t>
      </w:r>
      <w:r w:rsidR="008E1AB2">
        <w:rPr>
          <w:szCs w:val="24"/>
          <w:lang w:val="fr-CH"/>
        </w:rPr>
        <w:t>esel se produit simultanément.</w:t>
      </w:r>
    </w:p>
    <w:p w:rsidR="00E32323" w:rsidRPr="00E32323" w:rsidRDefault="00E32323" w:rsidP="00104E35">
      <w:pPr>
        <w:pStyle w:val="SingleTxt"/>
        <w:keepNext/>
        <w:keepLines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szCs w:val="24"/>
          <w:lang w:val="fr-CH"/>
        </w:rPr>
      </w:pPr>
      <w:r w:rsidRPr="00E32323">
        <w:rPr>
          <w:szCs w:val="24"/>
          <w:lang w:val="fr-CH"/>
        </w:rPr>
        <w:lastRenderedPageBreak/>
        <w:t xml:space="preserve">À l’heure actuelle, aucune technique spécifique de surveillance n’est prescrite, mais il est nécessaire, au stade C, que chaque constructeur présente à son Autorité d’homologation une technique de surveillance visant à détecter l’éventuel encrassement des injecteurs. </w:t>
      </w:r>
    </w:p>
    <w:p w:rsidR="00E32323" w:rsidRPr="00E32323" w:rsidRDefault="00E32323" w:rsidP="008E1AB2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szCs w:val="24"/>
          <w:lang w:val="fr-CH"/>
        </w:rPr>
      </w:pPr>
      <w:r w:rsidRPr="00E32323">
        <w:rPr>
          <w:szCs w:val="24"/>
          <w:lang w:val="fr-CH"/>
        </w:rPr>
        <w:t xml:space="preserve">Étant donné qu’un système d’injection encrassé affectera toujours la quantité de carburant délivrée, il est proposé de </w:t>
      </w:r>
      <w:r w:rsidR="008E1AB2">
        <w:rPr>
          <w:szCs w:val="24"/>
          <w:lang w:val="fr-CH"/>
        </w:rPr>
        <w:t>transposer dans le Règlement n</w:t>
      </w:r>
      <w:r w:rsidR="008E1AB2" w:rsidRPr="008E1AB2">
        <w:rPr>
          <w:szCs w:val="24"/>
          <w:vertAlign w:val="superscript"/>
          <w:lang w:val="fr-CH"/>
        </w:rPr>
        <w:t>o</w:t>
      </w:r>
      <w:r w:rsidR="008E1AB2">
        <w:rPr>
          <w:szCs w:val="24"/>
          <w:lang w:val="fr-CH"/>
        </w:rPr>
        <w:t> </w:t>
      </w:r>
      <w:r w:rsidRPr="00E32323">
        <w:rPr>
          <w:szCs w:val="24"/>
          <w:lang w:val="fr-CH"/>
        </w:rPr>
        <w:t xml:space="preserve">49 les dispositions relatives à </w:t>
      </w:r>
      <w:r w:rsidR="008E1AB2">
        <w:rPr>
          <w:szCs w:val="24"/>
          <w:lang w:val="fr-CH"/>
        </w:rPr>
        <w:t>« </w:t>
      </w:r>
      <w:r w:rsidRPr="00E32323">
        <w:rPr>
          <w:szCs w:val="24"/>
          <w:lang w:val="fr-CH"/>
        </w:rPr>
        <w:t>la capacité du système à injecter la quantité de carburant prescrite » qui sont spécifiées dans le Règlement technique mondial n</w:t>
      </w:r>
      <w:r w:rsidR="008E1AB2" w:rsidRPr="008E1AB2">
        <w:rPr>
          <w:szCs w:val="24"/>
          <w:vertAlign w:val="superscript"/>
          <w:lang w:val="fr-CH"/>
        </w:rPr>
        <w:t>o</w:t>
      </w:r>
      <w:r w:rsidR="008E1AB2">
        <w:rPr>
          <w:szCs w:val="24"/>
          <w:lang w:val="fr-CH"/>
        </w:rPr>
        <w:t> </w:t>
      </w:r>
      <w:r w:rsidRPr="00E32323">
        <w:rPr>
          <w:szCs w:val="24"/>
          <w:lang w:val="fr-CH"/>
        </w:rPr>
        <w:t xml:space="preserve">5. </w:t>
      </w:r>
    </w:p>
    <w:p w:rsidR="00E32323" w:rsidRPr="008E1AB2" w:rsidRDefault="00E32323" w:rsidP="00E32323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</w:pPr>
      <w:r w:rsidRPr="008E1AB2">
        <w:rPr>
          <w:szCs w:val="24"/>
          <w:lang w:val="fr-CH"/>
        </w:rPr>
        <w:t xml:space="preserve">Les prescriptions actuelles demeureraient inchangées et seraient considérées comme une solution de substitution à la technique de surveillance de l’alimentation en carburant employée par </w:t>
      </w:r>
      <w:r w:rsidR="008E1AB2">
        <w:rPr>
          <w:szCs w:val="24"/>
          <w:lang w:val="fr-CH"/>
        </w:rPr>
        <w:t>« </w:t>
      </w:r>
      <w:r w:rsidRPr="008E1AB2">
        <w:rPr>
          <w:szCs w:val="24"/>
          <w:lang w:val="fr-CH"/>
        </w:rPr>
        <w:t xml:space="preserve">défaut », ce qui permettrait aux constructeurs qui sont déjà convenus avec leur Autorité d’homologation d’une autre technique de surveillance de ne pas être pénalisés par un </w:t>
      </w:r>
      <w:r w:rsidR="008E1AB2">
        <w:rPr>
          <w:szCs w:val="24"/>
          <w:lang w:val="fr-CH"/>
        </w:rPr>
        <w:t>« </w:t>
      </w:r>
      <w:r w:rsidRPr="008E1AB2">
        <w:rPr>
          <w:szCs w:val="24"/>
          <w:lang w:val="fr-CH"/>
        </w:rPr>
        <w:t>changement de dernière minute ».</w:t>
      </w:r>
    </w:p>
    <w:p w:rsidR="008E1AB2" w:rsidRPr="008E1AB2" w:rsidRDefault="008E1AB2" w:rsidP="008E1AB2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8E1AB2" w:rsidRPr="008E1AB2" w:rsidSect="002E6B74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5C" w:rsidRDefault="007A3F5C" w:rsidP="00F3330B">
      <w:pPr>
        <w:spacing w:line="240" w:lineRule="auto"/>
      </w:pPr>
      <w:r>
        <w:separator/>
      </w:r>
    </w:p>
  </w:endnote>
  <w:endnote w:type="continuationSeparator" w:id="0">
    <w:p w:rsidR="007A3F5C" w:rsidRDefault="007A3F5C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E6B74" w:rsidTr="002E6B74">
      <w:trPr>
        <w:jc w:val="center"/>
      </w:trPr>
      <w:tc>
        <w:tcPr>
          <w:tcW w:w="5126" w:type="dxa"/>
          <w:shd w:val="clear" w:color="auto" w:fill="auto"/>
        </w:tcPr>
        <w:p w:rsidR="002E6B74" w:rsidRPr="002E6B74" w:rsidRDefault="002E6B74" w:rsidP="002E6B74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01982">
            <w:rPr>
              <w:b w:val="0"/>
              <w:w w:val="103"/>
              <w:sz w:val="14"/>
            </w:rPr>
            <w:t>GE.15-18619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2E6B74" w:rsidRPr="002E6B74" w:rsidRDefault="002E6B74" w:rsidP="002E6B74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A5E79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A5E79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</w:tr>
  </w:tbl>
  <w:p w:rsidR="002E6B74" w:rsidRPr="002E6B74" w:rsidRDefault="002E6B74" w:rsidP="002E6B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E6B74" w:rsidTr="002E6B74">
      <w:trPr>
        <w:jc w:val="center"/>
      </w:trPr>
      <w:tc>
        <w:tcPr>
          <w:tcW w:w="5126" w:type="dxa"/>
          <w:shd w:val="clear" w:color="auto" w:fill="auto"/>
        </w:tcPr>
        <w:p w:rsidR="002E6B74" w:rsidRPr="002E6B74" w:rsidRDefault="002E6B74" w:rsidP="002E6B74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A5E79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A5E79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2E6B74" w:rsidRPr="002E6B74" w:rsidRDefault="002E6B74" w:rsidP="002E6B74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01982">
            <w:rPr>
              <w:b w:val="0"/>
              <w:w w:val="103"/>
              <w:sz w:val="14"/>
            </w:rPr>
            <w:t>GE.15-18619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2E6B74" w:rsidRPr="002E6B74" w:rsidRDefault="002E6B74" w:rsidP="002E6B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74" w:rsidRDefault="002E6B7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B388B9A" wp14:editId="0350673E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GRPE/2016/7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GRPE/2016/7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2E6B74" w:rsidTr="002E6B74">
      <w:tc>
        <w:tcPr>
          <w:tcW w:w="3859" w:type="dxa"/>
        </w:tcPr>
        <w:p w:rsidR="002E6B74" w:rsidRDefault="002E6B74" w:rsidP="002E6B74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601982">
            <w:rPr>
              <w:b w:val="0"/>
              <w:sz w:val="20"/>
            </w:rPr>
            <w:t>GE.15-18619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</w:t>
          </w:r>
          <w:r w:rsidR="00E32323">
            <w:rPr>
              <w:b w:val="0"/>
              <w:sz w:val="20"/>
            </w:rPr>
            <w:t>31115    01</w:t>
          </w:r>
          <w:r>
            <w:rPr>
              <w:b w:val="0"/>
              <w:sz w:val="20"/>
            </w:rPr>
            <w:t>1</w:t>
          </w:r>
          <w:r w:rsidR="00E32323">
            <w:rPr>
              <w:b w:val="0"/>
              <w:sz w:val="20"/>
            </w:rPr>
            <w:t>2</w:t>
          </w:r>
          <w:r>
            <w:rPr>
              <w:b w:val="0"/>
              <w:sz w:val="20"/>
            </w:rPr>
            <w:t>15</w:t>
          </w:r>
        </w:p>
        <w:p w:rsidR="002E6B74" w:rsidRPr="002E6B74" w:rsidRDefault="002E6B74" w:rsidP="002E6B74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601982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*1518619*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2E6B74" w:rsidRDefault="002E6B74" w:rsidP="002E6B7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E957643" wp14:editId="06E6BFCA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E6B74" w:rsidRPr="002E6B74" w:rsidRDefault="002E6B74" w:rsidP="002E6B74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5C" w:rsidRPr="00E32323" w:rsidRDefault="00E32323" w:rsidP="00E32323">
      <w:pPr>
        <w:pStyle w:val="Footer"/>
        <w:spacing w:after="80"/>
        <w:ind w:left="792"/>
        <w:rPr>
          <w:sz w:val="16"/>
        </w:rPr>
      </w:pPr>
      <w:r w:rsidRPr="00E32323">
        <w:rPr>
          <w:sz w:val="16"/>
        </w:rPr>
        <w:t>__________________</w:t>
      </w:r>
    </w:p>
  </w:footnote>
  <w:footnote w:type="continuationSeparator" w:id="0">
    <w:p w:rsidR="007A3F5C" w:rsidRPr="00E32323" w:rsidRDefault="00E32323" w:rsidP="00E32323">
      <w:pPr>
        <w:pStyle w:val="Footer"/>
        <w:spacing w:after="80"/>
        <w:ind w:left="792"/>
        <w:rPr>
          <w:sz w:val="16"/>
        </w:rPr>
      </w:pPr>
      <w:r w:rsidRPr="00E32323">
        <w:rPr>
          <w:sz w:val="16"/>
        </w:rPr>
        <w:t>__________________</w:t>
      </w:r>
    </w:p>
  </w:footnote>
  <w:footnote w:id="1">
    <w:p w:rsidR="00E32323" w:rsidRPr="00E32323" w:rsidRDefault="00E32323" w:rsidP="00E3232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>
        <w:tab/>
      </w:r>
      <w:r w:rsidRPr="00E32323">
        <w:rPr>
          <w:rStyle w:val="FootnoteReference"/>
          <w:vertAlign w:val="baseline"/>
        </w:rPr>
        <w:t>*</w:t>
      </w:r>
      <w:r>
        <w:tab/>
      </w:r>
      <w:r>
        <w:rPr>
          <w:szCs w:val="18"/>
        </w:rPr>
        <w:t>Conformément au programme de travail du Comité des transports intérieurs pour la période 2014</w:t>
      </w:r>
      <w:r w:rsidR="00292612">
        <w:rPr>
          <w:szCs w:val="18"/>
        </w:rPr>
        <w:noBreakHyphen/>
      </w:r>
      <w:r>
        <w:rPr>
          <w:szCs w:val="18"/>
        </w:rPr>
        <w:t>2018 (ECE/TRANS/240, par. 105, et ECE/TRANS/2014/26, activité 02.4), le Forum mondial a 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E6B74" w:rsidTr="002E6B7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E6B74" w:rsidRPr="002E6B74" w:rsidRDefault="002E6B74" w:rsidP="002E6B74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601982">
            <w:rPr>
              <w:b/>
              <w:color w:val="000000"/>
            </w:rPr>
            <w:t>ECE/TRANS/WP.29/GRPE/2016/7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E6B74" w:rsidRDefault="002E6B74" w:rsidP="002E6B74">
          <w:pPr>
            <w:pStyle w:val="Header"/>
          </w:pPr>
        </w:p>
      </w:tc>
    </w:tr>
  </w:tbl>
  <w:p w:rsidR="002E6B74" w:rsidRPr="002E6B74" w:rsidRDefault="002E6B74" w:rsidP="002E6B74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E6B74" w:rsidTr="002E6B7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E6B74" w:rsidRDefault="002E6B74" w:rsidP="002E6B74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E6B74" w:rsidRPr="002E6B74" w:rsidRDefault="002E6B74" w:rsidP="002E6B74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601982">
            <w:rPr>
              <w:b/>
              <w:color w:val="000000"/>
            </w:rPr>
            <w:t>ECE/TRANS/WP.29/GRPE/2016/7</w:t>
          </w:r>
          <w:r>
            <w:rPr>
              <w:b/>
              <w:color w:val="000000"/>
            </w:rPr>
            <w:fldChar w:fldCharType="end"/>
          </w:r>
        </w:p>
      </w:tc>
    </w:tr>
  </w:tbl>
  <w:p w:rsidR="002E6B74" w:rsidRPr="002E6B74" w:rsidRDefault="002E6B74" w:rsidP="002E6B74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2E6B74" w:rsidTr="002E6B74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E6B74" w:rsidRDefault="002E6B74" w:rsidP="002E6B74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E6B74" w:rsidRPr="002E6B74" w:rsidRDefault="002E6B74" w:rsidP="002E6B74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E6B74" w:rsidRDefault="002E6B74" w:rsidP="002E6B74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2E6B74" w:rsidRPr="002E6B74" w:rsidRDefault="002E6B74" w:rsidP="002E6B74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/TRANS/WP.29/GRPE/2016/7</w:t>
          </w:r>
        </w:p>
      </w:tc>
    </w:tr>
    <w:tr w:rsidR="002E6B74" w:rsidRPr="002E6B74" w:rsidTr="002E6B74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E6B74" w:rsidRPr="002E6B74" w:rsidRDefault="002E6B74" w:rsidP="002E6B74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477AA053" wp14:editId="4665674B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E6B74" w:rsidRPr="002E6B74" w:rsidRDefault="002E6B74" w:rsidP="002E6B74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E6B74" w:rsidRPr="002E6B74" w:rsidRDefault="002E6B74" w:rsidP="002E6B74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E6B74" w:rsidRPr="001A5E79" w:rsidRDefault="002E6B74" w:rsidP="002E6B74">
          <w:pPr>
            <w:pStyle w:val="Distribution"/>
            <w:rPr>
              <w:color w:val="000000"/>
              <w:lang w:val="fr-CH"/>
            </w:rPr>
          </w:pPr>
          <w:proofErr w:type="spellStart"/>
          <w:r w:rsidRPr="001A5E79">
            <w:rPr>
              <w:color w:val="000000"/>
              <w:lang w:val="fr-CH"/>
            </w:rPr>
            <w:t>Distr</w:t>
          </w:r>
          <w:proofErr w:type="spellEnd"/>
          <w:r w:rsidRPr="001A5E79">
            <w:rPr>
              <w:color w:val="000000"/>
              <w:lang w:val="fr-CH"/>
            </w:rPr>
            <w:t>. générale</w:t>
          </w:r>
        </w:p>
        <w:p w:rsidR="002E6B74" w:rsidRPr="001A5E79" w:rsidRDefault="002E6B74" w:rsidP="002E6B74">
          <w:pPr>
            <w:pStyle w:val="Publication"/>
            <w:rPr>
              <w:color w:val="000000"/>
              <w:lang w:val="fr-CH"/>
            </w:rPr>
          </w:pPr>
          <w:r w:rsidRPr="001A5E79">
            <w:rPr>
              <w:color w:val="000000"/>
              <w:lang w:val="fr-CH"/>
            </w:rPr>
            <w:t>26 octobre 2015</w:t>
          </w:r>
        </w:p>
        <w:p w:rsidR="002E6B74" w:rsidRPr="001A5E79" w:rsidRDefault="002E6B74" w:rsidP="002E6B74">
          <w:pPr>
            <w:rPr>
              <w:lang w:val="fr-CH"/>
            </w:rPr>
          </w:pPr>
          <w:r w:rsidRPr="001A5E79">
            <w:rPr>
              <w:lang w:val="fr-CH"/>
            </w:rPr>
            <w:t>Français</w:t>
          </w:r>
        </w:p>
        <w:p w:rsidR="002E6B74" w:rsidRPr="001A5E79" w:rsidRDefault="002E6B74" w:rsidP="002E6B74">
          <w:pPr>
            <w:pStyle w:val="Original"/>
            <w:rPr>
              <w:color w:val="000000"/>
              <w:lang w:val="fr-CH"/>
            </w:rPr>
          </w:pPr>
          <w:r w:rsidRPr="001A5E79">
            <w:rPr>
              <w:color w:val="000000"/>
              <w:lang w:val="fr-CH"/>
            </w:rPr>
            <w:t>Original : anglais</w:t>
          </w:r>
        </w:p>
      </w:tc>
    </w:tr>
  </w:tbl>
  <w:p w:rsidR="002E6B74" w:rsidRPr="001A5E79" w:rsidRDefault="002E6B74" w:rsidP="002E6B74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17606"/>
    <w:multiLevelType w:val="singleLevel"/>
    <w:tmpl w:val="3EA80F66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5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SortMethod w:val="0003"/>
  <w:defaultTabStop w:val="475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8619*"/>
    <w:docVar w:name="CreationDt" w:val="11/24/2015 12:47 PM"/>
    <w:docVar w:name="DocCategory" w:val="Doc"/>
    <w:docVar w:name="DocType" w:val="Final"/>
    <w:docVar w:name="DutyStation" w:val="Geneva"/>
    <w:docVar w:name="FooterJN" w:val="GE.15-18619"/>
    <w:docVar w:name="jobn" w:val="GE.15-18619 (F)"/>
    <w:docVar w:name="jobnDT" w:val="GE.15-18619 (F)   241115"/>
    <w:docVar w:name="jobnDTDT" w:val="GE.15-18619 (F)   241115   241115"/>
    <w:docVar w:name="JobNo" w:val="GE.1518619F"/>
    <w:docVar w:name="JobNo2" w:val="GE.1524506F"/>
    <w:docVar w:name="LocalDrive" w:val="0"/>
    <w:docVar w:name="OandT" w:val="Crelier"/>
    <w:docVar w:name="PaperSize" w:val="A4"/>
    <w:docVar w:name="sss1" w:val="ECE/TRANS/WP.29/GRPE/2016/7"/>
    <w:docVar w:name="sss2" w:val="-"/>
    <w:docVar w:name="Symbol1" w:val="ECE/TRANS/WP.29/GRPE/2016/7"/>
    <w:docVar w:name="Symbol2" w:val="-"/>
  </w:docVars>
  <w:rsids>
    <w:rsidRoot w:val="007A3F5C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130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4E35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16157"/>
    <w:rsid w:val="00123812"/>
    <w:rsid w:val="001256F6"/>
    <w:rsid w:val="001262BA"/>
    <w:rsid w:val="00126FB2"/>
    <w:rsid w:val="00127266"/>
    <w:rsid w:val="0013186C"/>
    <w:rsid w:val="00132A45"/>
    <w:rsid w:val="001359FA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5E79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92612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6B74"/>
    <w:rsid w:val="002E76EC"/>
    <w:rsid w:val="002E79AF"/>
    <w:rsid w:val="002F048A"/>
    <w:rsid w:val="002F0E01"/>
    <w:rsid w:val="002F18EE"/>
    <w:rsid w:val="002F1E33"/>
    <w:rsid w:val="002F5482"/>
    <w:rsid w:val="002F5972"/>
    <w:rsid w:val="002F784C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752A7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A6397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E44B9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1982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934"/>
    <w:rsid w:val="006B2CC8"/>
    <w:rsid w:val="006B3457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0E8F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3F5C"/>
    <w:rsid w:val="007A5946"/>
    <w:rsid w:val="007A78C2"/>
    <w:rsid w:val="007B05E9"/>
    <w:rsid w:val="007B148E"/>
    <w:rsid w:val="007B1E17"/>
    <w:rsid w:val="007B4C73"/>
    <w:rsid w:val="007C0C1F"/>
    <w:rsid w:val="007C206E"/>
    <w:rsid w:val="007C29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AB2"/>
    <w:rsid w:val="008E1E88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07B08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5DA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D7909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7FC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6794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2323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B5CD2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EF707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0D2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2E6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B7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B74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B74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HChG">
    <w:name w:val="_ H _Ch_G"/>
    <w:basedOn w:val="Normal"/>
    <w:next w:val="Normal"/>
    <w:qFormat/>
    <w:rsid w:val="00E32323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Calibri"/>
      <w:b/>
      <w:spacing w:val="0"/>
      <w:w w:val="100"/>
      <w:kern w:val="0"/>
      <w:sz w:val="28"/>
      <w:szCs w:val="20"/>
      <w:lang w:val="fr-CH"/>
    </w:rPr>
  </w:style>
  <w:style w:type="paragraph" w:customStyle="1" w:styleId="H1G">
    <w:name w:val="_ H_1_G"/>
    <w:basedOn w:val="Normal"/>
    <w:next w:val="Normal"/>
    <w:qFormat/>
    <w:rsid w:val="00E32323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="Calibri"/>
      <w:b/>
      <w:spacing w:val="0"/>
      <w:w w:val="100"/>
      <w:kern w:val="0"/>
      <w:sz w:val="24"/>
      <w:szCs w:val="20"/>
      <w:lang w:val="fr-CH"/>
    </w:rPr>
  </w:style>
  <w:style w:type="character" w:customStyle="1" w:styleId="paraChar">
    <w:name w:val="para Char"/>
    <w:link w:val="para"/>
    <w:locked/>
    <w:rsid w:val="00E32323"/>
    <w:rPr>
      <w:rFonts w:ascii="Times New Roman" w:eastAsia="Times New Roman" w:hAnsi="Times New Roman"/>
      <w:lang w:val="fr-CH"/>
    </w:rPr>
  </w:style>
  <w:style w:type="paragraph" w:customStyle="1" w:styleId="para">
    <w:name w:val="para"/>
    <w:basedOn w:val="Normal"/>
    <w:link w:val="paraChar"/>
    <w:qFormat/>
    <w:rsid w:val="00E32323"/>
    <w:pPr>
      <w:suppressAutoHyphens/>
      <w:spacing w:after="120" w:line="240" w:lineRule="atLeast"/>
      <w:ind w:left="2268" w:right="1134" w:hanging="1134"/>
      <w:jc w:val="both"/>
    </w:pPr>
    <w:rPr>
      <w:rFonts w:eastAsia="Times New Roman"/>
      <w:spacing w:val="0"/>
      <w:w w:val="100"/>
      <w:kern w:val="0"/>
      <w:szCs w:val="20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2E6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B7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B74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B74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HChG">
    <w:name w:val="_ H _Ch_G"/>
    <w:basedOn w:val="Normal"/>
    <w:next w:val="Normal"/>
    <w:qFormat/>
    <w:rsid w:val="00E32323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Calibri"/>
      <w:b/>
      <w:spacing w:val="0"/>
      <w:w w:val="100"/>
      <w:kern w:val="0"/>
      <w:sz w:val="28"/>
      <w:szCs w:val="20"/>
      <w:lang w:val="fr-CH"/>
    </w:rPr>
  </w:style>
  <w:style w:type="paragraph" w:customStyle="1" w:styleId="H1G">
    <w:name w:val="_ H_1_G"/>
    <w:basedOn w:val="Normal"/>
    <w:next w:val="Normal"/>
    <w:qFormat/>
    <w:rsid w:val="00E32323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="Calibri"/>
      <w:b/>
      <w:spacing w:val="0"/>
      <w:w w:val="100"/>
      <w:kern w:val="0"/>
      <w:sz w:val="24"/>
      <w:szCs w:val="20"/>
      <w:lang w:val="fr-CH"/>
    </w:rPr>
  </w:style>
  <w:style w:type="character" w:customStyle="1" w:styleId="paraChar">
    <w:name w:val="para Char"/>
    <w:link w:val="para"/>
    <w:locked/>
    <w:rsid w:val="00E32323"/>
    <w:rPr>
      <w:rFonts w:ascii="Times New Roman" w:eastAsia="Times New Roman" w:hAnsi="Times New Roman"/>
      <w:lang w:val="fr-CH"/>
    </w:rPr>
  </w:style>
  <w:style w:type="paragraph" w:customStyle="1" w:styleId="para">
    <w:name w:val="para"/>
    <w:basedOn w:val="Normal"/>
    <w:link w:val="paraChar"/>
    <w:qFormat/>
    <w:rsid w:val="00E32323"/>
    <w:pPr>
      <w:suppressAutoHyphens/>
      <w:spacing w:after="120" w:line="240" w:lineRule="atLeast"/>
      <w:ind w:left="2268" w:right="1134" w:hanging="1134"/>
      <w:jc w:val="both"/>
    </w:pPr>
    <w:rPr>
      <w:rFonts w:eastAsia="Times New Roman"/>
      <w:spacing w:val="0"/>
      <w:w w:val="100"/>
      <w:kern w:val="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CA4E-4FA2-4A52-95FA-4A917C83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3808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crelier</dc:creator>
  <cp:lastModifiedBy>Benedicte Boudol</cp:lastModifiedBy>
  <cp:revision>2</cp:revision>
  <cp:lastPrinted>2015-11-25T13:56:00Z</cp:lastPrinted>
  <dcterms:created xsi:type="dcterms:W3CDTF">2015-12-01T13:16:00Z</dcterms:created>
  <dcterms:modified xsi:type="dcterms:W3CDTF">2015-12-01T13:16:00Z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1518619F</vt:lpwstr>
  </property>
  <property fmtid="{D5CDD505-2E9C-101B-9397-08002B2CF9AE}" pid="3" name="ODSRefJobNo">
    <vt:lpwstr>1524506F</vt:lpwstr>
  </property>
  <property fmtid="{D5CDD505-2E9C-101B-9397-08002B2CF9AE}" pid="4" name="Symbol1">
    <vt:lpwstr>ECE/TRANS/WP.29/GRPE/2016/7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Crelier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26 octobre 2015</vt:lpwstr>
  </property>
  <property fmtid="{D5CDD505-2E9C-101B-9397-08002B2CF9AE}" pid="12" name="Original">
    <vt:lpwstr>anglais</vt:lpwstr>
  </property>
  <property fmtid="{D5CDD505-2E9C-101B-9397-08002B2CF9AE}" pid="13" name="Release Date">
    <vt:lpwstr>241115</vt:lpwstr>
  </property>
</Properties>
</file>