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B42B2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B42B28" w:rsidP="00B42B28">
            <w:pPr>
              <w:jc w:val="right"/>
            </w:pPr>
            <w:r w:rsidRPr="00B42B28">
              <w:rPr>
                <w:sz w:val="40"/>
              </w:rPr>
              <w:t>ECE</w:t>
            </w:r>
            <w:r>
              <w:t>/TRANS/WP.29/GRSG/2016/5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B42B28" w:rsidP="00892A2F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B42B28" w:rsidRDefault="00B42B28" w:rsidP="00B42B28">
            <w:pPr>
              <w:spacing w:line="240" w:lineRule="exact"/>
            </w:pPr>
            <w:r>
              <w:t>10 février 2016</w:t>
            </w:r>
          </w:p>
          <w:p w:rsidR="00B42B28" w:rsidRDefault="00B42B28" w:rsidP="00B42B28">
            <w:pPr>
              <w:spacing w:line="240" w:lineRule="exact"/>
            </w:pPr>
            <w:r>
              <w:t>Français</w:t>
            </w:r>
          </w:p>
          <w:p w:rsidR="00B42B28" w:rsidRPr="00DB58B5" w:rsidRDefault="00B42B28" w:rsidP="00B42B28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40CEB" w:rsidRDefault="00A40CE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proofErr w:type="gramStart"/>
      <w:r w:rsidRPr="00685843">
        <w:rPr>
          <w:b/>
          <w:sz w:val="24"/>
          <w:szCs w:val="24"/>
        </w:rPr>
        <w:t>des</w:t>
      </w:r>
      <w:proofErr w:type="gramEnd"/>
      <w:r w:rsidRPr="00685843">
        <w:rPr>
          <w:b/>
          <w:sz w:val="24"/>
          <w:szCs w:val="24"/>
        </w:rPr>
        <w:t xml:space="preserve">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A40CEB" w:rsidRDefault="00A40CEB" w:rsidP="00257168">
      <w:pPr>
        <w:spacing w:before="120" w:after="120" w:line="240" w:lineRule="exact"/>
        <w:rPr>
          <w:b/>
        </w:rPr>
      </w:pPr>
      <w:r>
        <w:rPr>
          <w:b/>
        </w:rPr>
        <w:t xml:space="preserve">Groupe de travail </w:t>
      </w:r>
      <w:r w:rsidRPr="00D07284">
        <w:rPr>
          <w:b/>
          <w:bCs/>
        </w:rPr>
        <w:t xml:space="preserve">des dispositions générales de sécurité </w:t>
      </w:r>
    </w:p>
    <w:p w:rsidR="00A40CEB" w:rsidRDefault="00A40CEB" w:rsidP="00257168">
      <w:pPr>
        <w:spacing w:before="120" w:line="240" w:lineRule="exact"/>
        <w:rPr>
          <w:b/>
        </w:rPr>
      </w:pPr>
      <w:r>
        <w:rPr>
          <w:b/>
        </w:rPr>
        <w:t>110</w:t>
      </w:r>
      <w:r w:rsidRPr="00A40CEB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A40CEB" w:rsidRDefault="00A40CEB" w:rsidP="00257168">
      <w:pPr>
        <w:spacing w:line="240" w:lineRule="exact"/>
      </w:pPr>
      <w:r>
        <w:t xml:space="preserve">Genève, </w:t>
      </w:r>
      <w:r>
        <w:rPr>
          <w:bCs/>
        </w:rPr>
        <w:t>26-</w:t>
      </w:r>
      <w:r w:rsidRPr="00D07284">
        <w:rPr>
          <w:bCs/>
        </w:rPr>
        <w:t>29 avril 2016</w:t>
      </w:r>
    </w:p>
    <w:p w:rsidR="00A40CEB" w:rsidRDefault="00A40CEB" w:rsidP="00257168">
      <w:pPr>
        <w:spacing w:line="240" w:lineRule="exact"/>
      </w:pPr>
      <w:r>
        <w:t xml:space="preserve">Point </w:t>
      </w:r>
      <w:r w:rsidRPr="00D07284">
        <w:rPr>
          <w:bCs/>
        </w:rPr>
        <w:t xml:space="preserve">2 a) </w:t>
      </w:r>
      <w:r>
        <w:t xml:space="preserve">de l’ordre du jour </w:t>
      </w:r>
      <w:r w:rsidRPr="00D07284">
        <w:rPr>
          <w:bCs/>
        </w:rPr>
        <w:t>provisoire</w:t>
      </w:r>
    </w:p>
    <w:p w:rsidR="00D07284" w:rsidRPr="00D07284" w:rsidRDefault="00A40CEB" w:rsidP="00D07284">
      <w:pPr>
        <w:rPr>
          <w:b/>
          <w:bCs/>
        </w:rPr>
      </w:pPr>
      <w:r>
        <w:rPr>
          <w:b/>
          <w:bCs/>
        </w:rPr>
        <w:t>Règlements n</w:t>
      </w:r>
      <w:r w:rsidRPr="00A40CEB">
        <w:rPr>
          <w:b/>
          <w:bCs/>
          <w:vertAlign w:val="superscript"/>
        </w:rPr>
        <w:t>o</w:t>
      </w:r>
      <w:r>
        <w:rPr>
          <w:b/>
          <w:bCs/>
        </w:rPr>
        <w:t> 107 (</w:t>
      </w:r>
      <w:r w:rsidR="00D07284" w:rsidRPr="00D07284">
        <w:rPr>
          <w:b/>
          <w:bCs/>
        </w:rPr>
        <w:t>Construction générale des autobus et autocars)</w:t>
      </w:r>
    </w:p>
    <w:p w:rsidR="00D07284" w:rsidRPr="00D07284" w:rsidRDefault="00A40CEB" w:rsidP="00D07284">
      <w:pPr>
        <w:rPr>
          <w:b/>
          <w:bCs/>
        </w:rPr>
      </w:pPr>
      <w:r>
        <w:rPr>
          <w:b/>
          <w:bCs/>
        </w:rPr>
        <w:t>− </w:t>
      </w:r>
      <w:r w:rsidR="00D07284" w:rsidRPr="00D07284">
        <w:rPr>
          <w:b/>
          <w:bCs/>
        </w:rPr>
        <w:t>Propositions de nouveaux amendements</w:t>
      </w:r>
    </w:p>
    <w:p w:rsidR="00D07284" w:rsidRPr="00D07284" w:rsidRDefault="00A40CEB" w:rsidP="00A40CEB">
      <w:pPr>
        <w:pStyle w:val="HChG"/>
      </w:pPr>
      <w:r>
        <w:tab/>
      </w:r>
      <w:r>
        <w:tab/>
      </w:r>
      <w:r w:rsidR="00D07284" w:rsidRPr="00D07284">
        <w:t>Proposition d’amendement au Règlement n</w:t>
      </w:r>
      <w:r w:rsidRPr="00A40CEB">
        <w:rPr>
          <w:vertAlign w:val="superscript"/>
        </w:rPr>
        <w:t>o</w:t>
      </w:r>
      <w:r>
        <w:t> </w:t>
      </w:r>
      <w:r w:rsidR="00D07284" w:rsidRPr="00D07284">
        <w:t>107</w:t>
      </w:r>
      <w:r>
        <w:t xml:space="preserve"> </w:t>
      </w:r>
      <w:r w:rsidR="00D07284" w:rsidRPr="00D07284">
        <w:br/>
        <w:t>(Construction générale des autobus et autocars)</w:t>
      </w:r>
    </w:p>
    <w:p w:rsidR="00D07284" w:rsidRPr="00D07284" w:rsidRDefault="00A40CEB" w:rsidP="00A40CEB">
      <w:pPr>
        <w:pStyle w:val="H1G"/>
        <w:rPr>
          <w:vertAlign w:val="superscript"/>
        </w:rPr>
      </w:pPr>
      <w:r>
        <w:tab/>
      </w:r>
      <w:r>
        <w:tab/>
      </w:r>
      <w:r w:rsidR="00D07284" w:rsidRPr="00D07284">
        <w:t>Communication de l’expert de la Belgique</w:t>
      </w:r>
      <w:r w:rsidRPr="00A40CE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D07284" w:rsidRPr="00D07284" w:rsidRDefault="00D07284" w:rsidP="00576D5C">
      <w:pPr>
        <w:pStyle w:val="SingleTxtG"/>
      </w:pPr>
      <w:r w:rsidRPr="00D07284">
        <w:rPr>
          <w:b/>
        </w:rPr>
        <w:tab/>
      </w:r>
      <w:r w:rsidRPr="00D07284">
        <w:t xml:space="preserve">Le texte reproduit ci-après, établi par l’expert de la Belgique, vise à retirer les prescriptions supplémentaires de sécurité applicables aux trolleybus du Règlement </w:t>
      </w:r>
      <w:r w:rsidR="00576D5C">
        <w:t>n</w:t>
      </w:r>
      <w:r w:rsidR="00576D5C" w:rsidRPr="00576D5C">
        <w:rPr>
          <w:vertAlign w:val="superscript"/>
        </w:rPr>
        <w:t>o</w:t>
      </w:r>
      <w:r w:rsidR="00576D5C">
        <w:t> </w:t>
      </w:r>
      <w:r w:rsidRPr="00D07284">
        <w:t>107 et de les</w:t>
      </w:r>
      <w:r w:rsidR="00576D5C">
        <w:t xml:space="preserve"> introduire dans le Règlement n</w:t>
      </w:r>
      <w:r w:rsidR="00576D5C" w:rsidRPr="00576D5C">
        <w:rPr>
          <w:vertAlign w:val="superscript"/>
        </w:rPr>
        <w:t>o</w:t>
      </w:r>
      <w:r w:rsidR="00576D5C">
        <w:t> </w:t>
      </w:r>
      <w:r w:rsidRPr="00D07284">
        <w:t>100 sur la sécurité des véhicules électriques à batterie. La présente proposition a pour but d’informer les Groupes de travail du problème d’interprétation que pose le champ d’application de ces Règlements en ce qui concerne les dispositions relatives à la sécurité électrique des trolleybus. Elle vise aussi à préciser la manière dont les autorités d’homologation de type, leurs services techniques et</w:t>
      </w:r>
      <w:r w:rsidR="00F75F30">
        <w:t xml:space="preserve"> </w:t>
      </w:r>
      <w:r w:rsidRPr="00D07284">
        <w:t>les constructeurs doivent se préparer en vue de la procédure d’homologation d’un nouveau type de véhicule.</w:t>
      </w:r>
    </w:p>
    <w:p w:rsidR="00D07284" w:rsidRPr="00D07284" w:rsidRDefault="00D07284" w:rsidP="00576D5C">
      <w:pPr>
        <w:pStyle w:val="HChG"/>
      </w:pPr>
      <w:r w:rsidRPr="00D07284">
        <w:br w:type="page"/>
      </w:r>
      <w:r w:rsidR="00576D5C">
        <w:lastRenderedPageBreak/>
        <w:tab/>
      </w:r>
      <w:r w:rsidRPr="00D07284">
        <w:t>I.</w:t>
      </w:r>
      <w:r w:rsidRPr="00D07284">
        <w:tab/>
        <w:t>Proposition</w:t>
      </w:r>
    </w:p>
    <w:p w:rsidR="00D07284" w:rsidRPr="00D07284" w:rsidRDefault="00D07284" w:rsidP="00576D5C">
      <w:pPr>
        <w:pStyle w:val="SingleTxtG"/>
      </w:pPr>
      <w:r w:rsidRPr="00576D5C">
        <w:rPr>
          <w:i/>
        </w:rPr>
        <w:t>Table des matières, liste des annexes</w:t>
      </w:r>
      <w:r w:rsidRPr="00D07284">
        <w:t>,</w:t>
      </w:r>
      <w:r w:rsidRPr="00D07284">
        <w:rPr>
          <w:bCs/>
        </w:rPr>
        <w:t xml:space="preserve"> supprimer l’annexe 12.</w:t>
      </w:r>
    </w:p>
    <w:p w:rsidR="00D07284" w:rsidRPr="00D07284" w:rsidRDefault="00D07284" w:rsidP="00576D5C">
      <w:pPr>
        <w:pStyle w:val="SingleTxtG"/>
        <w:rPr>
          <w:i/>
        </w:rPr>
      </w:pPr>
      <w:r w:rsidRPr="00D07284">
        <w:rPr>
          <w:i/>
        </w:rPr>
        <w:t>Texte du Règlement,</w:t>
      </w:r>
    </w:p>
    <w:p w:rsidR="00D07284" w:rsidRPr="00D07284" w:rsidRDefault="00A2277F" w:rsidP="00576D5C">
      <w:pPr>
        <w:pStyle w:val="SingleTxtG"/>
      </w:pPr>
      <w:r>
        <w:rPr>
          <w:i/>
        </w:rPr>
        <w:t xml:space="preserve">Annexe 1, </w:t>
      </w:r>
      <w:r w:rsidR="00D07284" w:rsidRPr="00D07284">
        <w:rPr>
          <w:i/>
        </w:rPr>
        <w:t>partie 1, appendices 1, 2 et 3</w:t>
      </w:r>
      <w:r w:rsidR="00D07284" w:rsidRPr="00D07284">
        <w:t xml:space="preserve">, supprimer les </w:t>
      </w:r>
      <w:r w:rsidR="00045482">
        <w:t>points 6</w:t>
      </w:r>
      <w:r w:rsidR="00D07284" w:rsidRPr="00D07284">
        <w:t xml:space="preserve"> à 6.6.2.</w:t>
      </w:r>
    </w:p>
    <w:p w:rsidR="00D07284" w:rsidRPr="00D07284" w:rsidRDefault="00D07284" w:rsidP="00576D5C">
      <w:pPr>
        <w:pStyle w:val="SingleTxtG"/>
        <w:rPr>
          <w:i/>
        </w:rPr>
      </w:pPr>
      <w:r w:rsidRPr="00D07284">
        <w:rPr>
          <w:i/>
        </w:rPr>
        <w:t>Annexe 1, partie 2</w:t>
      </w:r>
      <w:r w:rsidRPr="00045482">
        <w:t>,</w:t>
      </w:r>
    </w:p>
    <w:p w:rsidR="00D07284" w:rsidRPr="00D07284" w:rsidRDefault="00D07284" w:rsidP="00576D5C">
      <w:pPr>
        <w:pStyle w:val="SingleTxtG"/>
      </w:pPr>
      <w:r w:rsidRPr="00D07284">
        <w:rPr>
          <w:i/>
        </w:rPr>
        <w:t>Appendice 1</w:t>
      </w:r>
      <w:r w:rsidRPr="00045482">
        <w:t xml:space="preserve">, </w:t>
      </w:r>
      <w:r w:rsidRPr="00D07284">
        <w:t>supprimer les points 1.12 à 1.12.1.4.</w:t>
      </w:r>
    </w:p>
    <w:p w:rsidR="00D07284" w:rsidRPr="00D07284" w:rsidRDefault="00D07284" w:rsidP="00576D5C">
      <w:pPr>
        <w:pStyle w:val="SingleTxtG"/>
        <w:rPr>
          <w:bCs/>
        </w:rPr>
      </w:pPr>
      <w:r w:rsidRPr="00D07284">
        <w:rPr>
          <w:i/>
        </w:rPr>
        <w:t>Appendice 2</w:t>
      </w:r>
      <w:r w:rsidRPr="00045482">
        <w:t xml:space="preserve">, </w:t>
      </w:r>
      <w:r w:rsidRPr="00D07284">
        <w:t>supprimer les points 1.8 à 1.8.1.4.</w:t>
      </w:r>
    </w:p>
    <w:p w:rsidR="00D07284" w:rsidRPr="00D07284" w:rsidRDefault="00D07284" w:rsidP="00576D5C">
      <w:pPr>
        <w:pStyle w:val="SingleTxtG"/>
      </w:pPr>
      <w:r w:rsidRPr="00D07284">
        <w:rPr>
          <w:i/>
        </w:rPr>
        <w:t>Appendice 3</w:t>
      </w:r>
      <w:r w:rsidRPr="00045482">
        <w:t xml:space="preserve">, </w:t>
      </w:r>
      <w:r w:rsidRPr="00D07284">
        <w:t>supprimer les points 1.4 à 1.4.1.4.</w:t>
      </w:r>
    </w:p>
    <w:p w:rsidR="00D07284" w:rsidRPr="00D07284" w:rsidRDefault="00D07284" w:rsidP="00576D5C">
      <w:pPr>
        <w:pStyle w:val="SingleTxtG"/>
        <w:rPr>
          <w:bCs/>
        </w:rPr>
      </w:pPr>
      <w:r w:rsidRPr="00D07284">
        <w:rPr>
          <w:bCs/>
          <w:i/>
        </w:rPr>
        <w:t>Annexe 3</w:t>
      </w:r>
      <w:r w:rsidRPr="00045482">
        <w:rPr>
          <w:bCs/>
        </w:rPr>
        <w:t>,</w:t>
      </w:r>
      <w:r w:rsidRPr="00045482">
        <w:t xml:space="preserve"> </w:t>
      </w:r>
      <w:r w:rsidRPr="00D07284">
        <w:rPr>
          <w:bCs/>
        </w:rPr>
        <w:t>supprimer les paragraphes 7.16 et 7.16.1.</w:t>
      </w:r>
    </w:p>
    <w:p w:rsidR="00D07284" w:rsidRPr="00D07284" w:rsidRDefault="00D07284" w:rsidP="00576D5C">
      <w:pPr>
        <w:pStyle w:val="SingleTxtG"/>
      </w:pPr>
      <w:r w:rsidRPr="00D07284">
        <w:rPr>
          <w:bCs/>
          <w:i/>
        </w:rPr>
        <w:t>Annexe 12</w:t>
      </w:r>
      <w:r w:rsidRPr="00045482">
        <w:rPr>
          <w:bCs/>
        </w:rPr>
        <w:t>,</w:t>
      </w:r>
      <w:r w:rsidRPr="00D07284">
        <w:rPr>
          <w:bCs/>
          <w:i/>
        </w:rPr>
        <w:t xml:space="preserve"> </w:t>
      </w:r>
      <w:r w:rsidRPr="00D07284">
        <w:rPr>
          <w:bCs/>
        </w:rPr>
        <w:t>supprimer l’annexe entière.</w:t>
      </w:r>
    </w:p>
    <w:p w:rsidR="00D07284" w:rsidRPr="00D07284" w:rsidRDefault="00D07284" w:rsidP="00576D5C">
      <w:pPr>
        <w:pStyle w:val="HChG"/>
      </w:pPr>
      <w:r w:rsidRPr="00D07284">
        <w:tab/>
        <w:t>II.</w:t>
      </w:r>
      <w:r w:rsidRPr="00D07284">
        <w:tab/>
        <w:t>Justification</w:t>
      </w:r>
    </w:p>
    <w:p w:rsidR="00D07284" w:rsidRPr="00D07284" w:rsidRDefault="00D07284" w:rsidP="00A2277F">
      <w:pPr>
        <w:pStyle w:val="SingleTxtG"/>
      </w:pPr>
      <w:r w:rsidRPr="00D07284">
        <w:t>1.</w:t>
      </w:r>
      <w:r w:rsidRPr="00D07284">
        <w:tab/>
        <w:t xml:space="preserve">Historiquement, le Règlement </w:t>
      </w:r>
      <w:r w:rsidR="00084F03">
        <w:t>n</w:t>
      </w:r>
      <w:r w:rsidR="00084F03" w:rsidRPr="00576D5C">
        <w:rPr>
          <w:vertAlign w:val="superscript"/>
        </w:rPr>
        <w:t>o</w:t>
      </w:r>
      <w:r w:rsidR="00084F03">
        <w:t> </w:t>
      </w:r>
      <w:r w:rsidRPr="00D07284">
        <w:t xml:space="preserve">36 a été modifié en 2002 pour inclure une nouvelle annexe contenant des dispositions applicables aux trolleybus (complément 7 à la série 03 d’amendements). À l’époque, le champ d’application du Règlement </w:t>
      </w:r>
      <w:r w:rsidR="00084F03">
        <w:t>n</w:t>
      </w:r>
      <w:r w:rsidR="00084F03" w:rsidRPr="00576D5C">
        <w:rPr>
          <w:vertAlign w:val="superscript"/>
        </w:rPr>
        <w:t>o</w:t>
      </w:r>
      <w:r w:rsidR="00084F03">
        <w:t> </w:t>
      </w:r>
      <w:r w:rsidRPr="00D07284">
        <w:t xml:space="preserve">100 était limité aux véhicules électriques à batterie. Par la suite, l’annexe sur les trolleybus a été ajoutée au Règlement </w:t>
      </w:r>
      <w:r w:rsidR="00084F03">
        <w:t>n</w:t>
      </w:r>
      <w:r w:rsidR="00084F03" w:rsidRPr="00576D5C">
        <w:rPr>
          <w:vertAlign w:val="superscript"/>
        </w:rPr>
        <w:t>o</w:t>
      </w:r>
      <w:r w:rsidR="00084F03">
        <w:t> </w:t>
      </w:r>
      <w:r w:rsidRPr="00D07284">
        <w:t xml:space="preserve">107, mais pas encore avec la série 01 d’amendements lors de la fusion en 2003 des Règlements </w:t>
      </w:r>
      <w:r w:rsidR="00084F03">
        <w:t>n</w:t>
      </w:r>
      <w:r w:rsidR="00084F03" w:rsidRPr="00576D5C">
        <w:rPr>
          <w:vertAlign w:val="superscript"/>
        </w:rPr>
        <w:t>o</w:t>
      </w:r>
      <w:r w:rsidR="00084F03">
        <w:rPr>
          <w:vertAlign w:val="superscript"/>
        </w:rPr>
        <w:t>s</w:t>
      </w:r>
      <w:r w:rsidR="00084F03">
        <w:t> </w:t>
      </w:r>
      <w:r w:rsidRPr="00D07284">
        <w:t>36, 52 et 107,</w:t>
      </w:r>
      <w:r w:rsidR="00F75F30">
        <w:t xml:space="preserve"> </w:t>
      </w:r>
      <w:r w:rsidRPr="00D07284">
        <w:t>toutefois avec la série 02 d’amendements en 2006. En 2015, l’annexe</w:t>
      </w:r>
      <w:r w:rsidR="00084F03">
        <w:t> </w:t>
      </w:r>
      <w:r w:rsidRPr="00D07284">
        <w:t xml:space="preserve">12 a été modifiée de façon à aligner les prescriptions supplémentaires relatives à la sécurité électrique des trolleybus sur les normes électriques correspondantes. </w:t>
      </w:r>
    </w:p>
    <w:p w:rsidR="00D07284" w:rsidRPr="00D07284" w:rsidRDefault="00D07284" w:rsidP="00A2277F">
      <w:pPr>
        <w:pStyle w:val="SingleTxtG"/>
      </w:pPr>
      <w:r w:rsidRPr="00D07284">
        <w:t>2.</w:t>
      </w:r>
      <w:r w:rsidRPr="00D07284">
        <w:tab/>
        <w:t>Un trolleybus est un véhicule des catégories M</w:t>
      </w:r>
      <w:r w:rsidRPr="00D07284">
        <w:rPr>
          <w:vertAlign w:val="subscript"/>
        </w:rPr>
        <w:t>2</w:t>
      </w:r>
      <w:r w:rsidRPr="00D07284">
        <w:t xml:space="preserve"> ou M</w:t>
      </w:r>
      <w:r w:rsidRPr="00D07284">
        <w:rPr>
          <w:vertAlign w:val="subscript"/>
        </w:rPr>
        <w:t>3</w:t>
      </w:r>
      <w:r w:rsidRPr="00D07284">
        <w:t xml:space="preserve"> et le Règlement </w:t>
      </w:r>
      <w:r w:rsidR="00084F03">
        <w:t>n</w:t>
      </w:r>
      <w:r w:rsidR="00084F03" w:rsidRPr="00576D5C">
        <w:rPr>
          <w:vertAlign w:val="superscript"/>
        </w:rPr>
        <w:t>o</w:t>
      </w:r>
      <w:r w:rsidR="00084F03">
        <w:t> </w:t>
      </w:r>
      <w:r w:rsidRPr="00D07284">
        <w:t xml:space="preserve">107 s'applique à sa construction générale. Un trolleybus est aussi un véhicule électrique à batterie et c’est donc de préférence dans le Règlement </w:t>
      </w:r>
      <w:r w:rsidR="00084F03">
        <w:t>n</w:t>
      </w:r>
      <w:r w:rsidR="00084F03" w:rsidRPr="00576D5C">
        <w:rPr>
          <w:vertAlign w:val="superscript"/>
        </w:rPr>
        <w:t>o</w:t>
      </w:r>
      <w:r w:rsidR="00084F03">
        <w:t> </w:t>
      </w:r>
      <w:r w:rsidRPr="00D07284">
        <w:t xml:space="preserve">100 que doivent figurer </w:t>
      </w:r>
      <w:proofErr w:type="gramStart"/>
      <w:r w:rsidRPr="00D07284">
        <w:t>les prescriptions supplémentaire</w:t>
      </w:r>
      <w:proofErr w:type="gramEnd"/>
      <w:r w:rsidRPr="00D07284">
        <w:t xml:space="preserve"> relatives à la sécurité électrique de tels véhicules qui figurent à l’annexe</w:t>
      </w:r>
      <w:r w:rsidR="00084F03">
        <w:t> </w:t>
      </w:r>
      <w:r w:rsidRPr="00D07284">
        <w:t>12.</w:t>
      </w:r>
    </w:p>
    <w:p w:rsidR="00D07284" w:rsidRPr="00D07284" w:rsidRDefault="00D07284" w:rsidP="00A2277F">
      <w:pPr>
        <w:pStyle w:val="SingleTxtG"/>
      </w:pPr>
      <w:r w:rsidRPr="00D07284">
        <w:t>3</w:t>
      </w:r>
      <w:r w:rsidR="00D17136">
        <w:t>.</w:t>
      </w:r>
      <w:r w:rsidRPr="00D07284">
        <w:tab/>
        <w:t xml:space="preserve">Il convient donc de retirer du Règlement </w:t>
      </w:r>
      <w:r w:rsidR="00084F03">
        <w:t>n</w:t>
      </w:r>
      <w:r w:rsidR="00084F03" w:rsidRPr="00576D5C">
        <w:rPr>
          <w:vertAlign w:val="superscript"/>
        </w:rPr>
        <w:t>o</w:t>
      </w:r>
      <w:r w:rsidR="00084F03">
        <w:t> </w:t>
      </w:r>
      <w:r w:rsidRPr="00D07284">
        <w:t>107 l’annexe</w:t>
      </w:r>
      <w:r w:rsidR="00084F03">
        <w:t> </w:t>
      </w:r>
      <w:r w:rsidRPr="00D07284">
        <w:t xml:space="preserve">12 sur les prescriptions supplémentaires de sécurité dans les trolleybus et de les transférer au Règlement </w:t>
      </w:r>
      <w:r w:rsidR="00084F03">
        <w:t>n</w:t>
      </w:r>
      <w:r w:rsidR="00084F03" w:rsidRPr="00576D5C">
        <w:rPr>
          <w:vertAlign w:val="superscript"/>
        </w:rPr>
        <w:t>o</w:t>
      </w:r>
      <w:r w:rsidR="00084F03">
        <w:t> </w:t>
      </w:r>
      <w:r w:rsidRPr="00D07284">
        <w:t>100. Une proposition d’amendement correspondante sera soumise comme document officiel au Groupe de travail de la sécurité passive.</w:t>
      </w:r>
    </w:p>
    <w:p w:rsidR="00D07284" w:rsidRDefault="00D07284" w:rsidP="00A2277F">
      <w:pPr>
        <w:pStyle w:val="SingleTxtG"/>
      </w:pPr>
      <w:r w:rsidRPr="00D07284">
        <w:t>4.</w:t>
      </w:r>
      <w:r w:rsidRPr="00D07284">
        <w:tab/>
        <w:t xml:space="preserve">S’agissant </w:t>
      </w:r>
      <w:r w:rsidR="00084F03">
        <w:t>des dispositions de l’annexe 1 − partie 1 −</w:t>
      </w:r>
      <w:r w:rsidRPr="00D07284">
        <w:t xml:space="preserve"> appendices</w:t>
      </w:r>
      <w:r w:rsidR="00084F03">
        <w:t> </w:t>
      </w:r>
      <w:r w:rsidRPr="00D07284">
        <w:t>1, 2 et 3, où a été ajoutée une liste des caractéristiques d’un trolleybus hormis les conditions ambiantes spéciales, un renvoi à l’annexe</w:t>
      </w:r>
      <w:r w:rsidR="00084F03">
        <w:t> </w:t>
      </w:r>
      <w:r w:rsidRPr="00D07284">
        <w:t>6 − partie</w:t>
      </w:r>
      <w:r w:rsidR="00084F03">
        <w:t> </w:t>
      </w:r>
      <w:r w:rsidRPr="00D07284">
        <w:t>1 et à l’annexe</w:t>
      </w:r>
      <w:r w:rsidR="00084F03">
        <w:t> </w:t>
      </w:r>
      <w:r w:rsidRPr="00D07284">
        <w:t xml:space="preserve">7 du Règlement de l’ONU </w:t>
      </w:r>
      <w:r w:rsidR="00084F03">
        <w:t>n</w:t>
      </w:r>
      <w:r w:rsidR="00084F03" w:rsidRPr="00576D5C">
        <w:rPr>
          <w:vertAlign w:val="superscript"/>
        </w:rPr>
        <w:t>o</w:t>
      </w:r>
      <w:r w:rsidR="00084F03">
        <w:t> </w:t>
      </w:r>
      <w:r w:rsidRPr="00D07284">
        <w:t>100 sera introduit.</w:t>
      </w:r>
    </w:p>
    <w:p w:rsidR="00084F03" w:rsidRPr="00084F03" w:rsidRDefault="00084F03" w:rsidP="00084F0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84F03" w:rsidRPr="00084F03" w:rsidSect="00B42B2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E50" w:rsidRDefault="00756E50" w:rsidP="00F95C08">
      <w:pPr>
        <w:spacing w:line="240" w:lineRule="auto"/>
      </w:pPr>
    </w:p>
  </w:endnote>
  <w:endnote w:type="continuationSeparator" w:id="0">
    <w:p w:rsidR="00756E50" w:rsidRPr="00AC3823" w:rsidRDefault="00756E50" w:rsidP="00AC3823">
      <w:pPr>
        <w:pStyle w:val="Footer"/>
      </w:pPr>
    </w:p>
  </w:endnote>
  <w:endnote w:type="continuationNotice" w:id="1">
    <w:p w:rsidR="00756E50" w:rsidRDefault="00756E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28" w:rsidRPr="00B42B28" w:rsidRDefault="00B42B28" w:rsidP="00B42B28">
    <w:pPr>
      <w:pStyle w:val="Footer"/>
      <w:tabs>
        <w:tab w:val="right" w:pos="9638"/>
      </w:tabs>
    </w:pPr>
    <w:r w:rsidRPr="00B42B28">
      <w:rPr>
        <w:b/>
        <w:sz w:val="18"/>
      </w:rPr>
      <w:fldChar w:fldCharType="begin"/>
    </w:r>
    <w:r w:rsidRPr="00B42B28">
      <w:rPr>
        <w:b/>
        <w:sz w:val="18"/>
      </w:rPr>
      <w:instrText xml:space="preserve"> PAGE  \* MERGEFORMAT </w:instrText>
    </w:r>
    <w:r w:rsidRPr="00B42B28">
      <w:rPr>
        <w:b/>
        <w:sz w:val="18"/>
      </w:rPr>
      <w:fldChar w:fldCharType="separate"/>
    </w:r>
    <w:r w:rsidR="009D3235">
      <w:rPr>
        <w:b/>
        <w:noProof/>
        <w:sz w:val="18"/>
      </w:rPr>
      <w:t>2</w:t>
    </w:r>
    <w:r w:rsidRPr="00B42B28">
      <w:rPr>
        <w:b/>
        <w:sz w:val="18"/>
      </w:rPr>
      <w:fldChar w:fldCharType="end"/>
    </w:r>
    <w:r>
      <w:rPr>
        <w:b/>
        <w:sz w:val="18"/>
      </w:rPr>
      <w:tab/>
    </w:r>
    <w:r>
      <w:t>GE.16-01831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28" w:rsidRPr="00B42B28" w:rsidRDefault="00B42B28" w:rsidP="00B42B28">
    <w:pPr>
      <w:pStyle w:val="Footer"/>
      <w:tabs>
        <w:tab w:val="right" w:pos="9638"/>
      </w:tabs>
      <w:rPr>
        <w:b/>
        <w:sz w:val="18"/>
      </w:rPr>
    </w:pPr>
    <w:r>
      <w:t>GE.16-01831</w:t>
    </w:r>
    <w:r>
      <w:tab/>
    </w:r>
    <w:r w:rsidRPr="00B42B28">
      <w:rPr>
        <w:b/>
        <w:sz w:val="18"/>
      </w:rPr>
      <w:fldChar w:fldCharType="begin"/>
    </w:r>
    <w:r w:rsidRPr="00B42B28">
      <w:rPr>
        <w:b/>
        <w:sz w:val="18"/>
      </w:rPr>
      <w:instrText xml:space="preserve"> PAGE  \* MERGEFORMAT </w:instrText>
    </w:r>
    <w:r w:rsidRPr="00B42B28">
      <w:rPr>
        <w:b/>
        <w:sz w:val="18"/>
      </w:rPr>
      <w:fldChar w:fldCharType="separate"/>
    </w:r>
    <w:r w:rsidR="00A40CEB">
      <w:rPr>
        <w:b/>
        <w:noProof/>
        <w:sz w:val="18"/>
      </w:rPr>
      <w:t>3</w:t>
    </w:r>
    <w:r w:rsidRPr="00B42B2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B42B28" w:rsidRDefault="00B42B28" w:rsidP="00B42B2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6CAE12FE" wp14:editId="6D1B880A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16-01831  (F)    230216    150316</w:t>
    </w:r>
    <w:r>
      <w:rPr>
        <w:sz w:val="20"/>
      </w:rPr>
      <w:br/>
    </w:r>
    <w:r w:rsidRPr="00B42B28">
      <w:rPr>
        <w:rFonts w:ascii="C39T30Lfz" w:hAnsi="C39T30Lfz"/>
        <w:sz w:val="56"/>
      </w:rPr>
      <w:t></w:t>
    </w:r>
    <w:r w:rsidRPr="00B42B28">
      <w:rPr>
        <w:rFonts w:ascii="C39T30Lfz" w:hAnsi="C39T30Lfz"/>
        <w:sz w:val="56"/>
      </w:rPr>
      <w:t></w:t>
    </w:r>
    <w:r w:rsidRPr="00B42B28">
      <w:rPr>
        <w:rFonts w:ascii="C39T30Lfz" w:hAnsi="C39T30Lfz"/>
        <w:sz w:val="56"/>
      </w:rPr>
      <w:t></w:t>
    </w:r>
    <w:r w:rsidRPr="00B42B28">
      <w:rPr>
        <w:rFonts w:ascii="C39T30Lfz" w:hAnsi="C39T30Lfz"/>
        <w:sz w:val="56"/>
      </w:rPr>
      <w:t></w:t>
    </w:r>
    <w:r w:rsidRPr="00B42B28">
      <w:rPr>
        <w:rFonts w:ascii="C39T30Lfz" w:hAnsi="C39T30Lfz"/>
        <w:sz w:val="56"/>
      </w:rPr>
      <w:t></w:t>
    </w:r>
    <w:r w:rsidRPr="00B42B28">
      <w:rPr>
        <w:rFonts w:ascii="C39T30Lfz" w:hAnsi="C39T30Lfz"/>
        <w:sz w:val="56"/>
      </w:rPr>
      <w:t></w:t>
    </w:r>
    <w:r w:rsidRPr="00B42B28">
      <w:rPr>
        <w:rFonts w:ascii="C39T30Lfz" w:hAnsi="C39T30Lfz"/>
        <w:sz w:val="56"/>
      </w:rPr>
      <w:t></w:t>
    </w:r>
    <w:r w:rsidRPr="00B42B28">
      <w:rPr>
        <w:rFonts w:ascii="C39T30Lfz" w:hAnsi="C39T30Lfz"/>
        <w:sz w:val="56"/>
      </w:rPr>
      <w:t></w:t>
    </w:r>
    <w:r w:rsidRPr="00B42B28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SG/2016/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G/2016/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E50" w:rsidRPr="00AC3823" w:rsidRDefault="00756E5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56E50" w:rsidRPr="00AC3823" w:rsidRDefault="00756E5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56E50" w:rsidRPr="00AC3823" w:rsidRDefault="00756E50">
      <w:pPr>
        <w:spacing w:line="240" w:lineRule="auto"/>
        <w:rPr>
          <w:sz w:val="2"/>
          <w:szCs w:val="2"/>
        </w:rPr>
      </w:pPr>
    </w:p>
  </w:footnote>
  <w:footnote w:id="2">
    <w:p w:rsidR="00A40CEB" w:rsidRPr="00A40CEB" w:rsidRDefault="00A40CEB">
      <w:pPr>
        <w:pStyle w:val="FootnoteText"/>
      </w:pPr>
      <w:r>
        <w:rPr>
          <w:rStyle w:val="FootnoteReference"/>
        </w:rPr>
        <w:tab/>
      </w:r>
      <w:r w:rsidRPr="00A40CE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 xml:space="preserve">Conformément au programme de travail du Comité des transports intérieurs pour la période 2014-2018 (ECE/TRANS/240, par. 105, et ECE/TRANS/2014/26, activité 02.4), le Forum mondial a pour mission d’élaborer, d’harmoniser et de mettre à jour les Règlements en vue d’améliorer les caractéristiques fonctionnelles des véhicules. Le présent document est soumis en vertu de ce mandat.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28" w:rsidRPr="00B42B28" w:rsidRDefault="00B42B28">
    <w:pPr>
      <w:pStyle w:val="Header"/>
    </w:pPr>
    <w:r>
      <w:t>ECE/TRANS/WP.29/GRSG/2016/5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28" w:rsidRPr="00B42B28" w:rsidRDefault="00B42B28" w:rsidP="00B42B28">
    <w:pPr>
      <w:pStyle w:val="Header"/>
      <w:jc w:val="right"/>
    </w:pPr>
    <w:r>
      <w:t>ECE/TRANS/WP.29/GRSG/2016/5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50"/>
    <w:rsid w:val="00017F94"/>
    <w:rsid w:val="00023842"/>
    <w:rsid w:val="000334F9"/>
    <w:rsid w:val="00045482"/>
    <w:rsid w:val="0007796D"/>
    <w:rsid w:val="00084F03"/>
    <w:rsid w:val="000B7790"/>
    <w:rsid w:val="001047C9"/>
    <w:rsid w:val="00111F2F"/>
    <w:rsid w:val="0014365E"/>
    <w:rsid w:val="00143C66"/>
    <w:rsid w:val="00176178"/>
    <w:rsid w:val="001F525A"/>
    <w:rsid w:val="00223272"/>
    <w:rsid w:val="00240705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76D5C"/>
    <w:rsid w:val="00586ED3"/>
    <w:rsid w:val="00596AA9"/>
    <w:rsid w:val="0071601D"/>
    <w:rsid w:val="00756E50"/>
    <w:rsid w:val="007A62E6"/>
    <w:rsid w:val="007F20FA"/>
    <w:rsid w:val="0080684C"/>
    <w:rsid w:val="00871C75"/>
    <w:rsid w:val="008776DC"/>
    <w:rsid w:val="009705C8"/>
    <w:rsid w:val="009C1CF4"/>
    <w:rsid w:val="009D3235"/>
    <w:rsid w:val="009F6B74"/>
    <w:rsid w:val="00A2277F"/>
    <w:rsid w:val="00A30353"/>
    <w:rsid w:val="00A40CEB"/>
    <w:rsid w:val="00AC3823"/>
    <w:rsid w:val="00AE323C"/>
    <w:rsid w:val="00AF0CB5"/>
    <w:rsid w:val="00B00181"/>
    <w:rsid w:val="00B00B0D"/>
    <w:rsid w:val="00B42B28"/>
    <w:rsid w:val="00B765F7"/>
    <w:rsid w:val="00BA0CA9"/>
    <w:rsid w:val="00C02897"/>
    <w:rsid w:val="00C14ADB"/>
    <w:rsid w:val="00D07284"/>
    <w:rsid w:val="00D17136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75F30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AE91B88-DC5C-4277-800B-560E91C2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ECE/TRANS/WP.29/GRSG/2016/5</vt:lpstr>
      <vt:lpstr>ECE/TRANS/WP.29/GRSG/2016/5</vt:lpstr>
    </vt:vector>
  </TitlesOfParts>
  <Company>DCM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ECE/TRANS/WP.29/GRSG/2016/5</dc:title>
  <dc:subject/>
  <dc:creator>Chautagnat</dc:creator>
  <cp:keywords/>
  <dc:description/>
  <cp:lastModifiedBy>Caillot</cp:lastModifiedBy>
  <cp:revision>2</cp:revision>
  <cp:lastPrinted>2016-03-15T07:08:00Z</cp:lastPrinted>
  <dcterms:created xsi:type="dcterms:W3CDTF">2016-03-16T08:19:00Z</dcterms:created>
  <dcterms:modified xsi:type="dcterms:W3CDTF">2016-03-16T08:19:00Z</dcterms:modified>
</cp:coreProperties>
</file>