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76" w:rsidRPr="00B82153" w:rsidRDefault="002A2B76" w:rsidP="002A2B76">
      <w:pPr>
        <w:spacing w:line="60" w:lineRule="exact"/>
        <w:rPr>
          <w:color w:val="010000"/>
          <w:sz w:val="6"/>
        </w:rPr>
        <w:sectPr w:rsidR="002A2B76" w:rsidRPr="00B82153" w:rsidSect="002A2B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82153" w:rsidRPr="00B82153" w:rsidRDefault="00B82153" w:rsidP="00B82153">
      <w:pPr>
        <w:rPr>
          <w:b/>
          <w:bCs/>
          <w:sz w:val="28"/>
          <w:szCs w:val="28"/>
        </w:rPr>
      </w:pPr>
      <w:r w:rsidRPr="00B82153">
        <w:rPr>
          <w:b/>
          <w:bCs/>
          <w:sz w:val="28"/>
          <w:szCs w:val="28"/>
        </w:rPr>
        <w:t>Европейская экономическая комиссия</w:t>
      </w:r>
    </w:p>
    <w:p w:rsidR="00B82153" w:rsidRPr="00B82153" w:rsidRDefault="00B82153" w:rsidP="00B82153">
      <w:pPr>
        <w:spacing w:line="120" w:lineRule="exact"/>
        <w:rPr>
          <w:sz w:val="10"/>
          <w:szCs w:val="28"/>
        </w:rPr>
      </w:pPr>
    </w:p>
    <w:p w:rsidR="00B82153" w:rsidRPr="00B82153" w:rsidRDefault="00B82153" w:rsidP="00B82153">
      <w:pPr>
        <w:rPr>
          <w:sz w:val="28"/>
          <w:szCs w:val="28"/>
        </w:rPr>
      </w:pPr>
      <w:r w:rsidRPr="00B82153">
        <w:rPr>
          <w:sz w:val="28"/>
          <w:szCs w:val="28"/>
        </w:rPr>
        <w:t>Комитет по внутреннему транспорту</w:t>
      </w:r>
    </w:p>
    <w:p w:rsidR="00B82153" w:rsidRPr="00B82153" w:rsidRDefault="00B82153" w:rsidP="00B82153">
      <w:pPr>
        <w:spacing w:line="120" w:lineRule="exact"/>
        <w:rPr>
          <w:sz w:val="10"/>
        </w:rPr>
      </w:pPr>
    </w:p>
    <w:p w:rsidR="00B82153" w:rsidRPr="00B82153" w:rsidRDefault="00B82153" w:rsidP="00B82153">
      <w:pPr>
        <w:rPr>
          <w:b/>
          <w:bCs/>
          <w:sz w:val="24"/>
          <w:szCs w:val="24"/>
        </w:rPr>
      </w:pPr>
      <w:r w:rsidRPr="00B821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82153">
        <w:rPr>
          <w:b/>
          <w:bCs/>
          <w:sz w:val="24"/>
          <w:szCs w:val="24"/>
        </w:rPr>
        <w:br/>
        <w:t>в области транспортных средств</w:t>
      </w:r>
    </w:p>
    <w:p w:rsidR="00B82153" w:rsidRPr="00B82153" w:rsidRDefault="00B82153" w:rsidP="00B82153">
      <w:pPr>
        <w:spacing w:line="120" w:lineRule="exact"/>
        <w:rPr>
          <w:sz w:val="10"/>
        </w:rPr>
      </w:pPr>
    </w:p>
    <w:p w:rsidR="00B82153" w:rsidRPr="00B82153" w:rsidRDefault="00B82153" w:rsidP="00B82153">
      <w:pPr>
        <w:rPr>
          <w:b/>
          <w:bCs/>
        </w:rPr>
      </w:pPr>
      <w:r w:rsidRPr="00B82153">
        <w:rPr>
          <w:b/>
          <w:bCs/>
        </w:rPr>
        <w:t xml:space="preserve">Рабочая группа по общим предписаниям, </w:t>
      </w:r>
      <w:r w:rsidRPr="00B82153">
        <w:rPr>
          <w:b/>
          <w:bCs/>
        </w:rPr>
        <w:br/>
        <w:t>касающимся безопасности</w:t>
      </w:r>
    </w:p>
    <w:p w:rsidR="00B82153" w:rsidRPr="00B82153" w:rsidRDefault="00B82153" w:rsidP="00B82153">
      <w:pPr>
        <w:spacing w:line="120" w:lineRule="exact"/>
        <w:rPr>
          <w:sz w:val="10"/>
        </w:rPr>
      </w:pPr>
    </w:p>
    <w:p w:rsidR="00B82153" w:rsidRPr="00B82153" w:rsidRDefault="00B82153" w:rsidP="00B82153">
      <w:pPr>
        <w:rPr>
          <w:b/>
          <w:bCs/>
        </w:rPr>
      </w:pPr>
      <w:r w:rsidRPr="00B82153">
        <w:rPr>
          <w:b/>
          <w:bCs/>
        </w:rPr>
        <w:t>110-я сессия</w:t>
      </w:r>
    </w:p>
    <w:p w:rsidR="00B82153" w:rsidRPr="00B82153" w:rsidRDefault="00B82153" w:rsidP="00B82153">
      <w:r w:rsidRPr="00B82153">
        <w:t>Женева, 26–29 апреля 2016 года</w:t>
      </w:r>
    </w:p>
    <w:p w:rsidR="00B82153" w:rsidRPr="00B82153" w:rsidRDefault="00B82153" w:rsidP="003E0D42">
      <w:r w:rsidRPr="00B82153">
        <w:t xml:space="preserve">Пункт 2 </w:t>
      </w:r>
      <w:r w:rsidRPr="00B82153">
        <w:rPr>
          <w:lang w:val="en-GB"/>
        </w:rPr>
        <w:t>a</w:t>
      </w:r>
      <w:r w:rsidRPr="00B82153">
        <w:t>) предварительной повестки дня</w:t>
      </w:r>
    </w:p>
    <w:p w:rsidR="00B82153" w:rsidRPr="00B82153" w:rsidRDefault="00B82153" w:rsidP="00481DE2">
      <w:pPr>
        <w:rPr>
          <w:b/>
          <w:bCs/>
        </w:rPr>
      </w:pPr>
      <w:r w:rsidRPr="00B82153">
        <w:rPr>
          <w:b/>
          <w:bCs/>
        </w:rPr>
        <w:t xml:space="preserve">Правила № 107 (общая конструкция </w:t>
      </w:r>
      <w:r w:rsidR="00481DE2">
        <w:rPr>
          <w:b/>
          <w:bCs/>
        </w:rPr>
        <w:br/>
      </w:r>
      <w:r w:rsidRPr="00B82153">
        <w:rPr>
          <w:b/>
          <w:bCs/>
        </w:rPr>
        <w:t xml:space="preserve">городских и междугородных автобусов) – </w:t>
      </w:r>
      <w:r w:rsidRPr="00B82153">
        <w:rPr>
          <w:b/>
          <w:bCs/>
        </w:rPr>
        <w:br/>
        <w:t>Предложения по дальнейшим поправкам</w:t>
      </w:r>
    </w:p>
    <w:p w:rsidR="00B82153" w:rsidRPr="00B82153" w:rsidRDefault="00B82153" w:rsidP="00B82153">
      <w:pPr>
        <w:pStyle w:val="SingleTxt"/>
        <w:spacing w:after="0" w:line="120" w:lineRule="exact"/>
        <w:rPr>
          <w:b/>
          <w:sz w:val="10"/>
        </w:rPr>
      </w:pPr>
    </w:p>
    <w:p w:rsidR="00B82153" w:rsidRPr="00B82153" w:rsidRDefault="00B82153" w:rsidP="00B82153">
      <w:pPr>
        <w:pStyle w:val="SingleTxt"/>
        <w:spacing w:after="0" w:line="120" w:lineRule="exact"/>
        <w:rPr>
          <w:b/>
          <w:sz w:val="10"/>
        </w:rPr>
      </w:pPr>
    </w:p>
    <w:p w:rsidR="00B82153" w:rsidRPr="00B82153" w:rsidRDefault="00B82153" w:rsidP="00B82153">
      <w:pPr>
        <w:pStyle w:val="SingleTxt"/>
        <w:spacing w:after="0" w:line="120" w:lineRule="exact"/>
        <w:rPr>
          <w:b/>
          <w:sz w:val="10"/>
        </w:rPr>
      </w:pPr>
    </w:p>
    <w:p w:rsidR="00B82153" w:rsidRPr="003C3994" w:rsidRDefault="00B82153" w:rsidP="00B821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2153">
        <w:tab/>
      </w:r>
      <w:r w:rsidRPr="00B82153">
        <w:tab/>
        <w:t>Предложение по поправке к Правилам № 107</w:t>
      </w:r>
      <w:r w:rsidRPr="00B82153">
        <w:br/>
        <w:t>(общая конструкция городских и междугородных автобусов)</w:t>
      </w:r>
    </w:p>
    <w:p w:rsidR="003E0D42" w:rsidRPr="003C3994" w:rsidRDefault="003E0D42" w:rsidP="003E0D42">
      <w:pPr>
        <w:pStyle w:val="SingleTxt"/>
        <w:spacing w:after="0" w:line="120" w:lineRule="exact"/>
        <w:rPr>
          <w:sz w:val="10"/>
        </w:rPr>
      </w:pPr>
    </w:p>
    <w:p w:rsidR="003E0D42" w:rsidRPr="003C3994" w:rsidRDefault="003E0D42" w:rsidP="003E0D42">
      <w:pPr>
        <w:pStyle w:val="SingleTxt"/>
        <w:spacing w:after="0" w:line="120" w:lineRule="exact"/>
        <w:rPr>
          <w:sz w:val="10"/>
        </w:rPr>
      </w:pPr>
    </w:p>
    <w:p w:rsidR="00B82153" w:rsidRPr="00B82153" w:rsidRDefault="003E0D42" w:rsidP="003E0D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3C3994">
        <w:tab/>
      </w:r>
      <w:r w:rsidRPr="003C3994">
        <w:tab/>
      </w:r>
      <w:r w:rsidR="00B82153" w:rsidRPr="00B82153">
        <w:t>Представлено экспертом от Бельгии</w:t>
      </w:r>
      <w:r w:rsidR="00B82153" w:rsidRPr="003E0D42">
        <w:rPr>
          <w:b w:val="0"/>
          <w:bCs/>
          <w:sz w:val="20"/>
          <w:szCs w:val="20"/>
        </w:rPr>
        <w:footnoteReference w:customMarkFollows="1" w:id="1"/>
        <w:t>*</w:t>
      </w:r>
    </w:p>
    <w:p w:rsidR="003E0D42" w:rsidRPr="003E0D42" w:rsidRDefault="003E0D42" w:rsidP="003E0D42">
      <w:pPr>
        <w:pStyle w:val="SingleTxt"/>
        <w:spacing w:after="0" w:line="120" w:lineRule="exact"/>
        <w:rPr>
          <w:sz w:val="10"/>
        </w:rPr>
      </w:pPr>
    </w:p>
    <w:p w:rsidR="003E0D42" w:rsidRPr="003E0D42" w:rsidRDefault="003E0D42" w:rsidP="003E0D42">
      <w:pPr>
        <w:pStyle w:val="SingleTxt"/>
        <w:spacing w:after="0" w:line="120" w:lineRule="exact"/>
        <w:rPr>
          <w:sz w:val="10"/>
        </w:rPr>
      </w:pPr>
    </w:p>
    <w:p w:rsidR="00B82153" w:rsidRPr="00B82153" w:rsidRDefault="003E0D42" w:rsidP="003E0D42">
      <w:pPr>
        <w:pStyle w:val="SingleTxt"/>
      </w:pPr>
      <w:r w:rsidRPr="003C3994">
        <w:tab/>
      </w:r>
      <w:r w:rsidR="00B82153" w:rsidRPr="00B82153">
        <w:t xml:space="preserve">Воспроизведенный ниже текст был подготовлен экспертом от Бельгии с целью исключить дополнительные предписания в области безопасности для троллейбусов из Правил № 107 и включить их в Правила № 100 по транспортным средствам с электроприводом. Цель этого предложения </w:t>
      </w:r>
      <w:r w:rsidRPr="003E0D42">
        <w:t>–</w:t>
      </w:r>
      <w:r w:rsidR="00B82153" w:rsidRPr="00B82153">
        <w:t xml:space="preserve"> проинформировать рабочие группы о проблеме толкования, касающейся сферы действия положений, содержащихся в этих Правилах по транспортным средствам с электроприводом и применимых к троллейбусам. Оно также имеет целью уточнить, каким образом органы по официальному утверждению типа, их технические службы и изготовители собираются планировать свои будущие процедуры официального утверждения новых типов транспортных средств.</w:t>
      </w:r>
    </w:p>
    <w:p w:rsidR="00B82153" w:rsidRPr="00B82153" w:rsidRDefault="00B82153" w:rsidP="00B82153">
      <w:pPr>
        <w:pStyle w:val="SingleTxt"/>
      </w:pPr>
    </w:p>
    <w:p w:rsidR="00B82153" w:rsidRPr="00B82153" w:rsidRDefault="00B82153" w:rsidP="003E0D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2153">
        <w:br w:type="page"/>
      </w:r>
      <w:r w:rsidR="003E0D42">
        <w:lastRenderedPageBreak/>
        <w:tab/>
      </w:r>
      <w:r w:rsidRPr="00B82153">
        <w:rPr>
          <w:lang w:val="en-GB"/>
        </w:rPr>
        <w:t>I</w:t>
      </w:r>
      <w:r w:rsidRPr="00B82153">
        <w:t>.</w:t>
      </w:r>
      <w:r w:rsidRPr="00B82153">
        <w:tab/>
        <w:t>Предложение</w:t>
      </w:r>
    </w:p>
    <w:p w:rsidR="003E0D42" w:rsidRPr="003E0D42" w:rsidRDefault="003E0D42" w:rsidP="003E0D42">
      <w:pPr>
        <w:pStyle w:val="SingleTxt"/>
        <w:spacing w:after="0" w:line="120" w:lineRule="exact"/>
        <w:rPr>
          <w:i/>
          <w:iCs/>
          <w:sz w:val="10"/>
        </w:rPr>
      </w:pPr>
    </w:p>
    <w:p w:rsidR="003E0D42" w:rsidRPr="003E0D42" w:rsidRDefault="003E0D42" w:rsidP="003E0D42">
      <w:pPr>
        <w:pStyle w:val="SingleTxt"/>
        <w:spacing w:after="0" w:line="120" w:lineRule="exact"/>
        <w:rPr>
          <w:i/>
          <w:iCs/>
          <w:sz w:val="10"/>
        </w:rPr>
      </w:pPr>
    </w:p>
    <w:p w:rsidR="00B82153" w:rsidRPr="00B82153" w:rsidRDefault="00B82153" w:rsidP="003E0D42">
      <w:pPr>
        <w:pStyle w:val="SingleTxt"/>
        <w:rPr>
          <w:i/>
          <w:iCs/>
        </w:rPr>
      </w:pPr>
      <w:r w:rsidRPr="00B82153">
        <w:rPr>
          <w:i/>
          <w:iCs/>
        </w:rPr>
        <w:t xml:space="preserve">Содержание, перечень приложений, </w:t>
      </w:r>
      <w:r w:rsidRPr="00B82153">
        <w:t>исключить приложение</w:t>
      </w:r>
      <w:r w:rsidRPr="00B82153">
        <w:rPr>
          <w:bCs/>
        </w:rPr>
        <w:t xml:space="preserve"> 12.</w:t>
      </w:r>
    </w:p>
    <w:p w:rsidR="00B82153" w:rsidRPr="00B82153" w:rsidRDefault="00B82153" w:rsidP="00B82153">
      <w:pPr>
        <w:pStyle w:val="SingleTxt"/>
        <w:rPr>
          <w:i/>
        </w:rPr>
      </w:pPr>
      <w:r w:rsidRPr="00B82153">
        <w:rPr>
          <w:i/>
        </w:rPr>
        <w:t>Текст Правил,</w:t>
      </w:r>
    </w:p>
    <w:p w:rsidR="00B82153" w:rsidRPr="00B82153" w:rsidRDefault="00B82153" w:rsidP="003E0D42">
      <w:pPr>
        <w:pStyle w:val="SingleTxt"/>
      </w:pPr>
      <w:r w:rsidRPr="00B82153">
        <w:rPr>
          <w:i/>
        </w:rPr>
        <w:t>Приложение 1, часть 1, добавления 1, 2 и 3</w:t>
      </w:r>
      <w:r w:rsidRPr="00B82153">
        <w:t>, исключить пункты 6</w:t>
      </w:r>
      <w:r w:rsidR="003E0D42">
        <w:t>–</w:t>
      </w:r>
      <w:r w:rsidRPr="00B82153">
        <w:t>6.6.2.</w:t>
      </w:r>
    </w:p>
    <w:p w:rsidR="00B82153" w:rsidRPr="00B82153" w:rsidRDefault="00B82153" w:rsidP="00B82153">
      <w:pPr>
        <w:pStyle w:val="SingleTxt"/>
        <w:rPr>
          <w:i/>
        </w:rPr>
      </w:pPr>
      <w:r w:rsidRPr="00B82153">
        <w:rPr>
          <w:i/>
        </w:rPr>
        <w:t>Приложение 1, часть 2,</w:t>
      </w:r>
    </w:p>
    <w:p w:rsidR="00B82153" w:rsidRPr="00B82153" w:rsidRDefault="00B82153" w:rsidP="003E0D42">
      <w:pPr>
        <w:pStyle w:val="SingleTxt"/>
      </w:pPr>
      <w:r w:rsidRPr="00B82153">
        <w:rPr>
          <w:i/>
        </w:rPr>
        <w:t xml:space="preserve">Добавление 1, </w:t>
      </w:r>
      <w:r w:rsidRPr="00B82153">
        <w:t>исключить пункты 1.12</w:t>
      </w:r>
      <w:r w:rsidR="003E0D42">
        <w:t>–</w:t>
      </w:r>
      <w:r w:rsidRPr="00B82153">
        <w:t>1.12.1.4.</w:t>
      </w:r>
    </w:p>
    <w:p w:rsidR="00B82153" w:rsidRPr="00B82153" w:rsidRDefault="00B82153" w:rsidP="003E0D42">
      <w:pPr>
        <w:pStyle w:val="SingleTxt"/>
        <w:rPr>
          <w:bCs/>
        </w:rPr>
      </w:pPr>
      <w:r w:rsidRPr="00B82153">
        <w:rPr>
          <w:i/>
        </w:rPr>
        <w:t xml:space="preserve">Добавление 2, </w:t>
      </w:r>
      <w:r w:rsidRPr="00B82153">
        <w:t>исключить пункты 1.8</w:t>
      </w:r>
      <w:r w:rsidR="003E0D42">
        <w:t>–</w:t>
      </w:r>
      <w:r w:rsidRPr="00B82153">
        <w:t>1.8.1.4.</w:t>
      </w:r>
    </w:p>
    <w:p w:rsidR="00B82153" w:rsidRPr="00B82153" w:rsidRDefault="00B82153" w:rsidP="003E0D42">
      <w:pPr>
        <w:pStyle w:val="SingleTxt"/>
      </w:pPr>
      <w:r w:rsidRPr="00B82153">
        <w:rPr>
          <w:i/>
        </w:rPr>
        <w:t xml:space="preserve">Добавление 3, </w:t>
      </w:r>
      <w:r w:rsidRPr="00B82153">
        <w:t>исключить пункты 1.4</w:t>
      </w:r>
      <w:r w:rsidR="003E0D42">
        <w:t>–</w:t>
      </w:r>
      <w:r w:rsidRPr="00B82153">
        <w:t>1.4.1.4.</w:t>
      </w:r>
    </w:p>
    <w:p w:rsidR="00B82153" w:rsidRPr="00B82153" w:rsidRDefault="00B82153" w:rsidP="003E0D42">
      <w:pPr>
        <w:pStyle w:val="SingleTxt"/>
        <w:rPr>
          <w:bCs/>
        </w:rPr>
      </w:pPr>
      <w:r w:rsidRPr="00B82153">
        <w:rPr>
          <w:i/>
        </w:rPr>
        <w:t>Приложение</w:t>
      </w:r>
      <w:r w:rsidRPr="00B82153">
        <w:rPr>
          <w:bCs/>
          <w:i/>
        </w:rPr>
        <w:t xml:space="preserve"> 3,</w:t>
      </w:r>
      <w:r w:rsidRPr="00B82153">
        <w:t xml:space="preserve"> исключить пункты</w:t>
      </w:r>
      <w:r w:rsidRPr="00B82153">
        <w:rPr>
          <w:bCs/>
        </w:rPr>
        <w:t xml:space="preserve"> 7.16</w:t>
      </w:r>
      <w:r w:rsidR="003E0D42">
        <w:rPr>
          <w:bCs/>
        </w:rPr>
        <w:t>–</w:t>
      </w:r>
      <w:r w:rsidRPr="00B82153">
        <w:rPr>
          <w:bCs/>
        </w:rPr>
        <w:t>7.16.1.</w:t>
      </w:r>
    </w:p>
    <w:p w:rsidR="00B82153" w:rsidRPr="00B82153" w:rsidRDefault="00B82153" w:rsidP="00B82153">
      <w:pPr>
        <w:pStyle w:val="SingleTxt"/>
      </w:pPr>
      <w:r w:rsidRPr="00B82153">
        <w:rPr>
          <w:i/>
        </w:rPr>
        <w:t>Приложение</w:t>
      </w:r>
      <w:r w:rsidRPr="00B82153">
        <w:rPr>
          <w:bCs/>
          <w:i/>
        </w:rPr>
        <w:t xml:space="preserve"> 12,</w:t>
      </w:r>
      <w:r w:rsidRPr="00B82153">
        <w:t xml:space="preserve"> исключить все </w:t>
      </w:r>
      <w:r w:rsidRPr="00B82153">
        <w:rPr>
          <w:i/>
        </w:rPr>
        <w:t>приложение</w:t>
      </w:r>
      <w:r w:rsidRPr="00B82153">
        <w:rPr>
          <w:bCs/>
        </w:rPr>
        <w:t>.</w:t>
      </w:r>
    </w:p>
    <w:p w:rsidR="003E0D42" w:rsidRPr="003E0D42" w:rsidRDefault="003E0D42" w:rsidP="003E0D42">
      <w:pPr>
        <w:pStyle w:val="SingleTxt"/>
        <w:spacing w:after="0" w:line="120" w:lineRule="exact"/>
        <w:rPr>
          <w:b/>
          <w:sz w:val="10"/>
        </w:rPr>
      </w:pPr>
    </w:p>
    <w:p w:rsidR="003E0D42" w:rsidRPr="003E0D42" w:rsidRDefault="003E0D42" w:rsidP="003E0D42">
      <w:pPr>
        <w:pStyle w:val="SingleTxt"/>
        <w:spacing w:after="0" w:line="120" w:lineRule="exact"/>
        <w:rPr>
          <w:b/>
          <w:sz w:val="10"/>
        </w:rPr>
      </w:pPr>
    </w:p>
    <w:p w:rsidR="00B82153" w:rsidRPr="00B82153" w:rsidRDefault="00B82153" w:rsidP="003E0D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2153">
        <w:tab/>
      </w:r>
      <w:r w:rsidRPr="00B82153">
        <w:rPr>
          <w:lang w:val="en-GB"/>
        </w:rPr>
        <w:t>II</w:t>
      </w:r>
      <w:r w:rsidRPr="00B82153">
        <w:t>.</w:t>
      </w:r>
      <w:r w:rsidRPr="00B82153">
        <w:tab/>
        <w:t>Обоснование</w:t>
      </w:r>
    </w:p>
    <w:p w:rsidR="003E0D42" w:rsidRPr="003E0D42" w:rsidRDefault="003E0D42" w:rsidP="003E0D42">
      <w:pPr>
        <w:pStyle w:val="SingleTxt"/>
        <w:spacing w:after="0" w:line="120" w:lineRule="exact"/>
        <w:rPr>
          <w:sz w:val="10"/>
        </w:rPr>
      </w:pPr>
    </w:p>
    <w:p w:rsidR="003E0D42" w:rsidRPr="003E0D42" w:rsidRDefault="003E0D42" w:rsidP="003E0D42">
      <w:pPr>
        <w:pStyle w:val="SingleTxt"/>
        <w:spacing w:after="0" w:line="120" w:lineRule="exact"/>
        <w:rPr>
          <w:sz w:val="10"/>
        </w:rPr>
      </w:pPr>
    </w:p>
    <w:p w:rsidR="00B82153" w:rsidRPr="00B82153" w:rsidRDefault="00B82153" w:rsidP="003E0D42">
      <w:pPr>
        <w:pStyle w:val="SingleTxt"/>
      </w:pPr>
      <w:r w:rsidRPr="00B82153">
        <w:t>1.</w:t>
      </w:r>
      <w:r w:rsidRPr="00B82153">
        <w:tab/>
        <w:t xml:space="preserve">Исторически Правила № 36 ООН были изменены в 2002 году с целью включить новое приложение, содержащее положения для троллейбусов </w:t>
      </w:r>
      <w:r w:rsidR="003E0D42">
        <w:br/>
      </w:r>
      <w:r w:rsidRPr="00B82153">
        <w:t>(дополнение 7 к поправкам серии 03). В тот момент сфера применения Правил</w:t>
      </w:r>
      <w:r w:rsidR="003E0D42">
        <w:t> </w:t>
      </w:r>
      <w:r w:rsidRPr="00B82153">
        <w:t>№</w:t>
      </w:r>
      <w:r w:rsidR="003E0D42">
        <w:t> </w:t>
      </w:r>
      <w:r w:rsidRPr="00B82153">
        <w:t xml:space="preserve">100 ООН ограничивалась только аккумуляторными электромобилями. Впоследствии, в процессе объединения в 2003 году Правил № 36, 52 и 107, в Правила № 107 ООН было включено приложение по троллейбусам, но еще без серии поправок 01, а в 2006 году уже с поправками серии 02. В 2015 году в приложение 12 были внесены поправки с целью привести в соответствие дополнительные предписания в области электробезопасности для троллейбусов с </w:t>
      </w:r>
      <w:r w:rsidR="00481DE2">
        <w:br/>
      </w:r>
      <w:r w:rsidRPr="00B82153">
        <w:t>электротехническими стандартами.</w:t>
      </w:r>
    </w:p>
    <w:p w:rsidR="00B82153" w:rsidRPr="00B82153" w:rsidRDefault="00B82153" w:rsidP="003E0D42">
      <w:pPr>
        <w:pStyle w:val="SingleTxt"/>
      </w:pPr>
      <w:r w:rsidRPr="00B82153">
        <w:t>2.</w:t>
      </w:r>
      <w:r w:rsidRPr="00B82153">
        <w:tab/>
        <w:t xml:space="preserve">Троллейбус </w:t>
      </w:r>
      <w:r w:rsidR="003E0D42">
        <w:t>–</w:t>
      </w:r>
      <w:r w:rsidRPr="00B82153">
        <w:t xml:space="preserve"> это транспортное средство категории М</w:t>
      </w:r>
      <w:r w:rsidRPr="003E0D42">
        <w:rPr>
          <w:vertAlign w:val="subscript"/>
        </w:rPr>
        <w:t>2</w:t>
      </w:r>
      <w:r w:rsidRPr="00B82153">
        <w:t xml:space="preserve"> или М</w:t>
      </w:r>
      <w:r w:rsidRPr="003E0D42">
        <w:rPr>
          <w:vertAlign w:val="subscript"/>
        </w:rPr>
        <w:t>3</w:t>
      </w:r>
      <w:r w:rsidRPr="00B82153">
        <w:t xml:space="preserve">, поэтому Правила № 107 ООН применяются к его общей конструкции. В то же время троллейбус </w:t>
      </w:r>
      <w:r w:rsidR="003E0D42">
        <w:t>–</w:t>
      </w:r>
      <w:r w:rsidRPr="00B82153">
        <w:t xml:space="preserve"> это транспортное средство на электротяге, поэтому Правила № 100 ООН больше подходят для того, чтобы именно в них включить дополнительные предписания в области электробезопасности этих транспортных средств, изложенные в приложении 12.</w:t>
      </w:r>
    </w:p>
    <w:p w:rsidR="00B82153" w:rsidRPr="00B82153" w:rsidRDefault="00B82153" w:rsidP="00B82153">
      <w:pPr>
        <w:pStyle w:val="SingleTxt"/>
      </w:pPr>
      <w:r w:rsidRPr="00B82153">
        <w:t>3.</w:t>
      </w:r>
      <w:r w:rsidRPr="00B82153">
        <w:tab/>
        <w:t>Таким образом, приложение 12 по дополнительным предписаниям в области безопасности троллейбусов следует исключить из Правил № 107 ООН и перенести их в Правила № 100 ООН. Соответствующее предложение по поправкам будет представлено Рабочей группе по пассивной безопасности в качестве официального документа.</w:t>
      </w:r>
    </w:p>
    <w:p w:rsidR="002A2B76" w:rsidRDefault="00B82153" w:rsidP="00481DE2">
      <w:pPr>
        <w:pStyle w:val="SingleTxt"/>
      </w:pPr>
      <w:r w:rsidRPr="00B82153">
        <w:t>4.</w:t>
      </w:r>
      <w:r w:rsidRPr="00B82153">
        <w:tab/>
        <w:t xml:space="preserve">Что касается положений приложения 1 </w:t>
      </w:r>
      <w:r w:rsidR="003E0D42">
        <w:t>–</w:t>
      </w:r>
      <w:r w:rsidRPr="00B82153">
        <w:t xml:space="preserve"> часть 1 </w:t>
      </w:r>
      <w:r w:rsidR="003E0D42">
        <w:t>–</w:t>
      </w:r>
      <w:r w:rsidRPr="00B82153">
        <w:t xml:space="preserve"> добавления 1, 2 и 3, в которое был включен перечень характеристик троллейбуса, помимо особых окружающих условий, то в этой связи будет включена соответствующая ссылка на приложение 6 </w:t>
      </w:r>
      <w:r w:rsidR="00481DE2">
        <w:t>–</w:t>
      </w:r>
      <w:r w:rsidRPr="00B82153">
        <w:t xml:space="preserve"> часть 1 и приложение 7 к Правилам № 100 ООН.</w:t>
      </w:r>
    </w:p>
    <w:p w:rsidR="00481DE2" w:rsidRPr="00481DE2" w:rsidRDefault="00481DE2" w:rsidP="00481DE2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F0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81DE2" w:rsidRPr="00481DE2" w:rsidSect="002A2B7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E6" w:rsidRDefault="00DD10E6" w:rsidP="008A1A7A">
      <w:pPr>
        <w:spacing w:line="240" w:lineRule="auto"/>
      </w:pPr>
      <w:r>
        <w:separator/>
      </w:r>
    </w:p>
  </w:endnote>
  <w:endnote w:type="continuationSeparator" w:id="0">
    <w:p w:rsidR="00DD10E6" w:rsidRDefault="00DD10E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2B76" w:rsidTr="002A2B7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C3994">
            <w:rPr>
              <w:noProof/>
            </w:rPr>
            <w:t>2</w:t>
          </w:r>
          <w:r>
            <w:fldChar w:fldCharType="end"/>
          </w:r>
          <w:r>
            <w:t>/</w:t>
          </w:r>
          <w:r w:rsidR="003C3994">
            <w:fldChar w:fldCharType="begin"/>
          </w:r>
          <w:r w:rsidR="003C3994">
            <w:instrText xml:space="preserve"> NUMPAGES  \* Arabic  \* MERGEFORMAT </w:instrText>
          </w:r>
          <w:r w:rsidR="003C3994">
            <w:fldChar w:fldCharType="separate"/>
          </w:r>
          <w:r w:rsidR="003C3994">
            <w:rPr>
              <w:noProof/>
            </w:rPr>
            <w:t>2</w:t>
          </w:r>
          <w:r w:rsidR="003C399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7C56">
            <w:rPr>
              <w:b w:val="0"/>
              <w:color w:val="000000"/>
              <w:sz w:val="14"/>
            </w:rPr>
            <w:t>GE.16-01831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A2B76" w:rsidRPr="002A2B76" w:rsidRDefault="002A2B76" w:rsidP="002A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2B76" w:rsidTr="002A2B7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7C56">
            <w:rPr>
              <w:b w:val="0"/>
              <w:color w:val="000000"/>
              <w:sz w:val="14"/>
            </w:rPr>
            <w:t>GE.16-01831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97C56">
            <w:rPr>
              <w:noProof/>
            </w:rPr>
            <w:t>2</w:t>
          </w:r>
          <w:r>
            <w:fldChar w:fldCharType="end"/>
          </w:r>
          <w:r>
            <w:t>/</w:t>
          </w:r>
          <w:r w:rsidR="003C3994">
            <w:fldChar w:fldCharType="begin"/>
          </w:r>
          <w:r w:rsidR="003C3994">
            <w:instrText xml:space="preserve"> NUMPAGES  \* Arabic  \* MERGEFORMAT </w:instrText>
          </w:r>
          <w:r w:rsidR="003C3994">
            <w:fldChar w:fldCharType="separate"/>
          </w:r>
          <w:r w:rsidR="00897C56">
            <w:rPr>
              <w:noProof/>
            </w:rPr>
            <w:t>2</w:t>
          </w:r>
          <w:r w:rsidR="003C3994">
            <w:rPr>
              <w:noProof/>
            </w:rPr>
            <w:fldChar w:fldCharType="end"/>
          </w:r>
        </w:p>
      </w:tc>
    </w:tr>
  </w:tbl>
  <w:p w:rsidR="002A2B76" w:rsidRPr="002A2B76" w:rsidRDefault="002A2B76" w:rsidP="002A2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A2B76" w:rsidTr="002A2B76">
      <w:tc>
        <w:tcPr>
          <w:tcW w:w="3873" w:type="dxa"/>
        </w:tcPr>
        <w:p w:rsidR="002A2B76" w:rsidRDefault="002A2B76" w:rsidP="002A2B76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A6DEA22" wp14:editId="55BBF38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GE.16-01831 (R)</w:t>
          </w:r>
          <w:r>
            <w:rPr>
              <w:color w:val="010000"/>
            </w:rPr>
            <w:t xml:space="preserve">    190216    190216</w:t>
          </w:r>
        </w:p>
        <w:p w:rsidR="002A2B76" w:rsidRPr="002A2B76" w:rsidRDefault="002A2B76" w:rsidP="002A2B7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*1601831*</w:t>
          </w:r>
        </w:p>
      </w:tc>
      <w:tc>
        <w:tcPr>
          <w:tcW w:w="5127" w:type="dxa"/>
        </w:tcPr>
        <w:p w:rsidR="002A2B76" w:rsidRDefault="002A2B76" w:rsidP="002A2B7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679EEA3" wp14:editId="2EC4BB5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2B76" w:rsidRPr="002A2B76" w:rsidRDefault="002A2B76" w:rsidP="002A2B7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E6" w:rsidRPr="003E0D42" w:rsidRDefault="003E0D42" w:rsidP="003E0D42">
      <w:pPr>
        <w:pStyle w:val="Footer"/>
        <w:spacing w:after="80"/>
        <w:ind w:left="792"/>
        <w:rPr>
          <w:sz w:val="16"/>
        </w:rPr>
      </w:pPr>
      <w:r w:rsidRPr="003E0D42">
        <w:rPr>
          <w:sz w:val="16"/>
        </w:rPr>
        <w:t>__________________</w:t>
      </w:r>
    </w:p>
  </w:footnote>
  <w:footnote w:type="continuationSeparator" w:id="0">
    <w:p w:rsidR="00DD10E6" w:rsidRPr="003E0D42" w:rsidRDefault="003E0D42" w:rsidP="003E0D42">
      <w:pPr>
        <w:pStyle w:val="Footer"/>
        <w:spacing w:after="80"/>
        <w:ind w:left="792"/>
        <w:rPr>
          <w:sz w:val="16"/>
        </w:rPr>
      </w:pPr>
      <w:r w:rsidRPr="003E0D42">
        <w:rPr>
          <w:sz w:val="16"/>
        </w:rPr>
        <w:t>__________________</w:t>
      </w:r>
    </w:p>
  </w:footnote>
  <w:footnote w:id="1">
    <w:p w:rsidR="00B82153" w:rsidRPr="00A65E4F" w:rsidRDefault="003E0D42" w:rsidP="00481DE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="00B82153" w:rsidRPr="003E0D42">
        <w:rPr>
          <w:rStyle w:val="FootnoteReference"/>
          <w:vertAlign w:val="baseline"/>
        </w:rPr>
        <w:t>*</w:t>
      </w:r>
      <w:r w:rsidR="00B82153" w:rsidRPr="00A65E4F">
        <w:tab/>
      </w:r>
      <w:r w:rsidR="00B82153" w:rsidRPr="008C55FF">
        <w:rPr>
          <w:szCs w:val="18"/>
        </w:rPr>
        <w:t xml:space="preserve">В соответствии с </w:t>
      </w:r>
      <w:r w:rsidR="00481DE2">
        <w:rPr>
          <w:szCs w:val="18"/>
        </w:rPr>
        <w:t>программой</w:t>
      </w:r>
      <w:r w:rsidR="00B82153" w:rsidRPr="008C55FF">
        <w:rPr>
          <w:szCs w:val="18"/>
        </w:rPr>
        <w:t xml:space="preserve"> работы Комитета по внутреннему транспорту на </w:t>
      </w:r>
      <w:r w:rsidRPr="003E0D42">
        <w:rPr>
          <w:szCs w:val="18"/>
        </w:rPr>
        <w:br/>
      </w:r>
      <w:r w:rsidR="00B82153" w:rsidRPr="008C55FF">
        <w:rPr>
          <w:szCs w:val="18"/>
        </w:rPr>
        <w:t>2014–2018 годы (</w:t>
      </w:r>
      <w:r w:rsidR="00B82153" w:rsidRPr="00F94367">
        <w:rPr>
          <w:szCs w:val="18"/>
          <w:lang w:val="en-US"/>
        </w:rPr>
        <w:t>ECE</w:t>
      </w:r>
      <w:r w:rsidR="00B82153" w:rsidRPr="008C55FF">
        <w:rPr>
          <w:szCs w:val="18"/>
        </w:rPr>
        <w:t>/</w:t>
      </w:r>
      <w:r w:rsidR="00B82153" w:rsidRPr="00F94367">
        <w:rPr>
          <w:szCs w:val="18"/>
          <w:lang w:val="en-US"/>
        </w:rPr>
        <w:t>TRANS</w:t>
      </w:r>
      <w:r w:rsidR="00B82153" w:rsidRPr="008C55FF">
        <w:rPr>
          <w:szCs w:val="18"/>
        </w:rPr>
        <w:t xml:space="preserve">/240, пункт 105, и </w:t>
      </w:r>
      <w:r w:rsidR="00B82153" w:rsidRPr="00F94367">
        <w:rPr>
          <w:szCs w:val="18"/>
          <w:lang w:val="en-US"/>
        </w:rPr>
        <w:t>ECE</w:t>
      </w:r>
      <w:r w:rsidR="00B82153" w:rsidRPr="008C55FF">
        <w:rPr>
          <w:szCs w:val="18"/>
        </w:rPr>
        <w:t>/</w:t>
      </w:r>
      <w:r w:rsidR="00B82153" w:rsidRPr="00F94367">
        <w:rPr>
          <w:szCs w:val="18"/>
          <w:lang w:val="en-US"/>
        </w:rPr>
        <w:t>TRANS</w:t>
      </w:r>
      <w:r w:rsidR="00B82153"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="00B82153" w:rsidRPr="00A65E4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2B76" w:rsidTr="002A2B7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7C56">
            <w:rPr>
              <w:b/>
            </w:rPr>
            <w:t>ECE/TRANS/WP.29/GRSG/2016/5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B76" w:rsidRDefault="002A2B76" w:rsidP="002A2B76">
          <w:pPr>
            <w:pStyle w:val="Header"/>
          </w:pPr>
        </w:p>
      </w:tc>
    </w:tr>
  </w:tbl>
  <w:p w:rsidR="002A2B76" w:rsidRPr="002A2B76" w:rsidRDefault="002A2B76" w:rsidP="002A2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2B76" w:rsidTr="002A2B7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2B76" w:rsidRDefault="002A2B76" w:rsidP="002A2B7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A2B76" w:rsidRPr="002A2B76" w:rsidRDefault="002A2B76" w:rsidP="002A2B7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7C56">
            <w:rPr>
              <w:b/>
            </w:rPr>
            <w:t>ECE/TRANS/WP.29/GRSG/2016/5</w:t>
          </w:r>
          <w:r>
            <w:rPr>
              <w:b/>
            </w:rPr>
            <w:fldChar w:fldCharType="end"/>
          </w:r>
        </w:p>
      </w:tc>
    </w:tr>
  </w:tbl>
  <w:p w:rsidR="002A2B76" w:rsidRPr="002A2B76" w:rsidRDefault="002A2B76" w:rsidP="002A2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A2B76" w:rsidTr="002A2B7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A2B76" w:rsidRPr="002A2B76" w:rsidRDefault="002A2B76" w:rsidP="002A2B7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2B76" w:rsidRDefault="002A2B76" w:rsidP="002A2B7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A2B76" w:rsidRPr="002A2B76" w:rsidRDefault="002A2B76" w:rsidP="002A2B7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/TRANS/WP.29/GRSG/2016/5</w:t>
          </w:r>
        </w:p>
      </w:tc>
    </w:tr>
    <w:tr w:rsidR="002A2B76" w:rsidRPr="00B82153" w:rsidTr="002A2B7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B76" w:rsidRPr="002A2B76" w:rsidRDefault="002A2B76" w:rsidP="002A2B7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DF099A1" wp14:editId="6242742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B76" w:rsidRPr="002A2B76" w:rsidRDefault="002A2B76" w:rsidP="002A2B7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B76" w:rsidRPr="002A2B76" w:rsidRDefault="002A2B76" w:rsidP="002A2B7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B76" w:rsidRPr="00B82153" w:rsidRDefault="002A2B76" w:rsidP="002A2B76">
          <w:pPr>
            <w:pStyle w:val="Distribution"/>
            <w:rPr>
              <w:color w:val="000000"/>
              <w:lang w:val="en-US"/>
            </w:rPr>
          </w:pPr>
          <w:r w:rsidRPr="00B82153">
            <w:rPr>
              <w:color w:val="000000"/>
              <w:lang w:val="en-US"/>
            </w:rPr>
            <w:t>Distr.: General</w:t>
          </w:r>
        </w:p>
        <w:p w:rsidR="002A2B76" w:rsidRPr="00B82153" w:rsidRDefault="002A2B76" w:rsidP="00B82153">
          <w:pPr>
            <w:pStyle w:val="Publication"/>
            <w:rPr>
              <w:color w:val="000000"/>
              <w:lang w:val="en-US"/>
            </w:rPr>
          </w:pPr>
          <w:r w:rsidRPr="00B82153">
            <w:rPr>
              <w:color w:val="000000"/>
              <w:lang w:val="en-US"/>
            </w:rPr>
            <w:t>10 February 2016</w:t>
          </w:r>
        </w:p>
        <w:p w:rsidR="002A2B76" w:rsidRPr="00B82153" w:rsidRDefault="002A2B76" w:rsidP="002A2B76">
          <w:pPr>
            <w:rPr>
              <w:color w:val="000000"/>
              <w:lang w:val="en-US"/>
            </w:rPr>
          </w:pPr>
          <w:r w:rsidRPr="00B82153">
            <w:rPr>
              <w:color w:val="000000"/>
              <w:lang w:val="en-US"/>
            </w:rPr>
            <w:t>Russian</w:t>
          </w:r>
        </w:p>
        <w:p w:rsidR="002A2B76" w:rsidRPr="00B82153" w:rsidRDefault="002A2B76" w:rsidP="002A2B76">
          <w:pPr>
            <w:pStyle w:val="Original"/>
            <w:rPr>
              <w:color w:val="000000"/>
              <w:lang w:val="en-US"/>
            </w:rPr>
          </w:pPr>
          <w:r w:rsidRPr="00B82153">
            <w:rPr>
              <w:color w:val="000000"/>
              <w:lang w:val="en-US"/>
            </w:rPr>
            <w:t>Original: English</w:t>
          </w:r>
        </w:p>
        <w:p w:rsidR="002A2B76" w:rsidRPr="00B82153" w:rsidRDefault="002A2B76" w:rsidP="002A2B76">
          <w:pPr>
            <w:rPr>
              <w:lang w:val="en-US"/>
            </w:rPr>
          </w:pPr>
        </w:p>
      </w:tc>
    </w:tr>
  </w:tbl>
  <w:p w:rsidR="002A2B76" w:rsidRPr="00B82153" w:rsidRDefault="002A2B76" w:rsidP="002A2B7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31*"/>
    <w:docVar w:name="CreationDt" w:val="2/19/2016 4:32: PM"/>
    <w:docVar w:name="DocCategory" w:val="Doc"/>
    <w:docVar w:name="DocType" w:val="Final"/>
    <w:docVar w:name="DutyStation" w:val="Geneva"/>
    <w:docVar w:name="FooterJN" w:val="GE.16-01831"/>
    <w:docVar w:name="jobn" w:val="GE.16-01831 (R)"/>
    <w:docVar w:name="jobnDT" w:val="GE.16-01831 (R)   190216"/>
    <w:docVar w:name="jobnDTDT" w:val="GE.16-01831 (R)   190216   190216"/>
    <w:docVar w:name="JobNo" w:val="GE.1601831R"/>
    <w:docVar w:name="JobNo2" w:val="1602267R"/>
    <w:docVar w:name="LocalDrive" w:val="0"/>
    <w:docVar w:name="OandT" w:val=" "/>
    <w:docVar w:name="PaperSize" w:val="A4"/>
    <w:docVar w:name="sss1" w:val="ECE/TRANS/WP.29/GRSG/2016/5"/>
    <w:docVar w:name="sss2" w:val="-"/>
    <w:docVar w:name="Symbol1" w:val="ECE/TRANS/WP.29/GRSG/2016/5"/>
    <w:docVar w:name="Symbol2" w:val="-"/>
  </w:docVars>
  <w:rsids>
    <w:rsidRoot w:val="00DD10E6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B76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3994"/>
    <w:rsid w:val="003D0825"/>
    <w:rsid w:val="003D2003"/>
    <w:rsid w:val="003D5DA2"/>
    <w:rsid w:val="003E0D4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1DE2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97C56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9F1FF3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2153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10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1EE2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DAD85D-6F26-437B-A5F6-D69590B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B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B7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B7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94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0255-21FB-4E01-B442-B8B70F66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2016-02-19T15:52:00Z</cp:lastPrinted>
  <dcterms:created xsi:type="dcterms:W3CDTF">2016-03-16T08:21:00Z</dcterms:created>
  <dcterms:modified xsi:type="dcterms:W3CDTF">2016-03-16T08:21:00Z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1601831R</vt:lpwstr>
  </property>
  <property fmtid="{D5CDD505-2E9C-101B-9397-08002B2CF9AE}" pid="3" name="ODSRefJobNo">
    <vt:lpwstr>1602267R</vt:lpwstr>
  </property>
  <property fmtid="{D5CDD505-2E9C-101B-9397-08002B2CF9AE}" pid="4" name="Symbol1">
    <vt:lpwstr>ECE/TRANS/WP.29/GRSG/2016/5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190216</vt:lpwstr>
  </property>
</Properties>
</file>