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92373">
            <w:bookmarkStart w:id="0" w:name="_GoBack"/>
            <w:bookmarkEnd w:id="0"/>
          </w:p>
        </w:tc>
        <w:tc>
          <w:tcPr>
            <w:tcW w:w="2268" w:type="dxa"/>
            <w:tcBorders>
              <w:bottom w:val="single" w:sz="4" w:space="0" w:color="auto"/>
            </w:tcBorders>
            <w:vAlign w:val="bottom"/>
          </w:tcPr>
          <w:p w:rsidR="00F35BAF" w:rsidRPr="00DB58B5" w:rsidRDefault="00F35BAF" w:rsidP="00E9237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92373" w:rsidP="00E92373">
            <w:pPr>
              <w:jc w:val="right"/>
            </w:pPr>
            <w:r w:rsidRPr="00E92373">
              <w:rPr>
                <w:sz w:val="40"/>
              </w:rPr>
              <w:t>ECE</w:t>
            </w:r>
            <w:r>
              <w:t>/TRANS/WP.29/GRSG/2016/22</w:t>
            </w:r>
          </w:p>
        </w:tc>
      </w:tr>
      <w:tr w:rsidR="00F35BAF" w:rsidRPr="00DB58B5" w:rsidTr="00E92373">
        <w:trPr>
          <w:trHeight w:hRule="exact" w:val="2835"/>
        </w:trPr>
        <w:tc>
          <w:tcPr>
            <w:tcW w:w="1276" w:type="dxa"/>
            <w:tcBorders>
              <w:top w:val="single" w:sz="4" w:space="0" w:color="auto"/>
              <w:bottom w:val="single" w:sz="12" w:space="0" w:color="auto"/>
            </w:tcBorders>
          </w:tcPr>
          <w:p w:rsidR="00F35BAF" w:rsidRPr="00DB58B5" w:rsidRDefault="00F35BAF" w:rsidP="00E92373">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9237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92373" w:rsidP="00E92373">
            <w:pPr>
              <w:spacing w:before="240"/>
            </w:pPr>
            <w:r>
              <w:t>Distr. générale</w:t>
            </w:r>
          </w:p>
          <w:p w:rsidR="00E92373" w:rsidRDefault="00E92373" w:rsidP="00E92373">
            <w:pPr>
              <w:spacing w:line="240" w:lineRule="exact"/>
            </w:pPr>
            <w:r>
              <w:t>28 juillet 2016</w:t>
            </w:r>
          </w:p>
          <w:p w:rsidR="00E92373" w:rsidRDefault="00E92373" w:rsidP="00E92373">
            <w:pPr>
              <w:spacing w:line="240" w:lineRule="exact"/>
            </w:pPr>
            <w:r>
              <w:t>Français</w:t>
            </w:r>
          </w:p>
          <w:p w:rsidR="00E92373" w:rsidRPr="00DB58B5" w:rsidRDefault="00E92373" w:rsidP="00E9237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92373" w:rsidRDefault="00E92373" w:rsidP="00E92373">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92373" w:rsidRDefault="00E92373" w:rsidP="00E92373">
      <w:pPr>
        <w:spacing w:before="120" w:after="120" w:line="240" w:lineRule="exact"/>
        <w:rPr>
          <w:b/>
        </w:rPr>
      </w:pPr>
      <w:r>
        <w:rPr>
          <w:b/>
        </w:rPr>
        <w:t>Groupe de travail des dispositions générales de sécurité</w:t>
      </w:r>
    </w:p>
    <w:p w:rsidR="00E92373" w:rsidRDefault="00E92373" w:rsidP="00E92373">
      <w:pPr>
        <w:spacing w:before="120" w:line="240" w:lineRule="exact"/>
        <w:rPr>
          <w:b/>
        </w:rPr>
      </w:pPr>
      <w:r>
        <w:rPr>
          <w:b/>
        </w:rPr>
        <w:t>111</w:t>
      </w:r>
      <w:r w:rsidRPr="00365A42">
        <w:rPr>
          <w:b/>
          <w:vertAlign w:val="superscript"/>
        </w:rPr>
        <w:t>e</w:t>
      </w:r>
      <w:r>
        <w:rPr>
          <w:b/>
        </w:rPr>
        <w:t xml:space="preserve"> session</w:t>
      </w:r>
    </w:p>
    <w:p w:rsidR="00E92373" w:rsidRDefault="00E92373" w:rsidP="00E92373">
      <w:pPr>
        <w:spacing w:line="240" w:lineRule="exact"/>
      </w:pPr>
      <w:r>
        <w:t xml:space="preserve">Genève, </w:t>
      </w:r>
      <w:r>
        <w:rPr>
          <w:szCs w:val="24"/>
        </w:rPr>
        <w:t>11-14 octobre</w:t>
      </w:r>
      <w:r w:rsidRPr="00EE5C8E">
        <w:rPr>
          <w:szCs w:val="24"/>
        </w:rPr>
        <w:t xml:space="preserve"> 2016</w:t>
      </w:r>
    </w:p>
    <w:p w:rsidR="00E92373" w:rsidRDefault="00E92373" w:rsidP="00E92373">
      <w:pPr>
        <w:spacing w:line="240" w:lineRule="exact"/>
      </w:pPr>
      <w:r>
        <w:t>Point 9 de l’ordre du jour provisoire</w:t>
      </w:r>
    </w:p>
    <w:p w:rsidR="00E92373" w:rsidRPr="00EE5C8E" w:rsidRDefault="00E92373" w:rsidP="00E92373">
      <w:pPr>
        <w:rPr>
          <w:b/>
          <w:szCs w:val="24"/>
        </w:rPr>
      </w:pPr>
      <w:r w:rsidRPr="00EE5C8E">
        <w:rPr>
          <w:b/>
          <w:szCs w:val="24"/>
        </w:rPr>
        <w:t xml:space="preserve">Règlement </w:t>
      </w:r>
      <w:r w:rsidRPr="000F31C3">
        <w:rPr>
          <w:rFonts w:eastAsia="MS Mincho"/>
          <w:b/>
          <w:szCs w:val="22"/>
        </w:rPr>
        <w:t>n</w:t>
      </w:r>
      <w:r w:rsidRPr="000F31C3">
        <w:rPr>
          <w:rFonts w:eastAsia="MS Mincho"/>
          <w:b/>
          <w:szCs w:val="22"/>
          <w:vertAlign w:val="superscript"/>
        </w:rPr>
        <w:t>o</w:t>
      </w:r>
      <w:r>
        <w:rPr>
          <w:b/>
          <w:szCs w:val="24"/>
        </w:rPr>
        <w:t> </w:t>
      </w:r>
      <w:r w:rsidRPr="00EE5C8E">
        <w:rPr>
          <w:b/>
          <w:szCs w:val="24"/>
        </w:rPr>
        <w:t>110 (Véhicules alimentés au GNC/GNL)</w:t>
      </w:r>
    </w:p>
    <w:p w:rsidR="00E92373" w:rsidRPr="00310A07" w:rsidRDefault="00E92373" w:rsidP="00E92373">
      <w:pPr>
        <w:pStyle w:val="HChG"/>
      </w:pPr>
      <w:r w:rsidRPr="00EE5C8E">
        <w:tab/>
      </w:r>
      <w:r w:rsidRPr="00EE5C8E">
        <w:tab/>
      </w:r>
      <w:r w:rsidRPr="00310A07">
        <w:t xml:space="preserve">Proposition d’amendements au Règlement </w:t>
      </w:r>
      <w:r w:rsidRPr="002D76F4">
        <w:rPr>
          <w:rFonts w:eastAsia="MS Mincho"/>
          <w:szCs w:val="22"/>
        </w:rPr>
        <w:t>n</w:t>
      </w:r>
      <w:r w:rsidRPr="002D76F4">
        <w:rPr>
          <w:rFonts w:eastAsia="MS Mincho"/>
          <w:szCs w:val="22"/>
          <w:vertAlign w:val="superscript"/>
        </w:rPr>
        <w:t>o</w:t>
      </w:r>
      <w:r>
        <w:t> </w:t>
      </w:r>
      <w:r w:rsidRPr="00310A07">
        <w:t>110</w:t>
      </w:r>
      <w:r>
        <w:t xml:space="preserve"> </w:t>
      </w:r>
      <w:r w:rsidRPr="00310A07">
        <w:br/>
        <w:t>(Véhicules alimentés au GNC/GNL)</w:t>
      </w:r>
    </w:p>
    <w:p w:rsidR="00E92373" w:rsidRPr="00753CE5" w:rsidRDefault="00E92373" w:rsidP="00E92373">
      <w:pPr>
        <w:pStyle w:val="H1G"/>
        <w:rPr>
          <w:vertAlign w:val="superscript"/>
        </w:rPr>
      </w:pPr>
      <w:r>
        <w:tab/>
      </w:r>
      <w:r>
        <w:tab/>
      </w:r>
      <w:r w:rsidRPr="00753CE5">
        <w:t>Communication de l’expert de l’Organisation internationale</w:t>
      </w:r>
      <w:r>
        <w:t xml:space="preserve"> </w:t>
      </w:r>
      <w:r>
        <w:br/>
      </w:r>
      <w:r w:rsidRPr="00753CE5">
        <w:t>de normalisation</w:t>
      </w:r>
      <w:r w:rsidRPr="00365A42">
        <w:rPr>
          <w:b w:val="0"/>
          <w:sz w:val="20"/>
        </w:rPr>
        <w:footnoteReference w:customMarkFollows="1" w:id="2"/>
        <w:t>*</w:t>
      </w:r>
    </w:p>
    <w:p w:rsidR="00E92373" w:rsidRPr="007636CC" w:rsidRDefault="00E92373" w:rsidP="00E92373">
      <w:pPr>
        <w:pStyle w:val="SingleTxtG"/>
        <w:ind w:firstLine="567"/>
      </w:pPr>
      <w:r w:rsidRPr="0031355E">
        <w:t>Le texte reproduit ci-après a été établi par l’expert de l’Organisation internationale de normalisation (ISO)</w:t>
      </w:r>
      <w:r>
        <w:t xml:space="preserve"> en vue </w:t>
      </w:r>
      <w:r w:rsidR="009A789A">
        <w:t>d’</w:t>
      </w:r>
      <w:r>
        <w:t xml:space="preserve">harmoniser les prescriptions applicables aux bouteilles pour GNC </w:t>
      </w:r>
      <w:r w:rsidR="009A789A">
        <w:t>d</w:t>
      </w:r>
      <w:r w:rsidR="009A789A" w:rsidRPr="00310A07">
        <w:t xml:space="preserve">u Règlement </w:t>
      </w:r>
      <w:r w:rsidR="009A789A" w:rsidRPr="002D76F4">
        <w:rPr>
          <w:rFonts w:eastAsia="MS Mincho"/>
          <w:szCs w:val="22"/>
        </w:rPr>
        <w:t>n</w:t>
      </w:r>
      <w:r w:rsidR="009A789A" w:rsidRPr="002D76F4">
        <w:rPr>
          <w:rFonts w:eastAsia="MS Mincho"/>
          <w:szCs w:val="22"/>
          <w:vertAlign w:val="superscript"/>
        </w:rPr>
        <w:t>o</w:t>
      </w:r>
      <w:r w:rsidR="009A789A">
        <w:t> </w:t>
      </w:r>
      <w:r w:rsidR="009A789A" w:rsidRPr="00310A07">
        <w:t>110</w:t>
      </w:r>
      <w:r w:rsidR="009A789A">
        <w:t xml:space="preserve"> </w:t>
      </w:r>
      <w:r>
        <w:t xml:space="preserve">avec celles de la norme </w:t>
      </w:r>
      <w:r w:rsidRPr="00310A07">
        <w:t>ISO</w:t>
      </w:r>
      <w:r w:rsidR="008E5EF6">
        <w:t> </w:t>
      </w:r>
      <w:r w:rsidRPr="00310A07">
        <w:t>11439:2013</w:t>
      </w:r>
      <w:r w:rsidR="008E5EF6">
        <w:t>. Il s’inspire principalement du document ECE/TRANS/WP.29/GRSG/2016/6 qui intègre les observations formulées</w:t>
      </w:r>
      <w:r w:rsidR="009A789A">
        <w:t xml:space="preserve"> </w:t>
      </w:r>
      <w:r>
        <w:t xml:space="preserve">lors de la </w:t>
      </w:r>
      <w:r w:rsidRPr="00310A07">
        <w:t>1</w:t>
      </w:r>
      <w:r w:rsidR="009A789A">
        <w:t>1</w:t>
      </w:r>
      <w:r w:rsidRPr="00310A07">
        <w:t>0</w:t>
      </w:r>
      <w:r w:rsidRPr="00310A07">
        <w:rPr>
          <w:vertAlign w:val="superscript"/>
        </w:rPr>
        <w:t>e</w:t>
      </w:r>
      <w:r>
        <w:t> </w:t>
      </w:r>
      <w:r w:rsidRPr="00310A07">
        <w:t xml:space="preserve">session </w:t>
      </w:r>
      <w:r>
        <w:t xml:space="preserve">du </w:t>
      </w:r>
      <w:r w:rsidRPr="00310A07">
        <w:t>Groupe de travail des dispositions générales de sécurité</w:t>
      </w:r>
      <w:r>
        <w:t xml:space="preserve"> </w:t>
      </w:r>
      <w:r w:rsidRPr="00310A07">
        <w:t>(GRSG) (voir rapport ECE/TRANS/WP.29/GRSG/8</w:t>
      </w:r>
      <w:r w:rsidR="008E5EF6">
        <w:t>9</w:t>
      </w:r>
      <w:r w:rsidRPr="00310A07">
        <w:t xml:space="preserve">, </w:t>
      </w:r>
      <w:r>
        <w:t>par. </w:t>
      </w:r>
      <w:r w:rsidRPr="00310A07">
        <w:t>3</w:t>
      </w:r>
      <w:r w:rsidR="008E5EF6">
        <w:t>3 et 34</w:t>
      </w:r>
      <w:r w:rsidRPr="00310A07">
        <w:t xml:space="preserve">). </w:t>
      </w:r>
      <w:r>
        <w:t>Les modifications qu</w:t>
      </w:r>
      <w:r w:rsidRPr="007636CC">
        <w:t>’</w:t>
      </w:r>
      <w:r>
        <w:t>il est proposé d</w:t>
      </w:r>
      <w:r w:rsidRPr="007636CC">
        <w:t>’</w:t>
      </w:r>
      <w:r>
        <w:t xml:space="preserve">apporter au texte actuel du Règlement </w:t>
      </w:r>
      <w:r w:rsidRPr="002D76F4">
        <w:rPr>
          <w:rFonts w:eastAsia="MS Mincho"/>
          <w:szCs w:val="22"/>
        </w:rPr>
        <w:t>n</w:t>
      </w:r>
      <w:r w:rsidRPr="002D76F4">
        <w:rPr>
          <w:rFonts w:eastAsia="MS Mincho"/>
          <w:szCs w:val="22"/>
          <w:vertAlign w:val="superscript"/>
        </w:rPr>
        <w:t>o</w:t>
      </w:r>
      <w:r>
        <w:t xml:space="preserve"> 110 </w:t>
      </w:r>
      <w:r w:rsidRPr="007636CC">
        <w:t>apparaissent en caractères gras</w:t>
      </w:r>
      <w:r>
        <w:t>.</w:t>
      </w:r>
    </w:p>
    <w:p w:rsidR="00E92373" w:rsidRPr="003130F9" w:rsidRDefault="00E92373" w:rsidP="00E92373">
      <w:pPr>
        <w:pStyle w:val="HChG"/>
      </w:pPr>
      <w:r w:rsidRPr="007636CC">
        <w:br w:type="page"/>
      </w:r>
      <w:r>
        <w:lastRenderedPageBreak/>
        <w:tab/>
      </w:r>
      <w:r w:rsidRPr="003130F9">
        <w:t>I.</w:t>
      </w:r>
      <w:r w:rsidRPr="003130F9">
        <w:tab/>
        <w:t>Proposition</w:t>
      </w:r>
    </w:p>
    <w:p w:rsidR="00E92373" w:rsidRPr="00FD13FD" w:rsidRDefault="00E92373" w:rsidP="00E92373">
      <w:pPr>
        <w:pStyle w:val="SingleTxtG"/>
        <w:rPr>
          <w:i/>
        </w:rPr>
      </w:pPr>
      <w:r w:rsidRPr="003130F9">
        <w:rPr>
          <w:i/>
        </w:rPr>
        <w:t xml:space="preserve">Paragraphe 2. </w:t>
      </w:r>
      <w:r w:rsidRPr="00FD13FD">
        <w:rPr>
          <w:i/>
        </w:rPr>
        <w:t>(Références)</w:t>
      </w:r>
      <w:r w:rsidRPr="00D96F0B">
        <w:t>,</w:t>
      </w:r>
      <w:r w:rsidRPr="00FD13FD">
        <w:rPr>
          <w:i/>
        </w:rPr>
        <w:t xml:space="preserve"> </w:t>
      </w:r>
      <w:r w:rsidRPr="00FD13FD">
        <w:t>modifier comme suit (en gardant la note de bas de page</w:t>
      </w:r>
      <w:r w:rsidRPr="00FD13FD">
        <w:rPr>
          <w:vertAlign w:val="superscript"/>
        </w:rPr>
        <w:t>2</w:t>
      </w:r>
      <w:r w:rsidRPr="00FD13FD">
        <w:t xml:space="preserve"> </w:t>
      </w:r>
      <w:r>
        <w:t>inchangée</w:t>
      </w:r>
      <w:r w:rsidRPr="00FD13FD">
        <w:t>, en supprimant la note de bas de page</w:t>
      </w:r>
      <w:r w:rsidRPr="00FD13FD">
        <w:rPr>
          <w:vertAlign w:val="superscript"/>
        </w:rPr>
        <w:t>3</w:t>
      </w:r>
      <w:r w:rsidRPr="00FD13FD">
        <w:t xml:space="preserve"> </w:t>
      </w:r>
      <w:r>
        <w:t>et en renumérotant toutes les notes suivantes</w:t>
      </w:r>
      <w:r w:rsidRPr="00FD13FD">
        <w:t>)</w:t>
      </w:r>
      <w:r>
        <w:t> :</w:t>
      </w:r>
    </w:p>
    <w:p w:rsidR="00E92373" w:rsidRPr="003130F9" w:rsidRDefault="00E92373" w:rsidP="00E92373">
      <w:pPr>
        <w:pStyle w:val="HChG"/>
        <w:ind w:left="2268"/>
      </w:pPr>
      <w:r w:rsidRPr="00212827">
        <w:rPr>
          <w:b w:val="0"/>
          <w:sz w:val="20"/>
        </w:rPr>
        <w:t>«</w:t>
      </w:r>
      <w:r>
        <w:t> </w:t>
      </w:r>
      <w:r w:rsidRPr="003130F9">
        <w:t>2.</w:t>
      </w:r>
      <w:r w:rsidRPr="003130F9">
        <w:tab/>
        <w:t>Références</w:t>
      </w:r>
    </w:p>
    <w:p w:rsidR="00E92373" w:rsidRPr="00923CBB" w:rsidRDefault="00E92373" w:rsidP="00E92373">
      <w:pPr>
        <w:pStyle w:val="SingleTxtG"/>
        <w:ind w:left="2268"/>
      </w:pPr>
      <w:r w:rsidRPr="00923CBB">
        <w:t>Les normes suivantes contiennent des dispositions qui, par</w:t>
      </w:r>
      <w:r w:rsidR="008E5EF6">
        <w:t>ce que le type y</w:t>
      </w:r>
      <w:r w:rsidR="001524AD">
        <w:t> </w:t>
      </w:r>
      <w:r w:rsidR="008E5EF6">
        <w:t>renvoie</w:t>
      </w:r>
      <w:r w:rsidRPr="00923CBB">
        <w:t>, constituent des dispositions valables pour le présent Règlement.</w:t>
      </w:r>
    </w:p>
    <w:p w:rsidR="00E92373" w:rsidRPr="00753CE5" w:rsidRDefault="00E92373" w:rsidP="00E92373">
      <w:pPr>
        <w:pStyle w:val="SingleTxtG"/>
        <w:spacing w:after="100"/>
        <w:ind w:left="2268"/>
        <w:rPr>
          <w:lang w:val="en-GB"/>
        </w:rPr>
      </w:pPr>
      <w:r w:rsidRPr="00923CBB">
        <w:rPr>
          <w:lang w:val="en-GB"/>
        </w:rPr>
        <w:t>Normes ASTM</w:t>
      </w:r>
      <w:r w:rsidRPr="00753CE5">
        <w:rPr>
          <w:vertAlign w:val="superscript"/>
          <w:lang w:val="en-GB"/>
        </w:rPr>
        <w:t>2</w:t>
      </w:r>
    </w:p>
    <w:p w:rsidR="00E92373" w:rsidRPr="00753CE5" w:rsidRDefault="00E92373" w:rsidP="00E92373">
      <w:pPr>
        <w:pStyle w:val="SingleTxtG"/>
        <w:spacing w:after="100"/>
        <w:ind w:left="4536" w:hanging="2268"/>
        <w:rPr>
          <w:szCs w:val="24"/>
          <w:lang w:val="en-GB"/>
        </w:rPr>
      </w:pPr>
      <w:r w:rsidRPr="00753CE5">
        <w:rPr>
          <w:szCs w:val="24"/>
          <w:lang w:val="en-GB"/>
        </w:rPr>
        <w:t>ASTM D522-9</w:t>
      </w:r>
      <w:r w:rsidRPr="00753CE5">
        <w:rPr>
          <w:b/>
          <w:szCs w:val="24"/>
          <w:lang w:val="en-GB"/>
        </w:rPr>
        <w:t>3a</w:t>
      </w:r>
      <w:r w:rsidRPr="00753CE5">
        <w:rPr>
          <w:b/>
          <w:szCs w:val="24"/>
          <w:lang w:val="en-GB"/>
        </w:rPr>
        <w:tab/>
      </w:r>
      <w:r w:rsidRPr="00753CE5">
        <w:rPr>
          <w:szCs w:val="24"/>
          <w:lang w:val="en-GB"/>
        </w:rPr>
        <w:t xml:space="preserve">Mandrel Bend Test of </w:t>
      </w:r>
      <w:r w:rsidRPr="00753CE5">
        <w:rPr>
          <w:b/>
          <w:szCs w:val="24"/>
          <w:lang w:val="en-GB"/>
        </w:rPr>
        <w:t>A</w:t>
      </w:r>
      <w:r w:rsidRPr="00753CE5">
        <w:rPr>
          <w:szCs w:val="24"/>
          <w:lang w:val="en-GB"/>
        </w:rPr>
        <w:t>ttached Organic Coatings</w:t>
      </w:r>
    </w:p>
    <w:p w:rsidR="00E92373" w:rsidRPr="00753CE5" w:rsidRDefault="00E92373" w:rsidP="00E92373">
      <w:pPr>
        <w:pStyle w:val="SingleTxtG"/>
        <w:spacing w:after="100"/>
        <w:ind w:left="4536" w:hanging="2268"/>
        <w:rPr>
          <w:szCs w:val="24"/>
          <w:lang w:val="en-GB"/>
        </w:rPr>
      </w:pPr>
      <w:r w:rsidRPr="00753CE5">
        <w:rPr>
          <w:szCs w:val="24"/>
          <w:lang w:val="en-GB"/>
        </w:rPr>
        <w:t>ASTM D1308-87</w:t>
      </w:r>
      <w:r w:rsidRPr="00753CE5">
        <w:rPr>
          <w:szCs w:val="24"/>
          <w:lang w:val="en-GB"/>
        </w:rPr>
        <w:tab/>
        <w:t>Effect of Household Chemicals on Clear and Pigmented Organic Finishes</w:t>
      </w:r>
    </w:p>
    <w:p w:rsidR="00E92373" w:rsidRPr="00753CE5" w:rsidRDefault="00E92373" w:rsidP="00E92373">
      <w:pPr>
        <w:pStyle w:val="SingleTxtG"/>
        <w:spacing w:after="100"/>
        <w:ind w:left="4536" w:hanging="2268"/>
        <w:rPr>
          <w:szCs w:val="24"/>
          <w:lang w:val="en-GB"/>
        </w:rPr>
      </w:pPr>
      <w:r w:rsidRPr="00753CE5">
        <w:rPr>
          <w:szCs w:val="24"/>
          <w:lang w:val="en-GB"/>
        </w:rPr>
        <w:t>ASTM D2794-9</w:t>
      </w:r>
      <w:r w:rsidRPr="00753CE5">
        <w:rPr>
          <w:b/>
          <w:szCs w:val="24"/>
          <w:lang w:val="en-GB"/>
        </w:rPr>
        <w:t>3</w:t>
      </w:r>
      <w:r w:rsidRPr="00753CE5">
        <w:rPr>
          <w:szCs w:val="24"/>
          <w:lang w:val="en-GB"/>
        </w:rPr>
        <w:tab/>
        <w:t>Test Method for Resistance of Organic Coatings to the Effects of Rapid Deformation (Impact)</w:t>
      </w:r>
    </w:p>
    <w:p w:rsidR="00E92373" w:rsidRPr="00753CE5" w:rsidRDefault="00E92373" w:rsidP="00E92373">
      <w:pPr>
        <w:pStyle w:val="SingleTxtG"/>
        <w:spacing w:after="100"/>
        <w:ind w:left="4536" w:hanging="2268"/>
        <w:rPr>
          <w:szCs w:val="24"/>
          <w:lang w:val="en-GB"/>
        </w:rPr>
      </w:pPr>
      <w:r w:rsidRPr="00753CE5">
        <w:rPr>
          <w:szCs w:val="24"/>
          <w:lang w:val="en-GB"/>
        </w:rPr>
        <w:t>ASTM D3170-87</w:t>
      </w:r>
      <w:r w:rsidRPr="00753CE5">
        <w:rPr>
          <w:szCs w:val="24"/>
          <w:lang w:val="en-GB"/>
        </w:rPr>
        <w:tab/>
        <w:t>Chipping Resistance of Coatings</w:t>
      </w:r>
    </w:p>
    <w:p w:rsidR="00E92373" w:rsidRPr="00753CE5" w:rsidRDefault="00E92373" w:rsidP="00E92373">
      <w:pPr>
        <w:pStyle w:val="SingleTxtG"/>
        <w:spacing w:after="100"/>
        <w:ind w:left="4536" w:hanging="2268"/>
        <w:rPr>
          <w:b/>
          <w:szCs w:val="24"/>
          <w:lang w:val="en-GB"/>
        </w:rPr>
      </w:pPr>
      <w:r w:rsidRPr="00753CE5">
        <w:rPr>
          <w:b/>
          <w:szCs w:val="24"/>
          <w:lang w:val="en-GB"/>
        </w:rPr>
        <w:t>ASTM D3359</w:t>
      </w:r>
      <w:r w:rsidRPr="00753CE5">
        <w:rPr>
          <w:b/>
          <w:szCs w:val="24"/>
          <w:lang w:val="en-GB"/>
        </w:rPr>
        <w:tab/>
        <w:t>Standard Test Methods for Measuring Adhesion by Tape Test</w:t>
      </w:r>
    </w:p>
    <w:p w:rsidR="00E92373" w:rsidRPr="00753CE5" w:rsidRDefault="00E92373" w:rsidP="00E92373">
      <w:pPr>
        <w:pStyle w:val="SingleTxtG"/>
        <w:spacing w:after="100"/>
        <w:ind w:left="4536" w:hanging="2268"/>
        <w:rPr>
          <w:b/>
          <w:szCs w:val="24"/>
          <w:lang w:val="en-GB"/>
        </w:rPr>
      </w:pPr>
      <w:r w:rsidRPr="00753CE5">
        <w:rPr>
          <w:b/>
          <w:szCs w:val="24"/>
          <w:lang w:val="en-GB"/>
        </w:rPr>
        <w:t>ASTM D4814</w:t>
      </w:r>
      <w:r w:rsidRPr="00753CE5">
        <w:rPr>
          <w:b/>
          <w:szCs w:val="24"/>
          <w:lang w:val="en-GB"/>
        </w:rPr>
        <w:tab/>
        <w:t>Standard Specification for Automotive Spark-Ignition Engine Fuel</w:t>
      </w:r>
    </w:p>
    <w:p w:rsidR="00E92373" w:rsidRPr="00753CE5" w:rsidRDefault="00E92373" w:rsidP="00E92373">
      <w:pPr>
        <w:pStyle w:val="SingleTxtG"/>
        <w:spacing w:after="100"/>
        <w:ind w:left="4536" w:hanging="2268"/>
        <w:rPr>
          <w:szCs w:val="24"/>
          <w:lang w:val="en-GB"/>
        </w:rPr>
      </w:pPr>
      <w:r w:rsidRPr="00753CE5">
        <w:rPr>
          <w:szCs w:val="24"/>
          <w:lang w:val="en-GB"/>
        </w:rPr>
        <w:t>ASTM D3418</w:t>
      </w:r>
      <w:r w:rsidRPr="00753CE5">
        <w:rPr>
          <w:szCs w:val="24"/>
          <w:lang w:val="en-GB"/>
        </w:rPr>
        <w:tab/>
        <w:t>Test Method for Transition Temperatures Polymers by Thermal Analysis</w:t>
      </w:r>
    </w:p>
    <w:p w:rsidR="00E92373" w:rsidRPr="00753CE5" w:rsidRDefault="00E92373" w:rsidP="00E92373">
      <w:pPr>
        <w:pStyle w:val="SingleTxtG"/>
        <w:spacing w:after="100"/>
        <w:ind w:left="4536" w:hanging="2268"/>
        <w:rPr>
          <w:b/>
          <w:szCs w:val="24"/>
          <w:lang w:val="en-GB"/>
        </w:rPr>
      </w:pPr>
      <w:r w:rsidRPr="00753CE5">
        <w:rPr>
          <w:b/>
          <w:szCs w:val="24"/>
          <w:lang w:val="en-GB"/>
        </w:rPr>
        <w:t>ASTM G154-12a</w:t>
      </w:r>
      <w:r w:rsidRPr="00753CE5">
        <w:rPr>
          <w:b/>
          <w:szCs w:val="24"/>
          <w:lang w:val="en-GB"/>
        </w:rPr>
        <w:tab/>
        <w:t>Standard Practice for Operating Fluorescent Light Apparatus for UV Exposure of Nonmetallic Materials</w:t>
      </w:r>
    </w:p>
    <w:p w:rsidR="00E92373" w:rsidRPr="006705FA" w:rsidRDefault="00E92373" w:rsidP="00E92373">
      <w:pPr>
        <w:pStyle w:val="SingleTxtG"/>
        <w:spacing w:after="100"/>
        <w:ind w:left="3969" w:hanging="1701"/>
        <w:rPr>
          <w:szCs w:val="24"/>
        </w:rPr>
      </w:pPr>
      <w:r w:rsidRPr="006705FA">
        <w:rPr>
          <w:szCs w:val="24"/>
        </w:rPr>
        <w:t>Normes EN</w:t>
      </w:r>
      <w:r w:rsidRPr="006705FA">
        <w:rPr>
          <w:szCs w:val="24"/>
          <w:vertAlign w:val="superscript"/>
        </w:rPr>
        <w:t>3</w:t>
      </w:r>
    </w:p>
    <w:p w:rsidR="00E92373" w:rsidRPr="000F45D1" w:rsidRDefault="00E92373" w:rsidP="00E92373">
      <w:pPr>
        <w:spacing w:after="100"/>
        <w:ind w:left="4536" w:right="1134" w:hanging="2268"/>
        <w:rPr>
          <w:szCs w:val="24"/>
        </w:rPr>
      </w:pPr>
      <w:r w:rsidRPr="000F45D1">
        <w:rPr>
          <w:szCs w:val="24"/>
        </w:rPr>
        <w:t>EN1251-2 2000</w:t>
      </w:r>
      <w:r w:rsidRPr="000F45D1">
        <w:rPr>
          <w:szCs w:val="24"/>
        </w:rPr>
        <w:tab/>
        <w:t>Récipients cryogéniques − Récipients transportables, isolés sous vide, d’un volume n’excédant pas 1</w:t>
      </w:r>
      <w:r>
        <w:rPr>
          <w:szCs w:val="24"/>
        </w:rPr>
        <w:t> </w:t>
      </w:r>
      <w:r w:rsidRPr="000F45D1">
        <w:rPr>
          <w:szCs w:val="24"/>
        </w:rPr>
        <w:t xml:space="preserve">000 litres </w:t>
      </w:r>
    </w:p>
    <w:p w:rsidR="00E92373" w:rsidRPr="00FA1D45" w:rsidRDefault="00E92373" w:rsidP="00E92373">
      <w:pPr>
        <w:spacing w:after="100"/>
        <w:ind w:left="4536" w:right="1134" w:hanging="2268"/>
        <w:rPr>
          <w:szCs w:val="24"/>
        </w:rPr>
      </w:pPr>
      <w:r w:rsidRPr="00FA1D45">
        <w:rPr>
          <w:szCs w:val="24"/>
        </w:rPr>
        <w:t>Normes ISO</w:t>
      </w:r>
      <w:r w:rsidRPr="00FA1D45">
        <w:rPr>
          <w:szCs w:val="24"/>
          <w:vertAlign w:val="superscript"/>
        </w:rPr>
        <w:t>4</w:t>
      </w:r>
    </w:p>
    <w:p w:rsidR="00E92373" w:rsidRPr="00FA1D45" w:rsidRDefault="00E92373" w:rsidP="00E92373">
      <w:pPr>
        <w:spacing w:after="100"/>
        <w:ind w:left="4536" w:right="1134" w:hanging="2268"/>
        <w:rPr>
          <w:szCs w:val="24"/>
        </w:rPr>
      </w:pPr>
      <w:r w:rsidRPr="00FA1D45">
        <w:rPr>
          <w:szCs w:val="24"/>
        </w:rPr>
        <w:t>ISO 37</w:t>
      </w:r>
      <w:r w:rsidRPr="00FA1D45">
        <w:rPr>
          <w:szCs w:val="24"/>
        </w:rPr>
        <w:tab/>
        <w:t>Caoutchouc vulcanisé ou thermoplastique − Détermination des caractéristiques de contrainte-déformation en traction.</w:t>
      </w:r>
    </w:p>
    <w:p w:rsidR="00E92373" w:rsidRPr="00FA1D45" w:rsidRDefault="00E92373" w:rsidP="00E92373">
      <w:pPr>
        <w:spacing w:after="100"/>
        <w:ind w:left="4536" w:right="1134" w:hanging="2268"/>
        <w:rPr>
          <w:b/>
          <w:szCs w:val="24"/>
        </w:rPr>
      </w:pPr>
      <w:r w:rsidRPr="00FA1D45">
        <w:rPr>
          <w:b/>
          <w:szCs w:val="24"/>
        </w:rPr>
        <w:t>ISO 148-1</w:t>
      </w:r>
      <w:r w:rsidRPr="00FA1D45">
        <w:rPr>
          <w:b/>
          <w:szCs w:val="24"/>
        </w:rPr>
        <w:tab/>
        <w:t xml:space="preserve">Matériaux métalliques </w:t>
      </w:r>
      <w:r>
        <w:rPr>
          <w:b/>
          <w:szCs w:val="24"/>
        </w:rPr>
        <w:t>−</w:t>
      </w:r>
      <w:r w:rsidRPr="00FA1D45">
        <w:rPr>
          <w:b/>
          <w:szCs w:val="24"/>
        </w:rPr>
        <w:t xml:space="preserve"> Essai de flexion par choc sur éprouvette Charpy </w:t>
      </w:r>
      <w:r>
        <w:rPr>
          <w:b/>
          <w:szCs w:val="24"/>
        </w:rPr>
        <w:t>−</w:t>
      </w:r>
      <w:r w:rsidRPr="00FA1D45">
        <w:rPr>
          <w:b/>
          <w:szCs w:val="24"/>
        </w:rPr>
        <w:t xml:space="preserve"> Partie 1</w:t>
      </w:r>
      <w:r>
        <w:rPr>
          <w:b/>
          <w:szCs w:val="24"/>
        </w:rPr>
        <w:t> :</w:t>
      </w:r>
      <w:r w:rsidRPr="00FA1D45">
        <w:rPr>
          <w:b/>
          <w:szCs w:val="24"/>
        </w:rPr>
        <w:t xml:space="preserve"> Méthode d</w:t>
      </w:r>
      <w:r>
        <w:rPr>
          <w:b/>
          <w:szCs w:val="24"/>
        </w:rPr>
        <w:t>’</w:t>
      </w:r>
      <w:r w:rsidRPr="00FA1D45">
        <w:rPr>
          <w:b/>
          <w:szCs w:val="24"/>
        </w:rPr>
        <w:t>essai</w:t>
      </w:r>
    </w:p>
    <w:p w:rsidR="00E92373" w:rsidRPr="004F0581" w:rsidRDefault="00E92373" w:rsidP="00E92373">
      <w:pPr>
        <w:spacing w:after="100"/>
        <w:ind w:left="4536" w:right="1134" w:hanging="2268"/>
        <w:rPr>
          <w:szCs w:val="24"/>
        </w:rPr>
      </w:pPr>
      <w:r w:rsidRPr="004F0581">
        <w:rPr>
          <w:szCs w:val="24"/>
        </w:rPr>
        <w:t>ISO 306-1987</w:t>
      </w:r>
      <w:r w:rsidRPr="004F0581">
        <w:rPr>
          <w:szCs w:val="24"/>
        </w:rPr>
        <w:tab/>
        <w:t>Plastiques − Matières thermoplastiques − Détermination de la température de ramollissement Vicat (VST)</w:t>
      </w:r>
    </w:p>
    <w:p w:rsidR="00E92373" w:rsidRPr="00F175D2" w:rsidRDefault="00E92373" w:rsidP="00E92373">
      <w:pPr>
        <w:spacing w:after="120"/>
        <w:ind w:left="4536" w:right="1134" w:hanging="2268"/>
        <w:rPr>
          <w:b/>
          <w:szCs w:val="24"/>
        </w:rPr>
      </w:pPr>
      <w:r w:rsidRPr="00F175D2">
        <w:rPr>
          <w:b/>
          <w:szCs w:val="24"/>
        </w:rPr>
        <w:t>ISO 527-2</w:t>
      </w:r>
      <w:r w:rsidRPr="00F175D2">
        <w:rPr>
          <w:b/>
          <w:szCs w:val="24"/>
        </w:rPr>
        <w:tab/>
        <w:t xml:space="preserve">Plastiques </w:t>
      </w:r>
      <w:r>
        <w:rPr>
          <w:b/>
          <w:szCs w:val="24"/>
        </w:rPr>
        <w:t>−</w:t>
      </w:r>
      <w:r w:rsidRPr="00F175D2">
        <w:rPr>
          <w:b/>
          <w:szCs w:val="24"/>
        </w:rPr>
        <w:t xml:space="preserve"> Détermination des propriétés en traction </w:t>
      </w:r>
      <w:r>
        <w:rPr>
          <w:b/>
          <w:szCs w:val="24"/>
        </w:rPr>
        <w:t>−</w:t>
      </w:r>
      <w:r w:rsidRPr="00F175D2">
        <w:rPr>
          <w:b/>
          <w:szCs w:val="24"/>
        </w:rPr>
        <w:t xml:space="preserve"> Partie 2</w:t>
      </w:r>
      <w:r>
        <w:rPr>
          <w:b/>
          <w:szCs w:val="24"/>
        </w:rPr>
        <w:t> :</w:t>
      </w:r>
      <w:r w:rsidRPr="00F175D2">
        <w:rPr>
          <w:b/>
          <w:szCs w:val="24"/>
        </w:rPr>
        <w:t xml:space="preserve"> Conditions d</w:t>
      </w:r>
      <w:r>
        <w:rPr>
          <w:b/>
          <w:szCs w:val="24"/>
        </w:rPr>
        <w:t>’</w:t>
      </w:r>
      <w:r w:rsidRPr="00F175D2">
        <w:rPr>
          <w:b/>
          <w:szCs w:val="24"/>
        </w:rPr>
        <w:t>essai des plastiques pour moulage et extrusion</w:t>
      </w:r>
    </w:p>
    <w:p w:rsidR="00E92373" w:rsidRPr="00F175D2" w:rsidRDefault="00E92373" w:rsidP="00E92373">
      <w:pPr>
        <w:spacing w:after="120"/>
        <w:ind w:left="4536" w:right="1134" w:hanging="2268"/>
        <w:rPr>
          <w:b/>
          <w:szCs w:val="24"/>
        </w:rPr>
      </w:pPr>
      <w:r w:rsidRPr="00F175D2">
        <w:rPr>
          <w:b/>
          <w:szCs w:val="24"/>
        </w:rPr>
        <w:lastRenderedPageBreak/>
        <w:t>ISO 9227</w:t>
      </w:r>
      <w:r w:rsidRPr="00F175D2">
        <w:rPr>
          <w:b/>
          <w:szCs w:val="24"/>
        </w:rPr>
        <w:tab/>
        <w:t xml:space="preserve">Essais de corrosion en atmosphères artificielles </w:t>
      </w:r>
      <w:r>
        <w:rPr>
          <w:b/>
          <w:szCs w:val="24"/>
        </w:rPr>
        <w:t>−</w:t>
      </w:r>
      <w:r w:rsidRPr="00F175D2">
        <w:rPr>
          <w:b/>
          <w:szCs w:val="24"/>
        </w:rPr>
        <w:t xml:space="preserve"> Essais aux brouillards salins</w:t>
      </w:r>
    </w:p>
    <w:p w:rsidR="00E92373" w:rsidRPr="00F175D2" w:rsidRDefault="00E92373" w:rsidP="00E92373">
      <w:pPr>
        <w:spacing w:after="120"/>
        <w:ind w:left="4536" w:right="1134" w:hanging="2268"/>
        <w:rPr>
          <w:szCs w:val="24"/>
        </w:rPr>
      </w:pPr>
      <w:r w:rsidRPr="00F175D2">
        <w:rPr>
          <w:szCs w:val="24"/>
        </w:rPr>
        <w:t>ISO 1307</w:t>
      </w:r>
      <w:r w:rsidRPr="00F175D2">
        <w:rPr>
          <w:szCs w:val="24"/>
        </w:rPr>
        <w:tab/>
        <w:t xml:space="preserve">Tuyaux en caoutchouc et en plastique − Dimensions des tuyaux, diamètres intérieurs minimaux et maximaux, et tolérances sur la longueur de coupe </w:t>
      </w:r>
    </w:p>
    <w:p w:rsidR="00E92373" w:rsidRPr="00F175D2" w:rsidRDefault="00E92373" w:rsidP="00E92373">
      <w:pPr>
        <w:spacing w:after="120"/>
        <w:ind w:left="4536" w:right="1134" w:hanging="2268"/>
        <w:rPr>
          <w:szCs w:val="24"/>
        </w:rPr>
      </w:pPr>
      <w:r w:rsidRPr="00F175D2">
        <w:rPr>
          <w:szCs w:val="24"/>
        </w:rPr>
        <w:t>ISO 1402</w:t>
      </w:r>
      <w:r w:rsidRPr="00F175D2">
        <w:rPr>
          <w:szCs w:val="24"/>
        </w:rPr>
        <w:tab/>
        <w:t xml:space="preserve">Tuyaux et flexibles en caoutchouc et en plastique − Essais hydrostatiques </w:t>
      </w:r>
    </w:p>
    <w:p w:rsidR="00E92373" w:rsidRPr="00F175D2" w:rsidRDefault="00E92373" w:rsidP="00E92373">
      <w:pPr>
        <w:spacing w:after="120"/>
        <w:ind w:left="4536" w:right="1134" w:hanging="2268"/>
        <w:rPr>
          <w:b/>
          <w:szCs w:val="24"/>
        </w:rPr>
      </w:pPr>
      <w:r w:rsidRPr="00F175D2">
        <w:rPr>
          <w:b/>
          <w:szCs w:val="24"/>
        </w:rPr>
        <w:t>ISO 14130</w:t>
      </w:r>
      <w:r w:rsidRPr="00F175D2">
        <w:rPr>
          <w:b/>
          <w:szCs w:val="24"/>
        </w:rPr>
        <w:tab/>
        <w:t xml:space="preserve">Composites plastiques renforcés de fibres </w:t>
      </w:r>
      <w:r>
        <w:rPr>
          <w:b/>
          <w:szCs w:val="24"/>
        </w:rPr>
        <w:t>−</w:t>
      </w:r>
      <w:r w:rsidRPr="00F175D2">
        <w:rPr>
          <w:b/>
          <w:szCs w:val="24"/>
        </w:rPr>
        <w:t xml:space="preserve"> Détermination de la résistance au cisaillement interlaminaire apparent par essai de flexion sur appuis rapprochés</w:t>
      </w:r>
    </w:p>
    <w:p w:rsidR="00E92373" w:rsidRPr="00F175D2" w:rsidRDefault="00E92373" w:rsidP="00E92373">
      <w:pPr>
        <w:spacing w:after="120"/>
        <w:ind w:left="4536" w:right="1134" w:hanging="2268"/>
        <w:rPr>
          <w:szCs w:val="24"/>
        </w:rPr>
      </w:pPr>
      <w:r w:rsidRPr="00F175D2">
        <w:rPr>
          <w:szCs w:val="24"/>
        </w:rPr>
        <w:t>ISO 1431</w:t>
      </w:r>
      <w:r w:rsidRPr="00F175D2">
        <w:rPr>
          <w:szCs w:val="24"/>
        </w:rPr>
        <w:tab/>
        <w:t xml:space="preserve">Caoutchouc vulcanisé ou thermoplastique − Résistance au craquelage par l’ozone </w:t>
      </w:r>
    </w:p>
    <w:p w:rsidR="00E92373" w:rsidRPr="00784B78" w:rsidRDefault="00E92373" w:rsidP="00E92373">
      <w:pPr>
        <w:spacing w:after="120"/>
        <w:ind w:left="4536" w:right="1134" w:hanging="2268"/>
        <w:rPr>
          <w:szCs w:val="24"/>
        </w:rPr>
      </w:pPr>
      <w:r w:rsidRPr="00784B78">
        <w:rPr>
          <w:szCs w:val="24"/>
        </w:rPr>
        <w:t>ISO 1436</w:t>
      </w:r>
      <w:r w:rsidRPr="00784B78">
        <w:rPr>
          <w:szCs w:val="24"/>
        </w:rPr>
        <w:tab/>
        <w:t xml:space="preserve">Tuyaux et flexibles en caoutchouc − Types hydrauliques avec armature de fils métalliques tressés pour fluides à base d’huile ou à base d’eau − Spécifications </w:t>
      </w:r>
    </w:p>
    <w:p w:rsidR="00E92373" w:rsidRPr="00784B78" w:rsidRDefault="00E92373" w:rsidP="00E92373">
      <w:pPr>
        <w:spacing w:after="120"/>
        <w:ind w:left="4536" w:right="1134" w:hanging="2268"/>
        <w:rPr>
          <w:szCs w:val="24"/>
        </w:rPr>
      </w:pPr>
      <w:r w:rsidRPr="00784B78">
        <w:rPr>
          <w:szCs w:val="24"/>
        </w:rPr>
        <w:t>ISO 1817</w:t>
      </w:r>
      <w:r w:rsidRPr="00784B78">
        <w:rPr>
          <w:szCs w:val="24"/>
        </w:rPr>
        <w:tab/>
        <w:t>Caoutchouc vulcanisé ou thermoplastique − Détermination de l’action des liquides</w:t>
      </w:r>
    </w:p>
    <w:p w:rsidR="00E92373" w:rsidRPr="00784B78" w:rsidRDefault="00E92373" w:rsidP="00E92373">
      <w:pPr>
        <w:spacing w:after="120"/>
        <w:ind w:left="4536" w:right="1134" w:hanging="2268"/>
        <w:rPr>
          <w:szCs w:val="24"/>
        </w:rPr>
      </w:pPr>
      <w:r w:rsidRPr="00784B78">
        <w:rPr>
          <w:szCs w:val="24"/>
        </w:rPr>
        <w:t>ISO 2808</w:t>
      </w:r>
      <w:r w:rsidR="008E5EF6">
        <w:rPr>
          <w:szCs w:val="24"/>
        </w:rPr>
        <w:tab/>
      </w:r>
      <w:r>
        <w:t xml:space="preserve">Peintures et vernis − Détermination de l’épaisseur du feuil </w:t>
      </w:r>
    </w:p>
    <w:p w:rsidR="00E92373" w:rsidRPr="00784B78" w:rsidRDefault="00E92373" w:rsidP="00E92373">
      <w:pPr>
        <w:spacing w:after="120"/>
        <w:ind w:left="4536" w:right="1134" w:hanging="2268"/>
        <w:rPr>
          <w:szCs w:val="24"/>
        </w:rPr>
      </w:pPr>
      <w:r w:rsidRPr="00784B78">
        <w:rPr>
          <w:szCs w:val="24"/>
        </w:rPr>
        <w:t>ISO 4080</w:t>
      </w:r>
      <w:r w:rsidRPr="00784B78">
        <w:rPr>
          <w:szCs w:val="24"/>
        </w:rPr>
        <w:tab/>
        <w:t xml:space="preserve">Tuyaux et flexibles en caoutchouc et en plastique − Détermination de la perméabilité au gaz </w:t>
      </w:r>
    </w:p>
    <w:p w:rsidR="00E92373" w:rsidRPr="00784B78" w:rsidRDefault="00E92373" w:rsidP="00E92373">
      <w:pPr>
        <w:spacing w:after="120"/>
        <w:ind w:left="4536" w:right="1134" w:hanging="2268"/>
        <w:rPr>
          <w:szCs w:val="24"/>
        </w:rPr>
      </w:pPr>
      <w:r w:rsidRPr="00784B78">
        <w:rPr>
          <w:szCs w:val="24"/>
        </w:rPr>
        <w:t>ISO 4672</w:t>
      </w:r>
      <w:r w:rsidRPr="00784B78">
        <w:rPr>
          <w:szCs w:val="24"/>
        </w:rPr>
        <w:tab/>
        <w:t>Tuyaux en caoutchouc et en plastique − Essais de souplesse à temp</w:t>
      </w:r>
      <w:r>
        <w:rPr>
          <w:szCs w:val="24"/>
        </w:rPr>
        <w:t>érature inférieure à l’ambiante</w:t>
      </w:r>
    </w:p>
    <w:p w:rsidR="00E92373" w:rsidRPr="004A6DB0" w:rsidRDefault="00E92373" w:rsidP="00E92373">
      <w:pPr>
        <w:spacing w:after="120"/>
        <w:ind w:left="4536" w:right="1134" w:hanging="2268"/>
        <w:rPr>
          <w:szCs w:val="24"/>
        </w:rPr>
      </w:pPr>
      <w:r w:rsidRPr="004A6DB0">
        <w:rPr>
          <w:szCs w:val="24"/>
        </w:rPr>
        <w:t xml:space="preserve">ISO </w:t>
      </w:r>
      <w:r w:rsidRPr="004A6DB0">
        <w:rPr>
          <w:b/>
          <w:szCs w:val="24"/>
        </w:rPr>
        <w:t>6892</w:t>
      </w:r>
      <w:r w:rsidRPr="004A6DB0">
        <w:rPr>
          <w:b/>
          <w:szCs w:val="24"/>
        </w:rPr>
        <w:tab/>
      </w:r>
      <w:r w:rsidRPr="004A6DB0">
        <w:rPr>
          <w:szCs w:val="24"/>
        </w:rPr>
        <w:t>Matériaux métalliques − Essais de traction</w:t>
      </w:r>
    </w:p>
    <w:p w:rsidR="00E92373" w:rsidRPr="004A6DB0" w:rsidRDefault="00E92373" w:rsidP="00E92373">
      <w:pPr>
        <w:spacing w:after="120"/>
        <w:ind w:left="4536" w:right="1134" w:hanging="2268"/>
        <w:rPr>
          <w:szCs w:val="24"/>
        </w:rPr>
      </w:pPr>
      <w:r w:rsidRPr="004A6DB0">
        <w:rPr>
          <w:szCs w:val="24"/>
        </w:rPr>
        <w:t>ISO 6506</w:t>
      </w:r>
      <w:r w:rsidRPr="004A6DB0">
        <w:rPr>
          <w:szCs w:val="24"/>
        </w:rPr>
        <w:tab/>
        <w:t xml:space="preserve">Matériaux métalliques − Essai de dureté − Essai Brinell </w:t>
      </w:r>
    </w:p>
    <w:p w:rsidR="00E92373" w:rsidRPr="004A6DB0" w:rsidRDefault="00E92373" w:rsidP="00E92373">
      <w:pPr>
        <w:spacing w:after="120"/>
        <w:ind w:left="4536" w:right="1134" w:hanging="2268"/>
        <w:rPr>
          <w:szCs w:val="24"/>
        </w:rPr>
      </w:pPr>
      <w:r w:rsidRPr="004A6DB0">
        <w:rPr>
          <w:szCs w:val="24"/>
        </w:rPr>
        <w:t>ISO 7225</w:t>
      </w:r>
      <w:r w:rsidRPr="004A6DB0">
        <w:rPr>
          <w:szCs w:val="24"/>
        </w:rPr>
        <w:tab/>
        <w:t xml:space="preserve">Bouteilles à gaz − Étiquettes de risque </w:t>
      </w:r>
    </w:p>
    <w:p w:rsidR="00E92373" w:rsidRPr="001B2D89" w:rsidRDefault="00E92373" w:rsidP="00E92373">
      <w:pPr>
        <w:keepLines/>
        <w:spacing w:after="100"/>
        <w:ind w:left="4536" w:right="1134" w:hanging="2268"/>
        <w:rPr>
          <w:szCs w:val="24"/>
        </w:rPr>
      </w:pPr>
      <w:r w:rsidRPr="001D4479">
        <w:rPr>
          <w:rStyle w:val="SingleTxtGChar"/>
        </w:rPr>
        <w:t>ISO 7866</w:t>
      </w:r>
      <w:r w:rsidRPr="001D4479">
        <w:rPr>
          <w:rStyle w:val="SingleTxtGChar"/>
        </w:rPr>
        <w:tab/>
        <w:t>Bouteilles à gaz − Bouteilles à gaz transportables sans soudure en alliage d’aluminium rechargeables, pour usage international destinées</w:t>
      </w:r>
      <w:r w:rsidRPr="004A6DB0">
        <w:rPr>
          <w:szCs w:val="24"/>
        </w:rPr>
        <w:t xml:space="preserve"> à être rechargées </w:t>
      </w:r>
      <w:r>
        <w:rPr>
          <w:szCs w:val="24"/>
        </w:rPr>
        <w:t>−</w:t>
      </w:r>
      <w:r w:rsidRPr="004A6DB0">
        <w:rPr>
          <w:szCs w:val="24"/>
        </w:rPr>
        <w:t xml:space="preserve"> Conception, </w:t>
      </w:r>
      <w:r w:rsidRPr="001B2D89">
        <w:rPr>
          <w:b/>
          <w:szCs w:val="24"/>
        </w:rPr>
        <w:t>construction et essais</w:t>
      </w:r>
    </w:p>
    <w:p w:rsidR="00E92373" w:rsidRPr="00CC1BD5" w:rsidRDefault="00E92373" w:rsidP="00E92373">
      <w:pPr>
        <w:spacing w:after="100"/>
        <w:ind w:left="4536" w:right="1134" w:hanging="2268"/>
        <w:rPr>
          <w:szCs w:val="24"/>
        </w:rPr>
      </w:pPr>
      <w:r w:rsidRPr="00CC1BD5">
        <w:rPr>
          <w:szCs w:val="24"/>
        </w:rPr>
        <w:t>ISO 9001</w:t>
      </w:r>
      <w:r w:rsidRPr="00CC1BD5">
        <w:rPr>
          <w:szCs w:val="24"/>
        </w:rPr>
        <w:tab/>
        <w:t xml:space="preserve">Systèmes qualité − Modèle pour l’assurance la qualité en conception, développement, production, installation et prestations associées </w:t>
      </w:r>
    </w:p>
    <w:p w:rsidR="00E92373" w:rsidRPr="00CC1BD5" w:rsidRDefault="00E92373" w:rsidP="00E92373">
      <w:pPr>
        <w:spacing w:after="100"/>
        <w:ind w:left="4536" w:right="1134" w:hanging="2268"/>
        <w:rPr>
          <w:szCs w:val="24"/>
        </w:rPr>
      </w:pPr>
      <w:r w:rsidRPr="00CC1BD5">
        <w:rPr>
          <w:szCs w:val="24"/>
        </w:rPr>
        <w:t>ISO 9002</w:t>
      </w:r>
      <w:r w:rsidRPr="00CC1BD5">
        <w:rPr>
          <w:szCs w:val="24"/>
        </w:rPr>
        <w:tab/>
        <w:t xml:space="preserve">Systèmes qualité </w:t>
      </w:r>
      <w:r>
        <w:rPr>
          <w:szCs w:val="24"/>
        </w:rPr>
        <w:t>−</w:t>
      </w:r>
      <w:r w:rsidRPr="00CC1BD5">
        <w:rPr>
          <w:szCs w:val="24"/>
        </w:rPr>
        <w:t xml:space="preserve"> Modèle pour l</w:t>
      </w:r>
      <w:r>
        <w:rPr>
          <w:szCs w:val="24"/>
        </w:rPr>
        <w:t>’</w:t>
      </w:r>
      <w:r w:rsidRPr="00CC1BD5">
        <w:rPr>
          <w:szCs w:val="24"/>
        </w:rPr>
        <w:t>assurance qualité en</w:t>
      </w:r>
      <w:r>
        <w:rPr>
          <w:szCs w:val="24"/>
        </w:rPr>
        <w:t xml:space="preserve"> </w:t>
      </w:r>
      <w:r w:rsidRPr="00CC1BD5">
        <w:rPr>
          <w:szCs w:val="24"/>
        </w:rPr>
        <w:t>production</w:t>
      </w:r>
      <w:r>
        <w:rPr>
          <w:szCs w:val="24"/>
        </w:rPr>
        <w:t xml:space="preserve"> et</w:t>
      </w:r>
      <w:r w:rsidRPr="00CC1BD5">
        <w:rPr>
          <w:szCs w:val="24"/>
        </w:rPr>
        <w:t xml:space="preserve"> installation</w:t>
      </w:r>
    </w:p>
    <w:p w:rsidR="00E92373" w:rsidRPr="00212827" w:rsidRDefault="00E92373" w:rsidP="00E92373">
      <w:pPr>
        <w:spacing w:after="100"/>
        <w:ind w:left="4536" w:right="1134" w:hanging="2268"/>
        <w:rPr>
          <w:b/>
          <w:spacing w:val="-3"/>
          <w:szCs w:val="24"/>
        </w:rPr>
      </w:pPr>
      <w:r w:rsidRPr="00212827">
        <w:rPr>
          <w:b/>
          <w:spacing w:val="-3"/>
          <w:szCs w:val="24"/>
        </w:rPr>
        <w:t>ISO 9809-1</w:t>
      </w:r>
      <w:r w:rsidRPr="00212827">
        <w:rPr>
          <w:b/>
          <w:spacing w:val="-3"/>
          <w:szCs w:val="24"/>
        </w:rPr>
        <w:tab/>
        <w:t xml:space="preserve">Bouteilles à gaz </w:t>
      </w:r>
      <w:r>
        <w:rPr>
          <w:b/>
          <w:spacing w:val="-3"/>
          <w:szCs w:val="24"/>
        </w:rPr>
        <w:t>−</w:t>
      </w:r>
      <w:r w:rsidRPr="00212827">
        <w:rPr>
          <w:b/>
          <w:spacing w:val="-3"/>
          <w:szCs w:val="24"/>
        </w:rPr>
        <w:t xml:space="preserve"> Bouteilles à gaz rechargeables en acier sans soudure </w:t>
      </w:r>
      <w:r>
        <w:rPr>
          <w:b/>
          <w:spacing w:val="-3"/>
          <w:szCs w:val="24"/>
        </w:rPr>
        <w:t>−</w:t>
      </w:r>
      <w:r w:rsidRPr="00212827">
        <w:rPr>
          <w:b/>
          <w:spacing w:val="-3"/>
          <w:szCs w:val="24"/>
        </w:rPr>
        <w:t xml:space="preserve"> Conception, construction et essais </w:t>
      </w:r>
      <w:r>
        <w:rPr>
          <w:b/>
          <w:spacing w:val="-3"/>
          <w:szCs w:val="24"/>
        </w:rPr>
        <w:t>−</w:t>
      </w:r>
      <w:r w:rsidRPr="00212827">
        <w:rPr>
          <w:b/>
          <w:spacing w:val="-3"/>
          <w:szCs w:val="24"/>
        </w:rPr>
        <w:t xml:space="preserve"> Partie 1</w:t>
      </w:r>
      <w:r>
        <w:rPr>
          <w:b/>
          <w:spacing w:val="-3"/>
          <w:szCs w:val="24"/>
        </w:rPr>
        <w:t> :</w:t>
      </w:r>
      <w:r w:rsidRPr="00212827">
        <w:rPr>
          <w:b/>
          <w:spacing w:val="-3"/>
          <w:szCs w:val="24"/>
        </w:rPr>
        <w:t xml:space="preserve"> Bouteilles en acier trempé et revenu ayant une résistance à la traction inférieure à 1</w:t>
      </w:r>
      <w:r>
        <w:rPr>
          <w:b/>
          <w:spacing w:val="-3"/>
          <w:szCs w:val="24"/>
        </w:rPr>
        <w:t> </w:t>
      </w:r>
      <w:r w:rsidRPr="00212827">
        <w:rPr>
          <w:b/>
          <w:spacing w:val="-3"/>
          <w:szCs w:val="24"/>
        </w:rPr>
        <w:t>100</w:t>
      </w:r>
      <w:r>
        <w:rPr>
          <w:b/>
          <w:spacing w:val="-3"/>
          <w:szCs w:val="24"/>
        </w:rPr>
        <w:t> MPa</w:t>
      </w:r>
    </w:p>
    <w:p w:rsidR="00E92373" w:rsidRPr="00CB0D30" w:rsidRDefault="00E92373" w:rsidP="00E92373">
      <w:pPr>
        <w:spacing w:after="100"/>
        <w:ind w:left="4536" w:right="1134" w:hanging="2268"/>
        <w:rPr>
          <w:b/>
          <w:szCs w:val="24"/>
        </w:rPr>
      </w:pPr>
      <w:r w:rsidRPr="00CB0D30">
        <w:rPr>
          <w:b/>
          <w:szCs w:val="24"/>
        </w:rPr>
        <w:t>ISO 9809-2</w:t>
      </w:r>
      <w:r w:rsidRPr="00CB0D30">
        <w:rPr>
          <w:b/>
          <w:szCs w:val="24"/>
        </w:rPr>
        <w:tab/>
        <w:t xml:space="preserve">Bouteilles à gaz </w:t>
      </w:r>
      <w:r>
        <w:rPr>
          <w:b/>
          <w:szCs w:val="24"/>
        </w:rPr>
        <w:t>−</w:t>
      </w:r>
      <w:r w:rsidRPr="00CB0D30">
        <w:rPr>
          <w:b/>
          <w:szCs w:val="24"/>
        </w:rPr>
        <w:t xml:space="preserve"> Bouteilles à gaz rechargeables en acier sans soudure </w:t>
      </w:r>
      <w:r>
        <w:rPr>
          <w:b/>
          <w:szCs w:val="24"/>
        </w:rPr>
        <w:t>−</w:t>
      </w:r>
      <w:r w:rsidRPr="00CB0D30">
        <w:rPr>
          <w:b/>
          <w:szCs w:val="24"/>
        </w:rPr>
        <w:t xml:space="preserve"> Conception, construction et essais </w:t>
      </w:r>
      <w:r>
        <w:rPr>
          <w:b/>
          <w:szCs w:val="24"/>
        </w:rPr>
        <w:t>−</w:t>
      </w:r>
      <w:r w:rsidRPr="00CB0D30">
        <w:rPr>
          <w:b/>
          <w:szCs w:val="24"/>
        </w:rPr>
        <w:t xml:space="preserve"> Partie 2</w:t>
      </w:r>
      <w:r>
        <w:rPr>
          <w:b/>
          <w:szCs w:val="24"/>
        </w:rPr>
        <w:t> :</w:t>
      </w:r>
      <w:r w:rsidRPr="00CB0D30">
        <w:rPr>
          <w:b/>
          <w:szCs w:val="24"/>
        </w:rPr>
        <w:t xml:space="preserve"> Bouteilles en acier trempé et revenu ayant une résistance à la traction supérieure ou égale à 1</w:t>
      </w:r>
      <w:r>
        <w:rPr>
          <w:b/>
          <w:szCs w:val="24"/>
        </w:rPr>
        <w:t> </w:t>
      </w:r>
      <w:r w:rsidRPr="00CB0D30">
        <w:rPr>
          <w:b/>
          <w:szCs w:val="24"/>
        </w:rPr>
        <w:t>100</w:t>
      </w:r>
      <w:r>
        <w:rPr>
          <w:b/>
          <w:szCs w:val="24"/>
        </w:rPr>
        <w:t> MPa</w:t>
      </w:r>
    </w:p>
    <w:p w:rsidR="00E92373" w:rsidRPr="00BF4BCE" w:rsidRDefault="00E92373" w:rsidP="00E92373">
      <w:pPr>
        <w:spacing w:after="100"/>
        <w:ind w:left="4536" w:right="1134" w:hanging="2268"/>
        <w:rPr>
          <w:b/>
          <w:szCs w:val="24"/>
        </w:rPr>
      </w:pPr>
      <w:r w:rsidRPr="00BF4BCE">
        <w:rPr>
          <w:b/>
          <w:szCs w:val="24"/>
        </w:rPr>
        <w:t>ISO 9809-3</w:t>
      </w:r>
      <w:r w:rsidRPr="00BF4BCE">
        <w:rPr>
          <w:b/>
          <w:szCs w:val="24"/>
        </w:rPr>
        <w:tab/>
        <w:t xml:space="preserve">Bouteilles à gaz </w:t>
      </w:r>
      <w:r>
        <w:rPr>
          <w:b/>
          <w:szCs w:val="24"/>
        </w:rPr>
        <w:t>−</w:t>
      </w:r>
      <w:r w:rsidRPr="00BF4BCE">
        <w:rPr>
          <w:b/>
          <w:szCs w:val="24"/>
        </w:rPr>
        <w:t xml:space="preserve"> Bouteilles à gaz rechargeables en acier sans soudure </w:t>
      </w:r>
      <w:r>
        <w:rPr>
          <w:b/>
          <w:szCs w:val="24"/>
        </w:rPr>
        <w:t>−</w:t>
      </w:r>
      <w:r w:rsidRPr="00BF4BCE">
        <w:rPr>
          <w:b/>
          <w:szCs w:val="24"/>
        </w:rPr>
        <w:t xml:space="preserve"> Conception, construction et essais </w:t>
      </w:r>
      <w:r>
        <w:rPr>
          <w:b/>
          <w:szCs w:val="24"/>
        </w:rPr>
        <w:t>−</w:t>
      </w:r>
      <w:r w:rsidRPr="00BF4BCE">
        <w:rPr>
          <w:b/>
          <w:szCs w:val="24"/>
        </w:rPr>
        <w:t xml:space="preserve"> Partie 3</w:t>
      </w:r>
      <w:r>
        <w:rPr>
          <w:b/>
          <w:szCs w:val="24"/>
        </w:rPr>
        <w:t> :</w:t>
      </w:r>
      <w:r w:rsidRPr="00BF4BCE">
        <w:rPr>
          <w:b/>
          <w:szCs w:val="24"/>
        </w:rPr>
        <w:t xml:space="preserve"> Bouteilles en acier normalisé</w:t>
      </w:r>
    </w:p>
    <w:p w:rsidR="00E92373" w:rsidRPr="00BF4BCE" w:rsidRDefault="00E92373" w:rsidP="00E92373">
      <w:pPr>
        <w:spacing w:after="100"/>
        <w:ind w:left="4536" w:right="1134" w:hanging="2268"/>
        <w:rPr>
          <w:szCs w:val="24"/>
        </w:rPr>
      </w:pPr>
      <w:r w:rsidRPr="00BF4BCE">
        <w:rPr>
          <w:szCs w:val="24"/>
        </w:rPr>
        <w:t>ISO12991</w:t>
      </w:r>
      <w:r w:rsidRPr="00BF4BCE">
        <w:rPr>
          <w:szCs w:val="24"/>
        </w:rPr>
        <w:tab/>
        <w:t xml:space="preserve">Gaz naturel liquéfié (GNL) − Réservoirs pour le stockage à bord comme carburant pour véhicules automobiles </w:t>
      </w:r>
    </w:p>
    <w:p w:rsidR="00E92373" w:rsidRPr="00BF4BCE" w:rsidRDefault="00E92373" w:rsidP="00E92373">
      <w:pPr>
        <w:spacing w:after="100"/>
        <w:ind w:left="4536" w:right="1134" w:hanging="2268"/>
        <w:rPr>
          <w:szCs w:val="24"/>
        </w:rPr>
      </w:pPr>
      <w:r w:rsidRPr="00BF4BCE">
        <w:rPr>
          <w:szCs w:val="24"/>
        </w:rPr>
        <w:t>ISO14469-1</w:t>
      </w:r>
      <w:r w:rsidRPr="00BF4BCE">
        <w:rPr>
          <w:szCs w:val="24"/>
        </w:rPr>
        <w:tab/>
        <w:t>Véhicules routiers − Connecteur de remplissage en gaz naturel comprimé (GNC) − Partie I</w:t>
      </w:r>
      <w:r>
        <w:rPr>
          <w:szCs w:val="24"/>
        </w:rPr>
        <w:t> :</w:t>
      </w:r>
      <w:r w:rsidRPr="00BF4BCE">
        <w:rPr>
          <w:szCs w:val="24"/>
        </w:rPr>
        <w:t xml:space="preserve"> Connecteur 20</w:t>
      </w:r>
      <w:r>
        <w:rPr>
          <w:szCs w:val="24"/>
        </w:rPr>
        <w:t> MPa</w:t>
      </w:r>
      <w:r w:rsidRPr="00BF4BCE">
        <w:rPr>
          <w:szCs w:val="24"/>
        </w:rPr>
        <w:t xml:space="preserve"> (200</w:t>
      </w:r>
      <w:r>
        <w:rPr>
          <w:szCs w:val="24"/>
        </w:rPr>
        <w:t> bar</w:t>
      </w:r>
      <w:r w:rsidRPr="00BF4BCE">
        <w:rPr>
          <w:szCs w:val="24"/>
        </w:rPr>
        <w:t>)</w:t>
      </w:r>
    </w:p>
    <w:p w:rsidR="00E92373" w:rsidRPr="00BF4BCE" w:rsidRDefault="00E92373" w:rsidP="00E92373">
      <w:pPr>
        <w:spacing w:after="100"/>
        <w:ind w:left="4536" w:right="1134" w:hanging="2268"/>
        <w:rPr>
          <w:szCs w:val="24"/>
        </w:rPr>
      </w:pPr>
      <w:r w:rsidRPr="00BF4BCE">
        <w:rPr>
          <w:szCs w:val="24"/>
        </w:rPr>
        <w:t>ISO14469-2</w:t>
      </w:r>
      <w:r w:rsidRPr="00BF4BCE">
        <w:rPr>
          <w:szCs w:val="24"/>
        </w:rPr>
        <w:tab/>
        <w:t xml:space="preserve">Véhicules routiers </w:t>
      </w:r>
      <w:r>
        <w:rPr>
          <w:szCs w:val="24"/>
        </w:rPr>
        <w:t>−</w:t>
      </w:r>
      <w:r w:rsidRPr="00BF4BCE">
        <w:rPr>
          <w:szCs w:val="24"/>
        </w:rPr>
        <w:t xml:space="preserve"> Connecteur de remplissage en gaz naturel comprimé (GNC) </w:t>
      </w:r>
      <w:r>
        <w:rPr>
          <w:szCs w:val="24"/>
        </w:rPr>
        <w:t>−</w:t>
      </w:r>
      <w:r w:rsidRPr="00BF4BCE">
        <w:rPr>
          <w:szCs w:val="24"/>
        </w:rPr>
        <w:t xml:space="preserve"> Partie 2</w:t>
      </w:r>
      <w:r>
        <w:rPr>
          <w:szCs w:val="24"/>
        </w:rPr>
        <w:t> :</w:t>
      </w:r>
      <w:r w:rsidRPr="00BF4BCE">
        <w:rPr>
          <w:szCs w:val="24"/>
        </w:rPr>
        <w:t xml:space="preserve"> Connecteur 20</w:t>
      </w:r>
      <w:r>
        <w:rPr>
          <w:szCs w:val="24"/>
        </w:rPr>
        <w:t> MPa</w:t>
      </w:r>
      <w:r w:rsidRPr="00BF4BCE">
        <w:rPr>
          <w:szCs w:val="24"/>
        </w:rPr>
        <w:t xml:space="preserve"> (200</w:t>
      </w:r>
      <w:r>
        <w:rPr>
          <w:szCs w:val="24"/>
        </w:rPr>
        <w:t> bar</w:t>
      </w:r>
      <w:r w:rsidRPr="00BF4BCE">
        <w:rPr>
          <w:szCs w:val="24"/>
        </w:rPr>
        <w:t>)</w:t>
      </w:r>
    </w:p>
    <w:p w:rsidR="00E92373" w:rsidRPr="000C4ED6" w:rsidRDefault="00E92373" w:rsidP="00E92373">
      <w:pPr>
        <w:spacing w:after="100"/>
        <w:ind w:left="4536" w:right="1134" w:hanging="2268"/>
        <w:rPr>
          <w:b/>
          <w:szCs w:val="24"/>
        </w:rPr>
      </w:pPr>
      <w:r w:rsidRPr="000C4ED6">
        <w:rPr>
          <w:b/>
          <w:szCs w:val="24"/>
        </w:rPr>
        <w:t>ISO 15403-1</w:t>
      </w:r>
      <w:r w:rsidRPr="000C4ED6">
        <w:rPr>
          <w:b/>
          <w:szCs w:val="24"/>
        </w:rPr>
        <w:tab/>
        <w:t xml:space="preserve">Gaz naturel </w:t>
      </w:r>
      <w:r>
        <w:rPr>
          <w:b/>
          <w:szCs w:val="24"/>
        </w:rPr>
        <w:t>−</w:t>
      </w:r>
      <w:r w:rsidRPr="000C4ED6">
        <w:rPr>
          <w:b/>
          <w:szCs w:val="24"/>
        </w:rPr>
        <w:t xml:space="preserve"> Gaz naturel pour usage comme </w:t>
      </w:r>
      <w:r w:rsidRPr="001524AD">
        <w:rPr>
          <w:b/>
          <w:spacing w:val="-4"/>
          <w:szCs w:val="24"/>
        </w:rPr>
        <w:t>carburant comprimé pour véhicules − Partie 1 :</w:t>
      </w:r>
      <w:r w:rsidRPr="000C4ED6">
        <w:rPr>
          <w:b/>
          <w:szCs w:val="24"/>
        </w:rPr>
        <w:t xml:space="preserve"> Désignation de la qualité</w:t>
      </w:r>
    </w:p>
    <w:p w:rsidR="00E92373" w:rsidRPr="000C4ED6" w:rsidRDefault="00E92373" w:rsidP="00E92373">
      <w:pPr>
        <w:spacing w:after="100"/>
        <w:ind w:left="4536" w:right="1134" w:hanging="2268"/>
        <w:rPr>
          <w:b/>
          <w:szCs w:val="24"/>
        </w:rPr>
      </w:pPr>
      <w:r w:rsidRPr="000C4ED6">
        <w:rPr>
          <w:b/>
          <w:szCs w:val="24"/>
        </w:rPr>
        <w:t>ISO/TR 15403-2</w:t>
      </w:r>
      <w:r w:rsidRPr="000C4ED6">
        <w:rPr>
          <w:b/>
          <w:szCs w:val="24"/>
        </w:rPr>
        <w:tab/>
        <w:t xml:space="preserve">Gaz naturel </w:t>
      </w:r>
      <w:r>
        <w:rPr>
          <w:b/>
          <w:szCs w:val="24"/>
        </w:rPr>
        <w:t>−</w:t>
      </w:r>
      <w:r w:rsidRPr="000C4ED6">
        <w:rPr>
          <w:b/>
          <w:szCs w:val="24"/>
        </w:rPr>
        <w:t xml:space="preserve"> Gaz naturel pour usage comme </w:t>
      </w:r>
      <w:r w:rsidRPr="001524AD">
        <w:rPr>
          <w:b/>
          <w:spacing w:val="-4"/>
          <w:szCs w:val="24"/>
        </w:rPr>
        <w:t>carburant comprimé pour véhicules − Partie 2 :</w:t>
      </w:r>
      <w:r w:rsidRPr="000C4ED6">
        <w:rPr>
          <w:b/>
          <w:szCs w:val="24"/>
        </w:rPr>
        <w:t xml:space="preserve"> Spécification de la qualité</w:t>
      </w:r>
    </w:p>
    <w:p w:rsidR="00E92373" w:rsidRPr="000C4ED6" w:rsidRDefault="00E92373" w:rsidP="00E92373">
      <w:pPr>
        <w:spacing w:after="100"/>
        <w:ind w:left="4536" w:right="1134" w:hanging="2268"/>
        <w:rPr>
          <w:szCs w:val="24"/>
        </w:rPr>
      </w:pPr>
      <w:r w:rsidRPr="000C4ED6">
        <w:rPr>
          <w:szCs w:val="24"/>
        </w:rPr>
        <w:t>ISO15500</w:t>
      </w:r>
      <w:r w:rsidRPr="000C4ED6">
        <w:rPr>
          <w:szCs w:val="24"/>
        </w:rPr>
        <w:tab/>
        <w:t>Véhicules routiers − Composants des systèmes de combustible gaz naturel comprimé (GNC)</w:t>
      </w:r>
    </w:p>
    <w:p w:rsidR="00E92373" w:rsidRPr="000C00D6" w:rsidRDefault="00E92373" w:rsidP="00E92373">
      <w:pPr>
        <w:spacing w:after="100"/>
        <w:ind w:left="4536" w:right="1134" w:hanging="2268"/>
        <w:rPr>
          <w:b/>
          <w:szCs w:val="24"/>
        </w:rPr>
      </w:pPr>
      <w:r w:rsidRPr="000C00D6">
        <w:rPr>
          <w:b/>
          <w:szCs w:val="24"/>
        </w:rPr>
        <w:t>ISO 15500-13</w:t>
      </w:r>
      <w:r w:rsidRPr="000C00D6">
        <w:rPr>
          <w:b/>
          <w:szCs w:val="24"/>
        </w:rPr>
        <w:tab/>
        <w:t xml:space="preserve">Véhicules routiers </w:t>
      </w:r>
      <w:r>
        <w:rPr>
          <w:b/>
          <w:szCs w:val="24"/>
        </w:rPr>
        <w:t>−</w:t>
      </w:r>
      <w:r w:rsidRPr="000C00D6">
        <w:rPr>
          <w:b/>
          <w:szCs w:val="24"/>
        </w:rPr>
        <w:t xml:space="preserve"> Composants des systèmes de combustible gaz naturel comprimé (GNC) </w:t>
      </w:r>
      <w:r>
        <w:rPr>
          <w:b/>
          <w:szCs w:val="24"/>
        </w:rPr>
        <w:t>−</w:t>
      </w:r>
      <w:r w:rsidRPr="000C00D6">
        <w:rPr>
          <w:b/>
          <w:szCs w:val="24"/>
        </w:rPr>
        <w:t xml:space="preserve"> Partie 13</w:t>
      </w:r>
      <w:r>
        <w:rPr>
          <w:b/>
          <w:szCs w:val="24"/>
        </w:rPr>
        <w:t> :</w:t>
      </w:r>
      <w:r w:rsidRPr="000C00D6">
        <w:rPr>
          <w:b/>
          <w:szCs w:val="24"/>
        </w:rPr>
        <w:t xml:space="preserve"> Dispositifs de limitation de pression</w:t>
      </w:r>
    </w:p>
    <w:p w:rsidR="00E92373" w:rsidRPr="000C00D6" w:rsidRDefault="00E92373" w:rsidP="00E92373">
      <w:pPr>
        <w:spacing w:after="120"/>
        <w:ind w:left="4536" w:right="1134" w:hanging="2268"/>
        <w:rPr>
          <w:szCs w:val="24"/>
        </w:rPr>
      </w:pPr>
      <w:r w:rsidRPr="000C00D6">
        <w:rPr>
          <w:szCs w:val="24"/>
        </w:rPr>
        <w:t>ISO 21028-1</w:t>
      </w:r>
      <w:r w:rsidRPr="000C00D6">
        <w:rPr>
          <w:szCs w:val="24"/>
        </w:rPr>
        <w:tab/>
        <w:t>Récipients cryogéniques − Exigences de ténacité pour les matériaux à température cryogénique − Partie I</w:t>
      </w:r>
      <w:r>
        <w:rPr>
          <w:szCs w:val="24"/>
        </w:rPr>
        <w:t> :</w:t>
      </w:r>
      <w:r w:rsidRPr="000C00D6">
        <w:rPr>
          <w:szCs w:val="24"/>
        </w:rPr>
        <w:t xml:space="preserve"> Températures inférieures à -80</w:t>
      </w:r>
      <w:r>
        <w:rPr>
          <w:szCs w:val="24"/>
        </w:rPr>
        <w:t> °C</w:t>
      </w:r>
    </w:p>
    <w:p w:rsidR="00E92373" w:rsidRPr="000C00D6" w:rsidRDefault="00E92373" w:rsidP="00E92373">
      <w:pPr>
        <w:spacing w:after="120"/>
        <w:ind w:left="4536" w:right="1134" w:hanging="2268"/>
        <w:rPr>
          <w:szCs w:val="24"/>
        </w:rPr>
      </w:pPr>
      <w:r w:rsidRPr="000C00D6">
        <w:rPr>
          <w:szCs w:val="24"/>
        </w:rPr>
        <w:t>ISO 21029-1</w:t>
      </w:r>
      <w:r w:rsidRPr="000C00D6">
        <w:rPr>
          <w:szCs w:val="24"/>
        </w:rPr>
        <w:tab/>
        <w:t>Récipients cryogéniques − Récipients transportables, isolés sous vide, d’un volume n’excédant pas 1</w:t>
      </w:r>
      <w:r>
        <w:rPr>
          <w:szCs w:val="24"/>
        </w:rPr>
        <w:t> </w:t>
      </w:r>
      <w:r w:rsidRPr="000C00D6">
        <w:rPr>
          <w:szCs w:val="24"/>
        </w:rPr>
        <w:t>000 litres − Partie I</w:t>
      </w:r>
      <w:r>
        <w:rPr>
          <w:szCs w:val="24"/>
        </w:rPr>
        <w:t> :</w:t>
      </w:r>
      <w:r w:rsidRPr="000C00D6">
        <w:rPr>
          <w:szCs w:val="24"/>
        </w:rPr>
        <w:t xml:space="preserve"> Conception, fabrication, inspection et essais </w:t>
      </w:r>
    </w:p>
    <w:p w:rsidR="00E92373" w:rsidRPr="000C00D6" w:rsidRDefault="00E92373" w:rsidP="00E92373">
      <w:pPr>
        <w:spacing w:after="120"/>
        <w:ind w:left="4536" w:right="1134" w:hanging="2268"/>
        <w:rPr>
          <w:szCs w:val="24"/>
        </w:rPr>
      </w:pPr>
      <w:r>
        <w:rPr>
          <w:szCs w:val="24"/>
        </w:rPr>
        <w:t xml:space="preserve">Guide </w:t>
      </w:r>
      <w:r w:rsidRPr="000C00D6">
        <w:rPr>
          <w:szCs w:val="24"/>
        </w:rPr>
        <w:t>ISO/IEC 25</w:t>
      </w:r>
      <w:r>
        <w:rPr>
          <w:szCs w:val="24"/>
        </w:rPr>
        <w:tab/>
      </w:r>
      <w:r w:rsidRPr="001D4479">
        <w:rPr>
          <w:spacing w:val="-2"/>
          <w:szCs w:val="24"/>
        </w:rPr>
        <w:t>Prescriptions générales concernant la compétence des laboratoires d’étalonnage et d’essais</w:t>
      </w:r>
      <w:r w:rsidRPr="000C00D6">
        <w:rPr>
          <w:szCs w:val="24"/>
        </w:rPr>
        <w:t xml:space="preserve"> </w:t>
      </w:r>
    </w:p>
    <w:p w:rsidR="00E92373" w:rsidRPr="000C00D6" w:rsidRDefault="00E92373" w:rsidP="00E92373">
      <w:pPr>
        <w:spacing w:after="120"/>
        <w:ind w:left="4536" w:right="1134" w:hanging="2268"/>
        <w:rPr>
          <w:szCs w:val="24"/>
        </w:rPr>
      </w:pPr>
      <w:r w:rsidRPr="000C00D6">
        <w:rPr>
          <w:szCs w:val="24"/>
        </w:rPr>
        <w:t>Guide ISO/IEC 48</w:t>
      </w:r>
      <w:r>
        <w:rPr>
          <w:szCs w:val="24"/>
        </w:rPr>
        <w:tab/>
      </w:r>
      <w:r w:rsidRPr="000C00D6">
        <w:rPr>
          <w:szCs w:val="24"/>
        </w:rPr>
        <w:t xml:space="preserve">Règles générales pour un système type de certification des produits par une tierce personne </w:t>
      </w:r>
    </w:p>
    <w:p w:rsidR="00E92373" w:rsidRPr="00753CE5" w:rsidRDefault="00E92373" w:rsidP="00E92373">
      <w:pPr>
        <w:keepNext/>
        <w:keepLines/>
        <w:spacing w:after="120"/>
        <w:ind w:left="4536" w:right="1134" w:hanging="2268"/>
        <w:rPr>
          <w:szCs w:val="24"/>
          <w:lang w:val="en-GB"/>
        </w:rPr>
      </w:pPr>
      <w:r>
        <w:rPr>
          <w:szCs w:val="24"/>
          <w:lang w:val="en-GB"/>
        </w:rPr>
        <w:t xml:space="preserve">Norme </w:t>
      </w:r>
      <w:r w:rsidRPr="00753CE5">
        <w:rPr>
          <w:szCs w:val="24"/>
          <w:lang w:val="en-GB"/>
        </w:rPr>
        <w:t>NACE</w:t>
      </w:r>
      <w:r w:rsidRPr="00753CE5">
        <w:rPr>
          <w:szCs w:val="24"/>
          <w:vertAlign w:val="superscript"/>
          <w:lang w:val="en-GB"/>
        </w:rPr>
        <w:t>5</w:t>
      </w:r>
    </w:p>
    <w:p w:rsidR="00E92373" w:rsidRPr="00753CE5" w:rsidRDefault="00E92373" w:rsidP="00E92373">
      <w:pPr>
        <w:keepNext/>
        <w:keepLines/>
        <w:spacing w:after="120"/>
        <w:ind w:left="4536" w:right="1134" w:hanging="2268"/>
        <w:rPr>
          <w:szCs w:val="24"/>
          <w:lang w:val="en-GB"/>
        </w:rPr>
      </w:pPr>
      <w:r w:rsidRPr="00753CE5">
        <w:rPr>
          <w:szCs w:val="24"/>
          <w:lang w:val="en-GB"/>
        </w:rPr>
        <w:t>NACE TM0177-90</w:t>
      </w:r>
      <w:r w:rsidRPr="00753CE5">
        <w:rPr>
          <w:szCs w:val="24"/>
          <w:lang w:val="en-GB"/>
        </w:rPr>
        <w:tab/>
        <w:t>Laboratory Testing of Metals for Resistance to Sulphide Stress Cracking in H</w:t>
      </w:r>
      <w:r w:rsidRPr="00F74E7A">
        <w:rPr>
          <w:szCs w:val="24"/>
          <w:vertAlign w:val="subscript"/>
          <w:lang w:val="en-GB"/>
        </w:rPr>
        <w:t>2</w:t>
      </w:r>
      <w:r w:rsidRPr="00753CE5">
        <w:rPr>
          <w:szCs w:val="24"/>
          <w:lang w:val="en-GB"/>
        </w:rPr>
        <w:t>S Environments</w:t>
      </w:r>
    </w:p>
    <w:p w:rsidR="00E92373" w:rsidRPr="003130F9" w:rsidRDefault="00E92373" w:rsidP="00E92373">
      <w:pPr>
        <w:spacing w:after="120"/>
        <w:ind w:left="4536" w:right="1134" w:hanging="2268"/>
        <w:rPr>
          <w:szCs w:val="24"/>
        </w:rPr>
      </w:pPr>
      <w:r w:rsidRPr="003130F9">
        <w:rPr>
          <w:szCs w:val="24"/>
        </w:rPr>
        <w:t>Règlements CEE</w:t>
      </w:r>
      <w:r w:rsidRPr="003130F9">
        <w:rPr>
          <w:szCs w:val="24"/>
          <w:vertAlign w:val="superscript"/>
        </w:rPr>
        <w:t>6</w:t>
      </w:r>
    </w:p>
    <w:p w:rsidR="00E92373" w:rsidRPr="00F74E7A" w:rsidRDefault="00E92373" w:rsidP="00E92373">
      <w:pPr>
        <w:spacing w:after="120"/>
        <w:ind w:left="4536" w:right="1134" w:hanging="2268"/>
        <w:rPr>
          <w:szCs w:val="24"/>
        </w:rPr>
      </w:pPr>
      <w:r w:rsidRPr="00F74E7A">
        <w:rPr>
          <w:szCs w:val="24"/>
        </w:rPr>
        <w:t xml:space="preserve">Règlement </w:t>
      </w:r>
      <w:r w:rsidRPr="002D76F4">
        <w:rPr>
          <w:rFonts w:eastAsia="MS Mincho"/>
          <w:szCs w:val="22"/>
        </w:rPr>
        <w:t>n</w:t>
      </w:r>
      <w:r w:rsidRPr="002D76F4">
        <w:rPr>
          <w:rFonts w:eastAsia="MS Mincho"/>
          <w:szCs w:val="22"/>
          <w:vertAlign w:val="superscript"/>
        </w:rPr>
        <w:t>o</w:t>
      </w:r>
      <w:r>
        <w:t> </w:t>
      </w:r>
      <w:r w:rsidRPr="00F74E7A">
        <w:rPr>
          <w:szCs w:val="24"/>
        </w:rPr>
        <w:t>10</w:t>
      </w:r>
      <w:r w:rsidRPr="00F74E7A">
        <w:rPr>
          <w:szCs w:val="24"/>
        </w:rPr>
        <w:tab/>
        <w:t>Prescriptions uniformes relatives à l’homologation des véhicules en ce qui concerne la compatibilité électromagnétique</w:t>
      </w:r>
    </w:p>
    <w:p w:rsidR="00E92373" w:rsidRPr="00753CE5" w:rsidRDefault="00E92373" w:rsidP="00E92373">
      <w:pPr>
        <w:spacing w:after="120"/>
        <w:ind w:left="4536" w:right="1134" w:hanging="2268"/>
        <w:rPr>
          <w:szCs w:val="24"/>
          <w:lang w:val="en-GB"/>
        </w:rPr>
      </w:pPr>
      <w:r w:rsidRPr="00753CE5">
        <w:rPr>
          <w:szCs w:val="24"/>
          <w:lang w:val="en-GB"/>
        </w:rPr>
        <w:t>USA Federal Regulations</w:t>
      </w:r>
      <w:r w:rsidRPr="00753CE5">
        <w:rPr>
          <w:szCs w:val="24"/>
          <w:vertAlign w:val="superscript"/>
          <w:lang w:val="en-GB"/>
        </w:rPr>
        <w:t>7</w:t>
      </w:r>
    </w:p>
    <w:p w:rsidR="00E92373" w:rsidRPr="00753CE5" w:rsidRDefault="00E92373" w:rsidP="00E92373">
      <w:pPr>
        <w:spacing w:after="120"/>
        <w:ind w:left="4536" w:right="1134" w:hanging="2268"/>
        <w:rPr>
          <w:szCs w:val="24"/>
          <w:lang w:val="en-GB"/>
        </w:rPr>
      </w:pPr>
      <w:r w:rsidRPr="00753CE5">
        <w:rPr>
          <w:szCs w:val="24"/>
          <w:lang w:val="en-GB"/>
        </w:rPr>
        <w:t>49 CFR 393.67</w:t>
      </w:r>
      <w:r w:rsidRPr="00753CE5">
        <w:rPr>
          <w:szCs w:val="24"/>
          <w:lang w:val="en-GB"/>
        </w:rPr>
        <w:tab/>
        <w:t>Liquid fuel tanks</w:t>
      </w:r>
    </w:p>
    <w:p w:rsidR="00E92373" w:rsidRPr="00753CE5" w:rsidRDefault="00E92373" w:rsidP="00E92373">
      <w:pPr>
        <w:spacing w:after="120"/>
        <w:ind w:left="4536" w:right="1134" w:hanging="2268"/>
        <w:rPr>
          <w:szCs w:val="24"/>
          <w:lang w:val="en-GB"/>
        </w:rPr>
      </w:pPr>
      <w:r>
        <w:rPr>
          <w:szCs w:val="24"/>
          <w:lang w:val="en-GB"/>
        </w:rPr>
        <w:t>Normes SAE</w:t>
      </w:r>
      <w:r w:rsidRPr="00753CE5">
        <w:rPr>
          <w:szCs w:val="24"/>
          <w:vertAlign w:val="superscript"/>
          <w:lang w:val="en-GB"/>
        </w:rPr>
        <w:t>8</w:t>
      </w:r>
    </w:p>
    <w:p w:rsidR="00E92373" w:rsidRPr="00753CE5" w:rsidRDefault="00E92373" w:rsidP="00E92373">
      <w:pPr>
        <w:spacing w:after="120"/>
        <w:ind w:left="4536" w:right="1134" w:hanging="2268"/>
        <w:rPr>
          <w:szCs w:val="24"/>
          <w:lang w:val="en-GB"/>
        </w:rPr>
      </w:pPr>
      <w:r w:rsidRPr="00753CE5">
        <w:rPr>
          <w:szCs w:val="24"/>
          <w:lang w:val="en-GB"/>
        </w:rPr>
        <w:t>SAE J2343-2008</w:t>
      </w:r>
      <w:r w:rsidRPr="00753CE5">
        <w:rPr>
          <w:szCs w:val="24"/>
          <w:lang w:val="en-GB"/>
        </w:rPr>
        <w:tab/>
        <w:t>Recommended Practice for LNG Medium and Heavy-Duty Powered Vehicles</w:t>
      </w:r>
    </w:p>
    <w:p w:rsidR="00E92373" w:rsidRPr="00771442" w:rsidRDefault="00E92373" w:rsidP="00E92373">
      <w:pPr>
        <w:tabs>
          <w:tab w:val="left" w:leader="underscore" w:pos="2552"/>
        </w:tabs>
        <w:ind w:left="1134" w:right="1134"/>
        <w:rPr>
          <w:vertAlign w:val="superscript"/>
          <w:lang w:val="en-GB"/>
        </w:rPr>
      </w:pPr>
      <w:r w:rsidRPr="00771442">
        <w:rPr>
          <w:vertAlign w:val="superscript"/>
          <w:lang w:val="en-GB"/>
        </w:rPr>
        <w:tab/>
      </w:r>
    </w:p>
    <w:p w:rsidR="00E92373" w:rsidRPr="003130F9" w:rsidRDefault="00E92373" w:rsidP="00E92373">
      <w:pPr>
        <w:ind w:left="1134" w:right="1134"/>
        <w:rPr>
          <w:sz w:val="18"/>
          <w:szCs w:val="18"/>
        </w:rPr>
      </w:pPr>
      <w:r w:rsidRPr="003130F9">
        <w:rPr>
          <w:sz w:val="18"/>
          <w:szCs w:val="18"/>
          <w:vertAlign w:val="superscript"/>
        </w:rPr>
        <w:t>3</w:t>
      </w:r>
      <w:r w:rsidRPr="003130F9">
        <w:rPr>
          <w:sz w:val="18"/>
          <w:szCs w:val="18"/>
        </w:rPr>
        <w:tab/>
        <w:t>Norme européenne.</w:t>
      </w:r>
    </w:p>
    <w:p w:rsidR="00E92373" w:rsidRPr="003130F9" w:rsidRDefault="00E92373" w:rsidP="00E92373">
      <w:pPr>
        <w:ind w:left="1134" w:right="1134"/>
        <w:rPr>
          <w:sz w:val="18"/>
          <w:szCs w:val="18"/>
        </w:rPr>
      </w:pPr>
      <w:r w:rsidRPr="003130F9">
        <w:rPr>
          <w:sz w:val="18"/>
          <w:szCs w:val="18"/>
          <w:vertAlign w:val="superscript"/>
        </w:rPr>
        <w:t>4</w:t>
      </w:r>
      <w:r w:rsidRPr="003130F9">
        <w:rPr>
          <w:sz w:val="18"/>
          <w:szCs w:val="18"/>
        </w:rPr>
        <w:tab/>
        <w:t>Organisation internationale de normalisation.</w:t>
      </w:r>
    </w:p>
    <w:p w:rsidR="00E92373" w:rsidRPr="00753CE5" w:rsidRDefault="00E92373" w:rsidP="00E92373">
      <w:pPr>
        <w:ind w:left="1134" w:right="1134"/>
        <w:rPr>
          <w:sz w:val="18"/>
          <w:szCs w:val="18"/>
          <w:lang w:val="en-GB"/>
        </w:rPr>
      </w:pPr>
      <w:r w:rsidRPr="00753CE5">
        <w:rPr>
          <w:sz w:val="18"/>
          <w:szCs w:val="18"/>
          <w:vertAlign w:val="superscript"/>
          <w:lang w:val="en-GB"/>
        </w:rPr>
        <w:t>5</w:t>
      </w:r>
      <w:r w:rsidRPr="00753CE5">
        <w:rPr>
          <w:sz w:val="18"/>
          <w:szCs w:val="18"/>
          <w:lang w:val="en-GB"/>
        </w:rPr>
        <w:tab/>
        <w:t>National Association of Corrosion Engineers.</w:t>
      </w:r>
    </w:p>
    <w:p w:rsidR="00E92373" w:rsidRPr="00F74E7A" w:rsidRDefault="00E92373" w:rsidP="00E92373">
      <w:pPr>
        <w:ind w:left="1134" w:right="1134"/>
        <w:rPr>
          <w:sz w:val="18"/>
          <w:szCs w:val="18"/>
        </w:rPr>
      </w:pPr>
      <w:r w:rsidRPr="00F74E7A">
        <w:rPr>
          <w:sz w:val="18"/>
          <w:szCs w:val="18"/>
          <w:vertAlign w:val="superscript"/>
        </w:rPr>
        <w:t>6</w:t>
      </w:r>
      <w:r w:rsidRPr="00F74E7A">
        <w:rPr>
          <w:sz w:val="18"/>
          <w:szCs w:val="18"/>
        </w:rPr>
        <w:tab/>
        <w:t>Règlements de la Commission économique pour l’Europe de l’ONU.</w:t>
      </w:r>
    </w:p>
    <w:p w:rsidR="00E92373" w:rsidRPr="00F74E7A" w:rsidRDefault="00E92373" w:rsidP="00E92373">
      <w:pPr>
        <w:ind w:left="1134" w:right="1134"/>
        <w:rPr>
          <w:sz w:val="18"/>
          <w:szCs w:val="18"/>
        </w:rPr>
      </w:pPr>
      <w:r w:rsidRPr="00F74E7A">
        <w:rPr>
          <w:sz w:val="18"/>
          <w:szCs w:val="18"/>
          <w:vertAlign w:val="superscript"/>
        </w:rPr>
        <w:t>7</w:t>
      </w:r>
      <w:r w:rsidRPr="00F74E7A">
        <w:rPr>
          <w:sz w:val="18"/>
          <w:szCs w:val="18"/>
        </w:rPr>
        <w:tab/>
        <w:t>Règlements fédéraux des États-Unis d’Amérique.</w:t>
      </w:r>
    </w:p>
    <w:p w:rsidR="00E92373" w:rsidRPr="003130F9" w:rsidRDefault="00E92373" w:rsidP="00E92373">
      <w:pPr>
        <w:spacing w:after="120"/>
        <w:ind w:left="1134" w:right="1134"/>
        <w:rPr>
          <w:sz w:val="18"/>
          <w:szCs w:val="18"/>
        </w:rPr>
      </w:pPr>
      <w:r w:rsidRPr="003130F9">
        <w:rPr>
          <w:sz w:val="18"/>
          <w:szCs w:val="18"/>
          <w:vertAlign w:val="superscript"/>
        </w:rPr>
        <w:t>8</w:t>
      </w:r>
      <w:r w:rsidRPr="003130F9">
        <w:rPr>
          <w:sz w:val="18"/>
          <w:szCs w:val="18"/>
        </w:rPr>
        <w:tab/>
        <w:t>Society of Automotive Engineers.</w:t>
      </w:r>
      <w:r>
        <w:rPr>
          <w:sz w:val="18"/>
          <w:szCs w:val="18"/>
        </w:rPr>
        <w:t> ».</w:t>
      </w:r>
    </w:p>
    <w:p w:rsidR="00E92373" w:rsidRPr="003130F9" w:rsidRDefault="00E92373" w:rsidP="00E92373">
      <w:pPr>
        <w:pStyle w:val="SingleTxtG"/>
      </w:pPr>
      <w:r w:rsidRPr="003130F9">
        <w:rPr>
          <w:i/>
        </w:rPr>
        <w:t>Paragraphe 4.4</w:t>
      </w:r>
      <w:r w:rsidRPr="00D96F0B">
        <w:t>,</w:t>
      </w:r>
      <w:r w:rsidRPr="003130F9">
        <w:t xml:space="preserve"> modifier comme suit</w:t>
      </w:r>
      <w:r>
        <w:t> :</w:t>
      </w:r>
    </w:p>
    <w:p w:rsidR="00E92373" w:rsidRPr="00F74E7A" w:rsidRDefault="00E92373" w:rsidP="00E92373">
      <w:pPr>
        <w:pStyle w:val="SingleTxtG"/>
        <w:ind w:left="2268" w:hanging="1134"/>
      </w:pPr>
      <w:r>
        <w:t>« </w:t>
      </w:r>
      <w:r w:rsidRPr="00F74E7A">
        <w:t>4.4</w:t>
      </w:r>
      <w:r w:rsidRPr="00F74E7A">
        <w:tab/>
        <w:t xml:space="preserve">Par </w:t>
      </w:r>
      <w:r>
        <w:t>“</w:t>
      </w:r>
      <w:r w:rsidRPr="00F74E7A">
        <w:t>pression maximale de fonctionnement</w:t>
      </w:r>
      <w:r>
        <w:t>”</w:t>
      </w:r>
      <w:r w:rsidRPr="00F74E7A">
        <w:t>, la pression maximale pour laquelle un organe est conçu et sur la base de laquelle sa résistance est déterminée. Dans le cas d’un réservoir de GNL, c’est la pression correspondant à la valeur nominale retenue pour la soupape de décompression primaire.</w:t>
      </w:r>
      <w:r>
        <w:t> ».</w:t>
      </w:r>
    </w:p>
    <w:p w:rsidR="00E92373" w:rsidRPr="003130F9" w:rsidRDefault="00E92373" w:rsidP="00E92373">
      <w:pPr>
        <w:pStyle w:val="SingleTxtG"/>
        <w:spacing w:after="100"/>
        <w:rPr>
          <w:szCs w:val="24"/>
        </w:rPr>
      </w:pPr>
      <w:r w:rsidRPr="003130F9">
        <w:rPr>
          <w:i/>
          <w:szCs w:val="24"/>
        </w:rPr>
        <w:t>Paragraphe 4.62</w:t>
      </w:r>
      <w:r w:rsidRPr="00D96F0B">
        <w:rPr>
          <w:szCs w:val="24"/>
        </w:rPr>
        <w:t>,</w:t>
      </w:r>
      <w:r w:rsidRPr="003130F9">
        <w:rPr>
          <w:szCs w:val="24"/>
        </w:rPr>
        <w:t xml:space="preserve"> supprimer.</w:t>
      </w:r>
    </w:p>
    <w:p w:rsidR="00E92373" w:rsidRPr="00B504CE" w:rsidRDefault="00E92373" w:rsidP="00E92373">
      <w:pPr>
        <w:pStyle w:val="SingleTxtG"/>
        <w:spacing w:after="100"/>
        <w:rPr>
          <w:spacing w:val="-1"/>
          <w:szCs w:val="24"/>
        </w:rPr>
      </w:pPr>
      <w:r w:rsidRPr="00B504CE">
        <w:rPr>
          <w:i/>
          <w:spacing w:val="-1"/>
          <w:szCs w:val="24"/>
        </w:rPr>
        <w:t>Les paragraphes 4.63 à 4.7</w:t>
      </w:r>
      <w:r w:rsidR="00EF00A1">
        <w:rPr>
          <w:i/>
          <w:spacing w:val="-1"/>
          <w:szCs w:val="24"/>
        </w:rPr>
        <w:t>5</w:t>
      </w:r>
      <w:r>
        <w:rPr>
          <w:i/>
          <w:spacing w:val="-1"/>
          <w:szCs w:val="24"/>
        </w:rPr>
        <w:t xml:space="preserve"> </w:t>
      </w:r>
      <w:r>
        <w:rPr>
          <w:spacing w:val="-1"/>
          <w:szCs w:val="24"/>
        </w:rPr>
        <w:t xml:space="preserve">deviennent les </w:t>
      </w:r>
      <w:r w:rsidRPr="00B504CE">
        <w:rPr>
          <w:spacing w:val="-1"/>
          <w:szCs w:val="24"/>
        </w:rPr>
        <w:t>paragraphes 4.6</w:t>
      </w:r>
      <w:r w:rsidR="00EF00A1">
        <w:rPr>
          <w:spacing w:val="-1"/>
          <w:szCs w:val="24"/>
        </w:rPr>
        <w:t>2</w:t>
      </w:r>
      <w:r w:rsidRPr="00B504CE">
        <w:rPr>
          <w:spacing w:val="-1"/>
          <w:szCs w:val="24"/>
        </w:rPr>
        <w:t xml:space="preserve"> </w:t>
      </w:r>
      <w:r>
        <w:rPr>
          <w:spacing w:val="-1"/>
          <w:szCs w:val="24"/>
        </w:rPr>
        <w:t>à</w:t>
      </w:r>
      <w:r w:rsidRPr="00B504CE">
        <w:rPr>
          <w:spacing w:val="-1"/>
          <w:szCs w:val="24"/>
        </w:rPr>
        <w:t xml:space="preserve"> 4.7</w:t>
      </w:r>
      <w:r w:rsidR="00EF00A1">
        <w:rPr>
          <w:spacing w:val="-1"/>
          <w:szCs w:val="24"/>
        </w:rPr>
        <w:t>4</w:t>
      </w:r>
      <w:r w:rsidRPr="00B504CE">
        <w:rPr>
          <w:spacing w:val="-1"/>
          <w:szCs w:val="24"/>
        </w:rPr>
        <w:t>.</w:t>
      </w:r>
    </w:p>
    <w:p w:rsidR="00E92373" w:rsidRDefault="00E92373" w:rsidP="00E92373">
      <w:pPr>
        <w:pStyle w:val="SingleTxtG"/>
        <w:spacing w:after="100"/>
        <w:rPr>
          <w:i/>
          <w:szCs w:val="24"/>
        </w:rPr>
      </w:pPr>
      <w:bookmarkStart w:id="1" w:name="bookmark0"/>
      <w:bookmarkEnd w:id="1"/>
      <w:r w:rsidRPr="003130F9">
        <w:rPr>
          <w:i/>
          <w:szCs w:val="24"/>
        </w:rPr>
        <w:t>Annexe 3A</w:t>
      </w:r>
    </w:p>
    <w:p w:rsidR="00E92373" w:rsidRPr="003130F9" w:rsidRDefault="00E92373" w:rsidP="00E92373">
      <w:pPr>
        <w:pStyle w:val="SingleTxtG"/>
        <w:spacing w:after="100"/>
        <w:rPr>
          <w:szCs w:val="24"/>
        </w:rPr>
      </w:pPr>
      <w:r w:rsidRPr="003130F9">
        <w:rPr>
          <w:i/>
          <w:szCs w:val="24"/>
        </w:rPr>
        <w:t>Paragraphe 1</w:t>
      </w:r>
      <w:r w:rsidRPr="00D96F0B">
        <w:rPr>
          <w:szCs w:val="24"/>
        </w:rPr>
        <w:t>,</w:t>
      </w:r>
      <w:r w:rsidRPr="003130F9">
        <w:rPr>
          <w:szCs w:val="24"/>
        </w:rPr>
        <w:t xml:space="preserve"> modifier comme suit</w:t>
      </w:r>
      <w:r>
        <w:rPr>
          <w:szCs w:val="24"/>
        </w:rPr>
        <w:t> :</w:t>
      </w:r>
    </w:p>
    <w:p w:rsidR="00E92373" w:rsidRPr="00B504CE" w:rsidRDefault="00E92373" w:rsidP="00E92373">
      <w:pPr>
        <w:pStyle w:val="SingleTxtG"/>
        <w:spacing w:after="100"/>
      </w:pPr>
      <w:r>
        <w:t>« </w:t>
      </w:r>
      <w:r w:rsidRPr="003130F9">
        <w:t>1.</w:t>
      </w:r>
      <w:r w:rsidRPr="003130F9">
        <w:tab/>
      </w:r>
      <w:r w:rsidRPr="003130F9">
        <w:tab/>
      </w:r>
      <w:r w:rsidRPr="00B504CE">
        <w:t>Domaine d’application</w:t>
      </w:r>
    </w:p>
    <w:p w:rsidR="00E92373" w:rsidRPr="00B504CE" w:rsidRDefault="00E92373" w:rsidP="00E92373">
      <w:pPr>
        <w:pStyle w:val="SingleTxtG"/>
        <w:spacing w:after="100"/>
        <w:ind w:left="2268"/>
      </w:pPr>
      <w:r w:rsidRPr="00B504CE">
        <w:t>Les bouteilles visées dans la présente annexe relèvent de la classe 0, telle qu’elle est définie au paragraphe 3 du présent Règlement, et sont désignées de la façon suivante</w:t>
      </w:r>
      <w:r>
        <w:t> :</w:t>
      </w:r>
    </w:p>
    <w:p w:rsidR="00E92373" w:rsidRPr="00B504CE" w:rsidRDefault="00E92373" w:rsidP="00E92373">
      <w:pPr>
        <w:pStyle w:val="SingleTxtG"/>
        <w:spacing w:after="100"/>
        <w:ind w:left="2268"/>
        <w:rPr>
          <w:szCs w:val="24"/>
        </w:rPr>
      </w:pPr>
      <w:r w:rsidRPr="00B504CE">
        <w:rPr>
          <w:szCs w:val="24"/>
        </w:rPr>
        <w:tab/>
      </w:r>
      <w:r>
        <w:rPr>
          <w:szCs w:val="24"/>
        </w:rPr>
        <w:t>GNC</w:t>
      </w:r>
      <w:r w:rsidRPr="00B504CE">
        <w:rPr>
          <w:szCs w:val="24"/>
        </w:rPr>
        <w:t>-1</w:t>
      </w:r>
      <w:r w:rsidRPr="00B504CE">
        <w:rPr>
          <w:szCs w:val="24"/>
        </w:rPr>
        <w:tab/>
        <w:t>Métallique</w:t>
      </w:r>
    </w:p>
    <w:p w:rsidR="00E92373" w:rsidRPr="00B504CE" w:rsidRDefault="00E92373" w:rsidP="00E92373">
      <w:pPr>
        <w:pStyle w:val="SingleTxtG"/>
        <w:spacing w:after="100"/>
        <w:ind w:left="3402" w:hanging="1134"/>
        <w:rPr>
          <w:szCs w:val="24"/>
        </w:rPr>
      </w:pPr>
      <w:r>
        <w:rPr>
          <w:szCs w:val="24"/>
        </w:rPr>
        <w:t>GNC</w:t>
      </w:r>
      <w:r w:rsidRPr="00B504CE">
        <w:rPr>
          <w:szCs w:val="24"/>
        </w:rPr>
        <w:t>-2</w:t>
      </w:r>
      <w:r w:rsidRPr="00B504CE">
        <w:rPr>
          <w:szCs w:val="24"/>
        </w:rPr>
        <w:tab/>
        <w:t>Enveloppe métallique renforcée par un filament continu imprégné de résine (bobiné sur la partie cylindrique)</w:t>
      </w:r>
      <w:r>
        <w:rPr>
          <w:szCs w:val="24"/>
        </w:rPr>
        <w:t> ;</w:t>
      </w:r>
    </w:p>
    <w:p w:rsidR="00E92373" w:rsidRPr="00B504CE" w:rsidRDefault="00E92373" w:rsidP="00E92373">
      <w:pPr>
        <w:pStyle w:val="SingleTxtG"/>
        <w:spacing w:after="100"/>
        <w:ind w:left="3402" w:hanging="1134"/>
        <w:rPr>
          <w:szCs w:val="24"/>
        </w:rPr>
      </w:pPr>
      <w:r>
        <w:rPr>
          <w:szCs w:val="24"/>
        </w:rPr>
        <w:t>GNC</w:t>
      </w:r>
      <w:r w:rsidRPr="00B504CE">
        <w:rPr>
          <w:szCs w:val="24"/>
        </w:rPr>
        <w:t>-3</w:t>
      </w:r>
      <w:r w:rsidRPr="00B504CE">
        <w:rPr>
          <w:szCs w:val="24"/>
        </w:rPr>
        <w:tab/>
        <w:t>Enveloppe métallique renforcée par un filament continu imprégné de résine (entièrement bobiné)</w:t>
      </w:r>
      <w:r>
        <w:rPr>
          <w:szCs w:val="24"/>
        </w:rPr>
        <w:t> ;</w:t>
      </w:r>
    </w:p>
    <w:p w:rsidR="00E92373" w:rsidRPr="00B504CE" w:rsidRDefault="00E92373" w:rsidP="00E92373">
      <w:pPr>
        <w:pStyle w:val="SingleTxtG"/>
        <w:spacing w:after="100"/>
        <w:ind w:left="3402" w:hanging="1134"/>
        <w:rPr>
          <w:szCs w:val="24"/>
        </w:rPr>
      </w:pPr>
      <w:r>
        <w:rPr>
          <w:szCs w:val="24"/>
        </w:rPr>
        <w:t>GNC</w:t>
      </w:r>
      <w:r w:rsidRPr="00B504CE">
        <w:rPr>
          <w:szCs w:val="24"/>
        </w:rPr>
        <w:t>-4</w:t>
      </w:r>
      <w:r w:rsidRPr="00B504CE">
        <w:rPr>
          <w:szCs w:val="24"/>
        </w:rPr>
        <w:tab/>
        <w:t>Filament continu imprégné de résine avec enveloppe non métallique (entièrement composite).</w:t>
      </w:r>
    </w:p>
    <w:p w:rsidR="00E92373" w:rsidRPr="007627F0" w:rsidRDefault="00E92373" w:rsidP="00E92373">
      <w:pPr>
        <w:pStyle w:val="SingleTxtG"/>
        <w:spacing w:after="100"/>
        <w:ind w:left="2268"/>
        <w:rPr>
          <w:b/>
          <w:szCs w:val="24"/>
        </w:rPr>
      </w:pPr>
      <w:r w:rsidRPr="00B504CE">
        <w:rPr>
          <w:spacing w:val="-1"/>
          <w:szCs w:val="24"/>
        </w:rPr>
        <w:tab/>
        <w:t xml:space="preserve">Les conditions d’utilisation auxquelles les bouteilles sont soumises sont détaillées au paragraphe 4 de la présente annexe. </w:t>
      </w:r>
      <w:r w:rsidRPr="007627F0">
        <w:rPr>
          <w:b/>
          <w:spacing w:val="-1"/>
          <w:szCs w:val="24"/>
        </w:rPr>
        <w:t xml:space="preserve">Bien que la valeur </w:t>
      </w:r>
      <w:r w:rsidRPr="007627F0">
        <w:rPr>
          <w:b/>
          <w:szCs w:val="24"/>
        </w:rPr>
        <w:t>20</w:t>
      </w:r>
      <w:r>
        <w:rPr>
          <w:b/>
          <w:szCs w:val="24"/>
        </w:rPr>
        <w:t> MPa</w:t>
      </w:r>
      <w:r w:rsidRPr="007627F0">
        <w:rPr>
          <w:b/>
          <w:szCs w:val="24"/>
        </w:rPr>
        <w:t xml:space="preserve"> </w:t>
      </w:r>
      <w:r>
        <w:rPr>
          <w:b/>
          <w:szCs w:val="24"/>
        </w:rPr>
        <w:t xml:space="preserve">y soit utilisée </w:t>
      </w:r>
      <w:r w:rsidRPr="007627F0">
        <w:rPr>
          <w:b/>
          <w:szCs w:val="24"/>
        </w:rPr>
        <w:t>comme pression maximale de fonctionnement</w:t>
      </w:r>
      <w:r>
        <w:rPr>
          <w:b/>
          <w:szCs w:val="24"/>
        </w:rPr>
        <w:t xml:space="preserve"> de référence, d</w:t>
      </w:r>
      <w:r w:rsidRPr="007627F0">
        <w:rPr>
          <w:b/>
          <w:szCs w:val="24"/>
        </w:rPr>
        <w:t>’</w:t>
      </w:r>
      <w:r>
        <w:rPr>
          <w:b/>
          <w:szCs w:val="24"/>
        </w:rPr>
        <w:t xml:space="preserve">autres valeurs de </w:t>
      </w:r>
      <w:r w:rsidRPr="007627F0">
        <w:rPr>
          <w:b/>
          <w:szCs w:val="24"/>
        </w:rPr>
        <w:t>pression maximale de fonctionnement</w:t>
      </w:r>
      <w:r>
        <w:rPr>
          <w:b/>
          <w:szCs w:val="24"/>
        </w:rPr>
        <w:t xml:space="preserve"> peuvent être utilisées. </w:t>
      </w:r>
    </w:p>
    <w:p w:rsidR="00E92373" w:rsidRPr="007627F0" w:rsidRDefault="00E92373" w:rsidP="00E92373">
      <w:pPr>
        <w:pStyle w:val="SingleTxtG"/>
        <w:spacing w:after="100"/>
        <w:ind w:left="2268"/>
        <w:rPr>
          <w:spacing w:val="-1"/>
          <w:szCs w:val="24"/>
        </w:rPr>
      </w:pPr>
      <w:r w:rsidRPr="007627F0">
        <w:rPr>
          <w:szCs w:val="24"/>
        </w:rPr>
        <w:tab/>
        <w:t>La durée de service des bouteilles</w:t>
      </w:r>
      <w:r w:rsidRPr="007627F0">
        <w:rPr>
          <w:spacing w:val="1"/>
          <w:szCs w:val="24"/>
        </w:rPr>
        <w:t xml:space="preserve"> </w:t>
      </w:r>
      <w:r w:rsidRPr="007627F0">
        <w:rPr>
          <w:spacing w:val="-1"/>
          <w:szCs w:val="24"/>
        </w:rPr>
        <w:t>…</w:t>
      </w:r>
    </w:p>
    <w:p w:rsidR="00E92373" w:rsidRPr="0031355E" w:rsidRDefault="00E92373" w:rsidP="00E92373">
      <w:pPr>
        <w:pStyle w:val="SingleTxtG"/>
        <w:spacing w:after="100"/>
        <w:ind w:left="2268"/>
        <w:rPr>
          <w:szCs w:val="24"/>
        </w:rPr>
      </w:pPr>
      <w:r w:rsidRPr="007627F0">
        <w:rPr>
          <w:spacing w:val="-1"/>
          <w:szCs w:val="24"/>
        </w:rPr>
        <w:tab/>
      </w:r>
      <w:r w:rsidRPr="0031355E">
        <w:rPr>
          <w:spacing w:val="-1"/>
          <w:szCs w:val="24"/>
        </w:rPr>
        <w:t>…</w:t>
      </w:r>
      <w:r>
        <w:rPr>
          <w:spacing w:val="-1"/>
          <w:szCs w:val="24"/>
        </w:rPr>
        <w:t> ».</w:t>
      </w:r>
    </w:p>
    <w:p w:rsidR="00E92373" w:rsidRPr="00753CE5" w:rsidRDefault="00E92373" w:rsidP="001524AD">
      <w:pPr>
        <w:pStyle w:val="SingleTxtG"/>
        <w:keepNext/>
        <w:spacing w:after="100"/>
      </w:pPr>
      <w:r w:rsidRPr="00EE58E6">
        <w:rPr>
          <w:i/>
        </w:rPr>
        <w:t>Paragraphes 4.2 et 4.3</w:t>
      </w:r>
      <w:r w:rsidRPr="00753CE5">
        <w:t>, modifier comme suit</w:t>
      </w:r>
      <w:r>
        <w:t> :</w:t>
      </w:r>
    </w:p>
    <w:p w:rsidR="00E92373" w:rsidRPr="00E07900" w:rsidRDefault="00E92373" w:rsidP="00E92373">
      <w:pPr>
        <w:pStyle w:val="SingleTxtG"/>
        <w:spacing w:after="100"/>
        <w:ind w:left="2268" w:hanging="1134"/>
        <w:rPr>
          <w:szCs w:val="24"/>
        </w:rPr>
      </w:pPr>
      <w:r>
        <w:rPr>
          <w:szCs w:val="24"/>
        </w:rPr>
        <w:t>« </w:t>
      </w:r>
      <w:r w:rsidRPr="00E07900">
        <w:rPr>
          <w:szCs w:val="24"/>
        </w:rPr>
        <w:t>4.2</w:t>
      </w:r>
      <w:r w:rsidRPr="00E07900">
        <w:rPr>
          <w:szCs w:val="24"/>
        </w:rPr>
        <w:tab/>
        <w:t>Pressions maximales</w:t>
      </w:r>
    </w:p>
    <w:p w:rsidR="00E92373" w:rsidRPr="007164D0" w:rsidRDefault="00E92373" w:rsidP="00E92373">
      <w:pPr>
        <w:pStyle w:val="SingleTxtG"/>
        <w:spacing w:after="100"/>
        <w:ind w:left="2268"/>
        <w:rPr>
          <w:szCs w:val="24"/>
        </w:rPr>
      </w:pPr>
      <w:r w:rsidRPr="00E07900">
        <w:rPr>
          <w:b/>
          <w:szCs w:val="24"/>
        </w:rPr>
        <w:tab/>
        <w:t xml:space="preserve">La présente annexe </w:t>
      </w:r>
      <w:r>
        <w:rPr>
          <w:b/>
          <w:szCs w:val="24"/>
        </w:rPr>
        <w:t xml:space="preserve">est fondée sur </w:t>
      </w:r>
      <w:r w:rsidRPr="00E07900">
        <w:rPr>
          <w:b/>
          <w:szCs w:val="24"/>
        </w:rPr>
        <w:t>une pression maximale de fonctionnement de 20</w:t>
      </w:r>
      <w:r>
        <w:rPr>
          <w:b/>
          <w:szCs w:val="24"/>
        </w:rPr>
        <w:t> MPa</w:t>
      </w:r>
      <w:r w:rsidRPr="00E07900">
        <w:rPr>
          <w:b/>
          <w:szCs w:val="24"/>
        </w:rPr>
        <w:t xml:space="preserve"> à 15</w:t>
      </w:r>
      <w:r>
        <w:rPr>
          <w:b/>
          <w:szCs w:val="24"/>
        </w:rPr>
        <w:t> °C</w:t>
      </w:r>
      <w:r w:rsidRPr="00E07900">
        <w:rPr>
          <w:b/>
          <w:szCs w:val="24"/>
        </w:rPr>
        <w:t xml:space="preserve"> pour du gaz naturel utilisé comme carburant, avec une pression maximale de remplissage de 26</w:t>
      </w:r>
      <w:r>
        <w:rPr>
          <w:b/>
          <w:szCs w:val="24"/>
        </w:rPr>
        <w:t> MPa</w:t>
      </w:r>
      <w:r w:rsidRPr="00E07900">
        <w:rPr>
          <w:b/>
          <w:szCs w:val="24"/>
        </w:rPr>
        <w:t>.</w:t>
      </w:r>
      <w:r>
        <w:rPr>
          <w:b/>
          <w:szCs w:val="24"/>
        </w:rPr>
        <w:t xml:space="preserve"> </w:t>
      </w:r>
      <w:r w:rsidRPr="00E07900">
        <w:rPr>
          <w:b/>
          <w:szCs w:val="24"/>
        </w:rPr>
        <w:t>D’autres pressions maximales de fonctionnement peuvent être utilisées, en multipliant la pression par le facteur (coefficient) approprié</w:t>
      </w:r>
      <w:r>
        <w:rPr>
          <w:b/>
          <w:szCs w:val="24"/>
        </w:rPr>
        <w:t xml:space="preserve">. </w:t>
      </w:r>
      <w:r w:rsidRPr="007164D0">
        <w:rPr>
          <w:b/>
          <w:szCs w:val="24"/>
        </w:rPr>
        <w:t>Par exemple, dans le cas d’un système ayant une pression maximale de fonctionnement de 2</w:t>
      </w:r>
      <w:r>
        <w:rPr>
          <w:b/>
          <w:szCs w:val="24"/>
        </w:rPr>
        <w:t>4 MPa</w:t>
      </w:r>
      <w:r w:rsidRPr="007164D0">
        <w:rPr>
          <w:b/>
          <w:szCs w:val="24"/>
        </w:rPr>
        <w:t xml:space="preserve">, les pressions </w:t>
      </w:r>
      <w:r>
        <w:rPr>
          <w:b/>
          <w:szCs w:val="24"/>
        </w:rPr>
        <w:t>dev</w:t>
      </w:r>
      <w:r w:rsidRPr="007164D0">
        <w:rPr>
          <w:b/>
          <w:szCs w:val="24"/>
        </w:rPr>
        <w:t xml:space="preserve">ront </w:t>
      </w:r>
      <w:r>
        <w:rPr>
          <w:b/>
          <w:szCs w:val="24"/>
        </w:rPr>
        <w:t xml:space="preserve">être </w:t>
      </w:r>
      <w:r w:rsidRPr="007164D0">
        <w:rPr>
          <w:b/>
          <w:szCs w:val="24"/>
        </w:rPr>
        <w:t>multipliées par 1,2</w:t>
      </w:r>
      <w:r>
        <w:rPr>
          <w:b/>
          <w:szCs w:val="24"/>
        </w:rPr>
        <w:t>0</w:t>
      </w:r>
      <w:r w:rsidRPr="007164D0">
        <w:rPr>
          <w:b/>
          <w:szCs w:val="24"/>
        </w:rPr>
        <w:t>.</w:t>
      </w:r>
      <w:r>
        <w:rPr>
          <w:b/>
          <w:szCs w:val="24"/>
        </w:rPr>
        <w:t xml:space="preserve"> Sauf lorsque les pressions ont été ajustées de cette manière, </w:t>
      </w:r>
      <w:r w:rsidRPr="00413763">
        <w:rPr>
          <w:b/>
          <w:szCs w:val="24"/>
        </w:rPr>
        <w:t>l</w:t>
      </w:r>
      <w:r w:rsidRPr="007164D0">
        <w:rPr>
          <w:szCs w:val="24"/>
        </w:rPr>
        <w:t>a pression de la bouteille doit être limitée à</w:t>
      </w:r>
      <w:r>
        <w:rPr>
          <w:szCs w:val="24"/>
        </w:rPr>
        <w:t> :</w:t>
      </w:r>
    </w:p>
    <w:p w:rsidR="00E92373" w:rsidRPr="0066458B" w:rsidRDefault="00E92373" w:rsidP="00E92373">
      <w:pPr>
        <w:pStyle w:val="SingleTxtG"/>
        <w:spacing w:after="100"/>
        <w:ind w:left="2835" w:hanging="567"/>
        <w:rPr>
          <w:szCs w:val="24"/>
        </w:rPr>
      </w:pPr>
      <w:r w:rsidRPr="0066458B">
        <w:rPr>
          <w:szCs w:val="24"/>
        </w:rPr>
        <w:t>a)</w:t>
      </w:r>
      <w:r w:rsidRPr="0066458B">
        <w:rPr>
          <w:szCs w:val="24"/>
        </w:rPr>
        <w:tab/>
        <w:t>Une pression stabilisée de 20</w:t>
      </w:r>
      <w:r>
        <w:rPr>
          <w:szCs w:val="24"/>
        </w:rPr>
        <w:t> MPa</w:t>
      </w:r>
      <w:r w:rsidRPr="0066458B">
        <w:rPr>
          <w:szCs w:val="24"/>
        </w:rPr>
        <w:t xml:space="preserve"> à une température stabilisée de 15</w:t>
      </w:r>
      <w:r>
        <w:rPr>
          <w:szCs w:val="24"/>
        </w:rPr>
        <w:t> °C ;</w:t>
      </w:r>
    </w:p>
    <w:p w:rsidR="00E92373" w:rsidRPr="0066458B" w:rsidRDefault="00E92373" w:rsidP="00E92373">
      <w:pPr>
        <w:pStyle w:val="SingleTxtG"/>
        <w:spacing w:after="100"/>
        <w:ind w:left="2835" w:hanging="567"/>
        <w:rPr>
          <w:szCs w:val="24"/>
        </w:rPr>
      </w:pPr>
      <w:r w:rsidRPr="0066458B">
        <w:rPr>
          <w:szCs w:val="24"/>
        </w:rPr>
        <w:t>b)</w:t>
      </w:r>
      <w:r w:rsidRPr="0066458B">
        <w:rPr>
          <w:szCs w:val="24"/>
        </w:rPr>
        <w:tab/>
        <w:t>26</w:t>
      </w:r>
      <w:r>
        <w:rPr>
          <w:szCs w:val="24"/>
        </w:rPr>
        <w:t> MPa</w:t>
      </w:r>
      <w:r w:rsidRPr="0066458B">
        <w:rPr>
          <w:szCs w:val="24"/>
        </w:rPr>
        <w:t>, immédiatement après remplissage, quelle que soit la température</w:t>
      </w:r>
      <w:r>
        <w:rPr>
          <w:szCs w:val="24"/>
        </w:rPr>
        <w:t> ;</w:t>
      </w:r>
    </w:p>
    <w:p w:rsidR="00E92373" w:rsidRPr="0066458B" w:rsidRDefault="00E92373" w:rsidP="00E92373">
      <w:pPr>
        <w:pStyle w:val="SingleTxtG"/>
        <w:spacing w:after="100"/>
        <w:ind w:left="2268" w:hanging="1134"/>
        <w:rPr>
          <w:szCs w:val="24"/>
        </w:rPr>
      </w:pPr>
      <w:r w:rsidRPr="0066458B">
        <w:rPr>
          <w:szCs w:val="24"/>
        </w:rPr>
        <w:t>4.3</w:t>
      </w:r>
      <w:r w:rsidRPr="0066458B">
        <w:rPr>
          <w:szCs w:val="24"/>
        </w:rPr>
        <w:tab/>
        <w:t>Nombre maximal de cycles de remplissage</w:t>
      </w:r>
    </w:p>
    <w:p w:rsidR="00E92373" w:rsidRPr="00D23F3F" w:rsidRDefault="00E92373" w:rsidP="00E92373">
      <w:pPr>
        <w:pStyle w:val="SingleTxtG"/>
        <w:spacing w:after="100"/>
        <w:ind w:left="2268" w:hanging="1134"/>
        <w:rPr>
          <w:spacing w:val="-1"/>
          <w:szCs w:val="24"/>
        </w:rPr>
      </w:pPr>
      <w:r w:rsidRPr="0066458B">
        <w:rPr>
          <w:spacing w:val="-1"/>
          <w:szCs w:val="24"/>
        </w:rPr>
        <w:tab/>
      </w:r>
      <w:r w:rsidRPr="00D23F3F">
        <w:rPr>
          <w:spacing w:val="-1"/>
          <w:szCs w:val="24"/>
        </w:rPr>
        <w:t>Les bouteilles sont conçues de façon à être remplies jusqu’à 1</w:t>
      </w:r>
      <w:r>
        <w:rPr>
          <w:spacing w:val="-1"/>
          <w:szCs w:val="24"/>
        </w:rPr>
        <w:t> </w:t>
      </w:r>
      <w:r w:rsidRPr="00D23F3F">
        <w:rPr>
          <w:spacing w:val="-1"/>
          <w:szCs w:val="24"/>
        </w:rPr>
        <w:t>000 fois par an, pendant toute la durée de service.</w:t>
      </w:r>
      <w:r>
        <w:rPr>
          <w:spacing w:val="-1"/>
          <w:szCs w:val="24"/>
        </w:rPr>
        <w:t> ».</w:t>
      </w:r>
    </w:p>
    <w:p w:rsidR="00E92373" w:rsidRPr="0031355E" w:rsidRDefault="00E92373" w:rsidP="00E92373">
      <w:pPr>
        <w:pStyle w:val="SingleTxtG"/>
        <w:spacing w:after="100"/>
      </w:pPr>
      <w:r w:rsidRPr="0031355E">
        <w:rPr>
          <w:i/>
        </w:rPr>
        <w:t>Paragraphe 4.5</w:t>
      </w:r>
      <w:r w:rsidRPr="00D96F0B">
        <w:t>,</w:t>
      </w:r>
      <w:r w:rsidRPr="0031355E">
        <w:t xml:space="preserve"> modifier comme suit</w:t>
      </w:r>
      <w:r>
        <w:t> :</w:t>
      </w:r>
    </w:p>
    <w:p w:rsidR="00E92373" w:rsidRPr="0031355E" w:rsidRDefault="00E92373" w:rsidP="00E92373">
      <w:pPr>
        <w:pStyle w:val="SingleTxtG"/>
        <w:spacing w:after="100"/>
        <w:ind w:left="2268" w:hanging="1134"/>
        <w:rPr>
          <w:szCs w:val="24"/>
        </w:rPr>
      </w:pPr>
      <w:r>
        <w:rPr>
          <w:szCs w:val="24"/>
        </w:rPr>
        <w:t>« </w:t>
      </w:r>
      <w:r w:rsidRPr="0031355E">
        <w:rPr>
          <w:szCs w:val="24"/>
        </w:rPr>
        <w:t>4.5</w:t>
      </w:r>
      <w:r w:rsidRPr="0031355E">
        <w:rPr>
          <w:szCs w:val="24"/>
        </w:rPr>
        <w:tab/>
      </w:r>
      <w:r w:rsidRPr="00D23F3F">
        <w:rPr>
          <w:szCs w:val="24"/>
        </w:rPr>
        <w:t>Composition du gaz</w:t>
      </w:r>
    </w:p>
    <w:p w:rsidR="00E92373" w:rsidRPr="003130F9" w:rsidRDefault="00E92373" w:rsidP="00E92373">
      <w:pPr>
        <w:pStyle w:val="SingleTxtG"/>
        <w:spacing w:after="100"/>
        <w:ind w:left="2268" w:hanging="1134"/>
        <w:rPr>
          <w:b/>
          <w:szCs w:val="24"/>
        </w:rPr>
      </w:pPr>
      <w:r w:rsidRPr="003130F9">
        <w:rPr>
          <w:b/>
          <w:szCs w:val="24"/>
        </w:rPr>
        <w:t>4.5.1</w:t>
      </w:r>
      <w:r w:rsidRPr="003130F9">
        <w:rPr>
          <w:b/>
          <w:szCs w:val="24"/>
        </w:rPr>
        <w:tab/>
        <w:t>Généralités</w:t>
      </w:r>
    </w:p>
    <w:p w:rsidR="00E92373" w:rsidRDefault="00E92373" w:rsidP="00E92373">
      <w:pPr>
        <w:pStyle w:val="SingleTxtG"/>
        <w:spacing w:after="100"/>
        <w:ind w:left="2268"/>
        <w:rPr>
          <w:szCs w:val="24"/>
        </w:rPr>
      </w:pPr>
      <w:r w:rsidRPr="003130F9">
        <w:rPr>
          <w:b/>
          <w:szCs w:val="24"/>
        </w:rPr>
        <w:tab/>
      </w:r>
      <w:r w:rsidRPr="00D23F3F">
        <w:rPr>
          <w:b/>
          <w:szCs w:val="24"/>
        </w:rPr>
        <w:t xml:space="preserve">Les bouteilles doivent être conçues de façon à pouvoir être remplies avec du gaz naturel conforme aux spécifications </w:t>
      </w:r>
      <w:r>
        <w:rPr>
          <w:b/>
          <w:szCs w:val="24"/>
        </w:rPr>
        <w:t xml:space="preserve">des </w:t>
      </w:r>
      <w:r w:rsidRPr="00D23F3F">
        <w:rPr>
          <w:b/>
          <w:szCs w:val="24"/>
        </w:rPr>
        <w:t>norme</w:t>
      </w:r>
      <w:r>
        <w:rPr>
          <w:b/>
          <w:szCs w:val="24"/>
        </w:rPr>
        <w:t>s</w:t>
      </w:r>
      <w:r w:rsidRPr="00D23F3F">
        <w:rPr>
          <w:b/>
          <w:szCs w:val="24"/>
        </w:rPr>
        <w:t xml:space="preserve"> ISO 15403-1 </w:t>
      </w:r>
      <w:r>
        <w:rPr>
          <w:b/>
          <w:szCs w:val="24"/>
        </w:rPr>
        <w:t>et</w:t>
      </w:r>
      <w:r w:rsidRPr="00D23F3F">
        <w:rPr>
          <w:b/>
          <w:szCs w:val="24"/>
        </w:rPr>
        <w:t xml:space="preserve"> ISO/TR 15403-2, </w:t>
      </w:r>
      <w:r>
        <w:rPr>
          <w:b/>
          <w:szCs w:val="24"/>
        </w:rPr>
        <w:t>ainsi qu</w:t>
      </w:r>
      <w:r w:rsidRPr="00D23F3F">
        <w:rPr>
          <w:b/>
          <w:szCs w:val="24"/>
        </w:rPr>
        <w:t>’</w:t>
      </w:r>
      <w:r>
        <w:rPr>
          <w:b/>
          <w:szCs w:val="24"/>
        </w:rPr>
        <w:t>avec du gaz sec ou du gaz humide tels qu</w:t>
      </w:r>
      <w:r w:rsidRPr="00D23F3F">
        <w:rPr>
          <w:b/>
          <w:szCs w:val="24"/>
        </w:rPr>
        <w:t>’</w:t>
      </w:r>
      <w:r>
        <w:rPr>
          <w:b/>
          <w:szCs w:val="24"/>
        </w:rPr>
        <w:t xml:space="preserve">ils sont décrits aux </w:t>
      </w:r>
      <w:r w:rsidRPr="00031F05">
        <w:rPr>
          <w:b/>
          <w:szCs w:val="24"/>
        </w:rPr>
        <w:t xml:space="preserve">paragraphes 4.5.2 </w:t>
      </w:r>
      <w:r>
        <w:rPr>
          <w:b/>
          <w:szCs w:val="24"/>
        </w:rPr>
        <w:t>et</w:t>
      </w:r>
      <w:r w:rsidRPr="00031F05">
        <w:rPr>
          <w:b/>
          <w:szCs w:val="24"/>
        </w:rPr>
        <w:t xml:space="preserve"> 4.5.3, respective</w:t>
      </w:r>
      <w:r>
        <w:rPr>
          <w:b/>
          <w:szCs w:val="24"/>
        </w:rPr>
        <w:t>ment</w:t>
      </w:r>
      <w:r w:rsidRPr="00031F05">
        <w:rPr>
          <w:b/>
          <w:szCs w:val="24"/>
        </w:rPr>
        <w:t>.</w:t>
      </w:r>
      <w:r w:rsidRPr="00031F05">
        <w:rPr>
          <w:szCs w:val="24"/>
        </w:rPr>
        <w:t xml:space="preserve"> Du méthanol et/ou du glycol ne doivent pas être délib</w:t>
      </w:r>
      <w:r w:rsidR="00EF00A1">
        <w:rPr>
          <w:szCs w:val="24"/>
        </w:rPr>
        <w:t>érément ajoutés au gaz naturel.</w:t>
      </w:r>
    </w:p>
    <w:p w:rsidR="00E92373" w:rsidRPr="00031F05" w:rsidRDefault="00E92373" w:rsidP="00E92373">
      <w:pPr>
        <w:pStyle w:val="SingleTxtG"/>
        <w:ind w:left="2268" w:hanging="1134"/>
        <w:rPr>
          <w:szCs w:val="24"/>
        </w:rPr>
      </w:pPr>
      <w:r w:rsidRPr="00031F05">
        <w:rPr>
          <w:b/>
          <w:szCs w:val="24"/>
        </w:rPr>
        <w:t>4.5.2</w:t>
      </w:r>
      <w:r w:rsidRPr="00031F05">
        <w:rPr>
          <w:szCs w:val="24"/>
        </w:rPr>
        <w:tab/>
      </w:r>
      <w:r w:rsidRPr="00CE494B">
        <w:rPr>
          <w:b/>
          <w:szCs w:val="24"/>
        </w:rPr>
        <w:t>Gaz sec</w:t>
      </w:r>
    </w:p>
    <w:p w:rsidR="00E92373" w:rsidRDefault="00E92373" w:rsidP="00E92373">
      <w:pPr>
        <w:pStyle w:val="SingleTxtG"/>
        <w:ind w:left="2268"/>
        <w:rPr>
          <w:szCs w:val="24"/>
        </w:rPr>
      </w:pPr>
      <w:r w:rsidRPr="00031F05">
        <w:rPr>
          <w:szCs w:val="24"/>
        </w:rPr>
        <w:tab/>
        <w:t>La vapeur d’eau doit normalement être limitée à moins de 32</w:t>
      </w:r>
      <w:r>
        <w:rPr>
          <w:szCs w:val="24"/>
        </w:rPr>
        <w:t> mg</w:t>
      </w:r>
      <w:r w:rsidRPr="00031F05">
        <w:rPr>
          <w:szCs w:val="24"/>
        </w:rPr>
        <w:t>/m</w:t>
      </w:r>
      <w:r w:rsidRPr="00CE494B">
        <w:rPr>
          <w:szCs w:val="24"/>
          <w:vertAlign w:val="superscript"/>
        </w:rPr>
        <w:t>3</w:t>
      </w:r>
      <w:r w:rsidRPr="00031F05">
        <w:rPr>
          <w:szCs w:val="24"/>
        </w:rPr>
        <w:t>, avec un point de rosée de -9</w:t>
      </w:r>
      <w:r>
        <w:rPr>
          <w:szCs w:val="24"/>
        </w:rPr>
        <w:t> °C</w:t>
      </w:r>
      <w:r w:rsidRPr="00031F05">
        <w:rPr>
          <w:szCs w:val="24"/>
        </w:rPr>
        <w:t xml:space="preserve"> à 20</w:t>
      </w:r>
      <w:r>
        <w:rPr>
          <w:szCs w:val="24"/>
        </w:rPr>
        <w:t> MPa</w:t>
      </w:r>
      <w:r w:rsidRPr="00031F05">
        <w:rPr>
          <w:szCs w:val="24"/>
        </w:rPr>
        <w:t>. Il ne doit pas y avoir de limites en ce qui concerne les composants pour les gaz secs, sauf pour</w:t>
      </w:r>
      <w:r>
        <w:rPr>
          <w:szCs w:val="24"/>
        </w:rPr>
        <w:t> :</w:t>
      </w:r>
    </w:p>
    <w:p w:rsidR="00E92373" w:rsidRPr="00031F05" w:rsidRDefault="00E92373" w:rsidP="00E92373">
      <w:pPr>
        <w:pStyle w:val="SingleTxtG"/>
        <w:tabs>
          <w:tab w:val="right" w:pos="8505"/>
        </w:tabs>
        <w:ind w:left="2268"/>
        <w:rPr>
          <w:szCs w:val="24"/>
        </w:rPr>
      </w:pPr>
      <w:r w:rsidRPr="00031F05">
        <w:rPr>
          <w:szCs w:val="24"/>
        </w:rPr>
        <w:t>Le sulfure d’hydrogène et les autres sulfures solubles</w:t>
      </w:r>
      <w:r>
        <w:rPr>
          <w:szCs w:val="24"/>
        </w:rPr>
        <w:t> :</w:t>
      </w:r>
      <w:r>
        <w:rPr>
          <w:szCs w:val="24"/>
        </w:rPr>
        <w:tab/>
      </w:r>
      <w:r w:rsidRPr="00031F05">
        <w:rPr>
          <w:szCs w:val="24"/>
        </w:rPr>
        <w:t>23</w:t>
      </w:r>
      <w:r>
        <w:rPr>
          <w:szCs w:val="24"/>
        </w:rPr>
        <w:t> mg</w:t>
      </w:r>
      <w:r w:rsidRPr="00031F05">
        <w:rPr>
          <w:szCs w:val="24"/>
        </w:rPr>
        <w:t>/m</w:t>
      </w:r>
      <w:r w:rsidRPr="00031F05">
        <w:rPr>
          <w:szCs w:val="24"/>
          <w:vertAlign w:val="superscript"/>
        </w:rPr>
        <w:t>3</w:t>
      </w:r>
    </w:p>
    <w:p w:rsidR="00E92373" w:rsidRPr="00031F05" w:rsidRDefault="00E92373" w:rsidP="00E92373">
      <w:pPr>
        <w:pStyle w:val="SingleTxtG"/>
        <w:tabs>
          <w:tab w:val="right" w:pos="8505"/>
        </w:tabs>
        <w:ind w:left="2268"/>
        <w:rPr>
          <w:szCs w:val="24"/>
        </w:rPr>
      </w:pPr>
      <w:r w:rsidRPr="00031F05">
        <w:rPr>
          <w:szCs w:val="24"/>
        </w:rPr>
        <w:t>L’oxygène</w:t>
      </w:r>
      <w:r>
        <w:rPr>
          <w:szCs w:val="24"/>
        </w:rPr>
        <w:t> :</w:t>
      </w:r>
      <w:r w:rsidRPr="00031F05">
        <w:rPr>
          <w:szCs w:val="24"/>
        </w:rPr>
        <w:tab/>
        <w:t>1</w:t>
      </w:r>
      <w:r>
        <w:rPr>
          <w:szCs w:val="24"/>
        </w:rPr>
        <w:t> %</w:t>
      </w:r>
      <w:r w:rsidRPr="00031F05">
        <w:rPr>
          <w:szCs w:val="24"/>
        </w:rPr>
        <w:t xml:space="preserve"> en volume</w:t>
      </w:r>
      <w:r>
        <w:rPr>
          <w:szCs w:val="24"/>
        </w:rPr>
        <w:t> ;</w:t>
      </w:r>
    </w:p>
    <w:p w:rsidR="00E92373" w:rsidRPr="00031F05" w:rsidRDefault="00E92373" w:rsidP="00E92373">
      <w:pPr>
        <w:pStyle w:val="SingleTxtG"/>
        <w:ind w:left="2268"/>
        <w:rPr>
          <w:szCs w:val="24"/>
        </w:rPr>
      </w:pPr>
      <w:r w:rsidRPr="00031F05">
        <w:rPr>
          <w:szCs w:val="24"/>
        </w:rPr>
        <w:tab/>
        <w:t>L’hydrogène doit être limité à 2</w:t>
      </w:r>
      <w:r>
        <w:rPr>
          <w:szCs w:val="24"/>
        </w:rPr>
        <w:t> %</w:t>
      </w:r>
      <w:r w:rsidRPr="00031F05">
        <w:rPr>
          <w:szCs w:val="24"/>
        </w:rPr>
        <w:t xml:space="preserve"> en volume si la résistance à la traction de l’acier utilisé pour la fabrication des bouteilles dépasse 950</w:t>
      </w:r>
      <w:r>
        <w:rPr>
          <w:szCs w:val="24"/>
        </w:rPr>
        <w:t> MPa ;</w:t>
      </w:r>
    </w:p>
    <w:p w:rsidR="00E92373" w:rsidRPr="00ED26F8" w:rsidRDefault="00E92373" w:rsidP="00E92373">
      <w:pPr>
        <w:pStyle w:val="SingleTxtG"/>
        <w:ind w:left="2268" w:hanging="1134"/>
        <w:rPr>
          <w:szCs w:val="24"/>
        </w:rPr>
      </w:pPr>
      <w:r w:rsidRPr="00ED26F8">
        <w:rPr>
          <w:b/>
          <w:szCs w:val="24"/>
        </w:rPr>
        <w:t>4.5.3</w:t>
      </w:r>
      <w:r w:rsidRPr="00ED26F8">
        <w:rPr>
          <w:szCs w:val="24"/>
        </w:rPr>
        <w:tab/>
      </w:r>
      <w:r w:rsidRPr="00CE494B">
        <w:rPr>
          <w:b/>
          <w:szCs w:val="24"/>
        </w:rPr>
        <w:t>Gaz humide</w:t>
      </w:r>
    </w:p>
    <w:p w:rsidR="00E92373" w:rsidRPr="003130F9" w:rsidRDefault="00E92373" w:rsidP="00E92373">
      <w:pPr>
        <w:pStyle w:val="SingleTxtG"/>
        <w:ind w:left="2268"/>
        <w:rPr>
          <w:szCs w:val="24"/>
        </w:rPr>
      </w:pPr>
      <w:r w:rsidRPr="00ED26F8">
        <w:rPr>
          <w:szCs w:val="24"/>
        </w:rPr>
        <w:tab/>
      </w:r>
      <w:r w:rsidRPr="003130F9">
        <w:rPr>
          <w:szCs w:val="24"/>
        </w:rPr>
        <w:t xml:space="preserve">Tout gaz dont la teneur en eau est supérieure à celle </w:t>
      </w:r>
      <w:r>
        <w:rPr>
          <w:szCs w:val="24"/>
        </w:rPr>
        <w:t>qui fi</w:t>
      </w:r>
      <w:r w:rsidR="00EF00A1">
        <w:rPr>
          <w:szCs w:val="24"/>
        </w:rPr>
        <w:t>x</w:t>
      </w:r>
      <w:r>
        <w:rPr>
          <w:szCs w:val="24"/>
        </w:rPr>
        <w:t xml:space="preserve">ée </w:t>
      </w:r>
      <w:r w:rsidRPr="00DA1EB9">
        <w:rPr>
          <w:b/>
          <w:szCs w:val="24"/>
        </w:rPr>
        <w:t>au</w:t>
      </w:r>
      <w:r>
        <w:rPr>
          <w:szCs w:val="24"/>
        </w:rPr>
        <w:t xml:space="preserve"> </w:t>
      </w:r>
      <w:r w:rsidRPr="003130F9">
        <w:rPr>
          <w:b/>
          <w:szCs w:val="24"/>
        </w:rPr>
        <w:t>paragraphe 4.5.2</w:t>
      </w:r>
      <w:r>
        <w:rPr>
          <w:b/>
          <w:szCs w:val="24"/>
        </w:rPr>
        <w:t xml:space="preserve"> </w:t>
      </w:r>
      <w:r w:rsidRPr="003130F9">
        <w:rPr>
          <w:szCs w:val="24"/>
        </w:rPr>
        <w:t>est normalement soumis aux limites concernant les composants suivants</w:t>
      </w:r>
      <w:r>
        <w:rPr>
          <w:szCs w:val="24"/>
        </w:rPr>
        <w:t> :</w:t>
      </w:r>
    </w:p>
    <w:p w:rsidR="00E92373" w:rsidRPr="00CE494B" w:rsidRDefault="00E92373" w:rsidP="00E92373">
      <w:pPr>
        <w:pStyle w:val="SingleTxtG"/>
        <w:tabs>
          <w:tab w:val="right" w:pos="8505"/>
        </w:tabs>
        <w:ind w:left="2268"/>
        <w:rPr>
          <w:szCs w:val="24"/>
        </w:rPr>
      </w:pPr>
      <w:r w:rsidRPr="00CE494B">
        <w:rPr>
          <w:szCs w:val="24"/>
        </w:rPr>
        <w:t>Le sulfure d’hydrogène et les autres sulfures solubles</w:t>
      </w:r>
      <w:r>
        <w:rPr>
          <w:szCs w:val="24"/>
        </w:rPr>
        <w:t> :</w:t>
      </w:r>
      <w:r>
        <w:rPr>
          <w:szCs w:val="24"/>
        </w:rPr>
        <w:tab/>
      </w:r>
      <w:r w:rsidRPr="00CE494B">
        <w:rPr>
          <w:szCs w:val="24"/>
        </w:rPr>
        <w:t>23</w:t>
      </w:r>
      <w:r>
        <w:rPr>
          <w:szCs w:val="24"/>
        </w:rPr>
        <w:t> mg</w:t>
      </w:r>
      <w:r w:rsidRPr="00CE494B">
        <w:rPr>
          <w:szCs w:val="24"/>
        </w:rPr>
        <w:t>/m</w:t>
      </w:r>
      <w:r w:rsidRPr="00CE494B">
        <w:rPr>
          <w:szCs w:val="24"/>
          <w:vertAlign w:val="superscript"/>
        </w:rPr>
        <w:t>3</w:t>
      </w:r>
    </w:p>
    <w:p w:rsidR="00E92373" w:rsidRPr="00104B5E" w:rsidRDefault="00E92373" w:rsidP="00E92373">
      <w:pPr>
        <w:pStyle w:val="SingleTxtG"/>
        <w:tabs>
          <w:tab w:val="right" w:pos="8505"/>
        </w:tabs>
        <w:ind w:left="2268"/>
        <w:rPr>
          <w:szCs w:val="24"/>
        </w:rPr>
      </w:pPr>
      <w:r>
        <w:rPr>
          <w:szCs w:val="24"/>
        </w:rPr>
        <w:t>L’oxygène :</w:t>
      </w:r>
      <w:r>
        <w:rPr>
          <w:szCs w:val="24"/>
        </w:rPr>
        <w:tab/>
      </w:r>
      <w:r w:rsidRPr="00104B5E">
        <w:rPr>
          <w:szCs w:val="24"/>
        </w:rPr>
        <w:t>1</w:t>
      </w:r>
      <w:r>
        <w:rPr>
          <w:szCs w:val="24"/>
        </w:rPr>
        <w:t> %</w:t>
      </w:r>
      <w:r w:rsidRPr="00104B5E">
        <w:rPr>
          <w:szCs w:val="24"/>
        </w:rPr>
        <w:t xml:space="preserve"> en volume</w:t>
      </w:r>
      <w:r>
        <w:rPr>
          <w:szCs w:val="24"/>
        </w:rPr>
        <w:t> ;</w:t>
      </w:r>
    </w:p>
    <w:p w:rsidR="00E92373" w:rsidRPr="00104B5E" w:rsidRDefault="00E92373" w:rsidP="00E92373">
      <w:pPr>
        <w:pStyle w:val="SingleTxtG"/>
        <w:tabs>
          <w:tab w:val="right" w:pos="8505"/>
        </w:tabs>
        <w:ind w:left="2268"/>
        <w:rPr>
          <w:szCs w:val="24"/>
        </w:rPr>
      </w:pPr>
      <w:r w:rsidRPr="00104B5E">
        <w:rPr>
          <w:szCs w:val="24"/>
        </w:rPr>
        <w:t>Le dioxyde de carbone</w:t>
      </w:r>
      <w:r>
        <w:rPr>
          <w:szCs w:val="24"/>
        </w:rPr>
        <w:t> :</w:t>
      </w:r>
      <w:r w:rsidRPr="00104B5E">
        <w:rPr>
          <w:szCs w:val="24"/>
        </w:rPr>
        <w:tab/>
      </w:r>
      <w:r w:rsidRPr="00104B5E">
        <w:rPr>
          <w:b/>
          <w:szCs w:val="24"/>
        </w:rPr>
        <w:t>3</w:t>
      </w:r>
      <w:r>
        <w:rPr>
          <w:b/>
          <w:szCs w:val="24"/>
        </w:rPr>
        <w:t> %</w:t>
      </w:r>
      <w:r w:rsidRPr="00104B5E">
        <w:rPr>
          <w:szCs w:val="24"/>
        </w:rPr>
        <w:t xml:space="preserve"> en volume</w:t>
      </w:r>
      <w:r>
        <w:rPr>
          <w:szCs w:val="24"/>
        </w:rPr>
        <w:t> ;</w:t>
      </w:r>
    </w:p>
    <w:p w:rsidR="00E92373" w:rsidRPr="001F081F" w:rsidRDefault="00E92373" w:rsidP="00E92373">
      <w:pPr>
        <w:pStyle w:val="SingleTxtG"/>
        <w:tabs>
          <w:tab w:val="right" w:pos="8505"/>
        </w:tabs>
        <w:ind w:left="2268"/>
        <w:rPr>
          <w:szCs w:val="24"/>
        </w:rPr>
      </w:pPr>
      <w:r>
        <w:rPr>
          <w:szCs w:val="24"/>
        </w:rPr>
        <w:t>L’hydrogène :</w:t>
      </w:r>
      <w:r w:rsidRPr="00104B5E">
        <w:rPr>
          <w:szCs w:val="24"/>
        </w:rPr>
        <w:tab/>
        <w:t>0,1</w:t>
      </w:r>
      <w:r>
        <w:rPr>
          <w:szCs w:val="24"/>
        </w:rPr>
        <w:t> %</w:t>
      </w:r>
      <w:r w:rsidRPr="00104B5E">
        <w:rPr>
          <w:szCs w:val="24"/>
        </w:rPr>
        <w:t xml:space="preserve"> en volume</w:t>
      </w:r>
      <w:r>
        <w:rPr>
          <w:szCs w:val="24"/>
        </w:rPr>
        <w:t> ;</w:t>
      </w:r>
    </w:p>
    <w:p w:rsidR="00E92373" w:rsidRPr="001F081F" w:rsidRDefault="00E92373" w:rsidP="00E92373">
      <w:pPr>
        <w:pStyle w:val="SingleTxtG"/>
        <w:ind w:left="2268"/>
        <w:rPr>
          <w:szCs w:val="24"/>
        </w:rPr>
      </w:pPr>
      <w:r w:rsidRPr="001F081F">
        <w:rPr>
          <w:szCs w:val="24"/>
        </w:rPr>
        <w:tab/>
        <w:t>Dans le cas d’un gaz humide, un minimum de 1</w:t>
      </w:r>
      <w:r>
        <w:rPr>
          <w:szCs w:val="24"/>
        </w:rPr>
        <w:t> mg</w:t>
      </w:r>
      <w:r w:rsidRPr="001F081F">
        <w:rPr>
          <w:szCs w:val="24"/>
        </w:rPr>
        <w:t xml:space="preserve"> d’huile de compresseur par kg de gaz est nécessaire pour assurer la protection des bouteilles et liners métalliques.</w:t>
      </w:r>
      <w:r>
        <w:rPr>
          <w:szCs w:val="24"/>
        </w:rPr>
        <w:t> ».</w:t>
      </w:r>
    </w:p>
    <w:p w:rsidR="00E92373" w:rsidRPr="0031355E" w:rsidRDefault="00E92373" w:rsidP="00E92373">
      <w:pPr>
        <w:pStyle w:val="SingleTxtG"/>
      </w:pPr>
      <w:r w:rsidRPr="0031355E">
        <w:rPr>
          <w:i/>
        </w:rPr>
        <w:t>Paragraphe 5</w:t>
      </w:r>
      <w:r w:rsidRPr="00D96F0B">
        <w:t>,</w:t>
      </w:r>
      <w:r w:rsidRPr="0031355E">
        <w:t xml:space="preserve"> modifier comme suit</w:t>
      </w:r>
      <w:r>
        <w:t> :</w:t>
      </w:r>
    </w:p>
    <w:p w:rsidR="00E92373" w:rsidRPr="0031355E" w:rsidRDefault="00E92373" w:rsidP="00E92373">
      <w:pPr>
        <w:pStyle w:val="SingleTxtG"/>
        <w:ind w:left="2268" w:hanging="1134"/>
        <w:rPr>
          <w:szCs w:val="24"/>
        </w:rPr>
      </w:pPr>
      <w:r>
        <w:rPr>
          <w:szCs w:val="24"/>
        </w:rPr>
        <w:t>« </w:t>
      </w:r>
      <w:r w:rsidRPr="0031355E">
        <w:rPr>
          <w:szCs w:val="24"/>
        </w:rPr>
        <w:t>5.</w:t>
      </w:r>
      <w:r w:rsidRPr="0031355E">
        <w:rPr>
          <w:szCs w:val="24"/>
        </w:rPr>
        <w:tab/>
      </w:r>
      <w:r w:rsidRPr="00C96D29">
        <w:rPr>
          <w:b/>
          <w:szCs w:val="24"/>
        </w:rPr>
        <w:t>Procédure</w:t>
      </w:r>
      <w:r>
        <w:rPr>
          <w:szCs w:val="24"/>
        </w:rPr>
        <w:t xml:space="preserve"> d</w:t>
      </w:r>
      <w:r w:rsidRPr="00C96D29">
        <w:rPr>
          <w:szCs w:val="24"/>
        </w:rPr>
        <w:t>’</w:t>
      </w:r>
      <w:r>
        <w:rPr>
          <w:szCs w:val="24"/>
        </w:rPr>
        <w:t>h</w:t>
      </w:r>
      <w:r w:rsidRPr="00C96D29">
        <w:rPr>
          <w:szCs w:val="24"/>
        </w:rPr>
        <w:t xml:space="preserve">omologation </w:t>
      </w:r>
      <w:r w:rsidRPr="00C96D29">
        <w:rPr>
          <w:b/>
          <w:szCs w:val="24"/>
        </w:rPr>
        <w:t>de type</w:t>
      </w:r>
      <w:r w:rsidR="00EF00A1" w:rsidRPr="00EF00A1">
        <w:rPr>
          <w:szCs w:val="24"/>
        </w:rPr>
        <w:t> </w:t>
      </w:r>
      <w:r>
        <w:rPr>
          <w:szCs w:val="24"/>
        </w:rPr>
        <w:t>».</w:t>
      </w:r>
    </w:p>
    <w:p w:rsidR="00E92373" w:rsidRPr="0031355E" w:rsidRDefault="00E92373" w:rsidP="00E92373">
      <w:pPr>
        <w:pStyle w:val="SingleTxtG"/>
        <w:keepNext/>
      </w:pPr>
      <w:r w:rsidRPr="0031355E">
        <w:rPr>
          <w:i/>
        </w:rPr>
        <w:t>Paragraphe 6.1</w:t>
      </w:r>
      <w:r w:rsidRPr="00D96F0B">
        <w:t>,</w:t>
      </w:r>
      <w:r w:rsidRPr="0031355E">
        <w:t xml:space="preserve"> modifier comme suit</w:t>
      </w:r>
      <w:r>
        <w:t> :</w:t>
      </w:r>
    </w:p>
    <w:p w:rsidR="00E92373" w:rsidRPr="00085B0A" w:rsidRDefault="00E92373" w:rsidP="00E92373">
      <w:pPr>
        <w:pStyle w:val="SingleTxtG"/>
        <w:keepNext/>
        <w:ind w:left="2268" w:hanging="1134"/>
        <w:rPr>
          <w:szCs w:val="24"/>
        </w:rPr>
      </w:pPr>
      <w:r>
        <w:rPr>
          <w:szCs w:val="24"/>
        </w:rPr>
        <w:t>« </w:t>
      </w:r>
      <w:r w:rsidRPr="00085B0A">
        <w:rPr>
          <w:szCs w:val="24"/>
        </w:rPr>
        <w:t>6.1</w:t>
      </w:r>
      <w:r w:rsidRPr="00085B0A">
        <w:rPr>
          <w:szCs w:val="24"/>
        </w:rPr>
        <w:tab/>
        <w:t>Généralités</w:t>
      </w:r>
    </w:p>
    <w:p w:rsidR="00E92373" w:rsidRPr="00085B0A" w:rsidRDefault="00E92373" w:rsidP="00E92373">
      <w:pPr>
        <w:pStyle w:val="SingleTxtG"/>
        <w:ind w:left="2268"/>
        <w:rPr>
          <w:szCs w:val="24"/>
        </w:rPr>
      </w:pPr>
      <w:r w:rsidRPr="00085B0A">
        <w:rPr>
          <w:szCs w:val="24"/>
        </w:rPr>
        <w:tab/>
        <w:t xml:space="preserve">Les prescriptions suivantes s’appliquent de façon générale aux types de bouteilles </w:t>
      </w:r>
      <w:r w:rsidR="00EF00A1">
        <w:rPr>
          <w:szCs w:val="24"/>
        </w:rPr>
        <w:t>dé</w:t>
      </w:r>
      <w:r w:rsidRPr="00085B0A">
        <w:rPr>
          <w:szCs w:val="24"/>
        </w:rPr>
        <w:t>fi</w:t>
      </w:r>
      <w:r w:rsidR="00EF00A1">
        <w:rPr>
          <w:szCs w:val="24"/>
        </w:rPr>
        <w:t>ni</w:t>
      </w:r>
      <w:r w:rsidRPr="00085B0A">
        <w:rPr>
          <w:szCs w:val="24"/>
        </w:rPr>
        <w:t>s aux paragraphes 7 à 10 de la présente annexe. La conception des bouteilles doit comprendre tous les aspects pertinents permettant de s’assurer que chaque bouteille fabriquée selon cette conception peut être utilisée aux fins de l’objectif visé, pour la durée de service p</w:t>
      </w:r>
      <w:r w:rsidR="00EF00A1">
        <w:rPr>
          <w:szCs w:val="24"/>
        </w:rPr>
        <w:t>r</w:t>
      </w:r>
      <w:r w:rsidRPr="00085B0A">
        <w:rPr>
          <w:szCs w:val="24"/>
        </w:rPr>
        <w:t>é</w:t>
      </w:r>
      <w:r w:rsidR="00EF00A1">
        <w:rPr>
          <w:szCs w:val="24"/>
        </w:rPr>
        <w:t>vue.</w:t>
      </w:r>
      <w:r w:rsidR="001524AD">
        <w:rPr>
          <w:szCs w:val="24"/>
        </w:rPr>
        <w:t> ».</w:t>
      </w:r>
    </w:p>
    <w:p w:rsidR="00E92373" w:rsidRPr="00ED26F8" w:rsidRDefault="00E92373" w:rsidP="00E92373">
      <w:pPr>
        <w:pStyle w:val="SingleTxtG"/>
      </w:pPr>
      <w:r w:rsidRPr="00ED26F8">
        <w:rPr>
          <w:i/>
        </w:rPr>
        <w:t>Paragraphe 6.3.2.1</w:t>
      </w:r>
      <w:r w:rsidRPr="00D96F0B">
        <w:t>,</w:t>
      </w:r>
      <w:r w:rsidRPr="00ED26F8">
        <w:t xml:space="preserve"> modifier comme suit</w:t>
      </w:r>
      <w:r>
        <w:t> :</w:t>
      </w:r>
    </w:p>
    <w:p w:rsidR="00E92373" w:rsidRPr="00ED26F8" w:rsidRDefault="00E92373" w:rsidP="00E92373">
      <w:pPr>
        <w:pStyle w:val="SingleTxtG"/>
        <w:ind w:left="2268" w:hanging="1134"/>
        <w:rPr>
          <w:szCs w:val="24"/>
        </w:rPr>
      </w:pPr>
      <w:r>
        <w:rPr>
          <w:szCs w:val="24"/>
        </w:rPr>
        <w:t>« </w:t>
      </w:r>
      <w:r w:rsidRPr="00ED26F8">
        <w:rPr>
          <w:szCs w:val="24"/>
        </w:rPr>
        <w:t>6.3.2.1</w:t>
      </w:r>
      <w:r w:rsidRPr="00ED26F8">
        <w:rPr>
          <w:szCs w:val="24"/>
        </w:rPr>
        <w:tab/>
        <w:t>Composition</w:t>
      </w:r>
    </w:p>
    <w:p w:rsidR="00E92373" w:rsidRPr="00CD7CB4" w:rsidRDefault="00E92373" w:rsidP="00E92373">
      <w:pPr>
        <w:pStyle w:val="SingleTxtG"/>
        <w:ind w:left="2268"/>
        <w:rPr>
          <w:szCs w:val="24"/>
        </w:rPr>
      </w:pPr>
      <w:r w:rsidRPr="00ED26F8">
        <w:rPr>
          <w:szCs w:val="24"/>
        </w:rPr>
        <w:tab/>
      </w:r>
      <w:r w:rsidRPr="00CD7CB4">
        <w:rPr>
          <w:szCs w:val="24"/>
        </w:rPr>
        <w:t>Les aciers doivent être calmés à l’aluminium et/ou au silicium et produits de façon à obtenir principalement une structure à grain fin. La composition chimique de tous les aciers doit être déclarée et définie au minimum par</w:t>
      </w:r>
      <w:r>
        <w:rPr>
          <w:szCs w:val="24"/>
        </w:rPr>
        <w:t> :</w:t>
      </w:r>
    </w:p>
    <w:p w:rsidR="00E92373" w:rsidRPr="00CD7CB4" w:rsidRDefault="00E92373" w:rsidP="00E92373">
      <w:pPr>
        <w:pStyle w:val="SingleTxtG"/>
        <w:ind w:left="2835" w:hanging="567"/>
        <w:rPr>
          <w:szCs w:val="24"/>
        </w:rPr>
      </w:pPr>
      <w:r w:rsidRPr="00CD7CB4">
        <w:rPr>
          <w:szCs w:val="24"/>
        </w:rPr>
        <w:t>a)</w:t>
      </w:r>
      <w:r w:rsidRPr="00CD7CB4">
        <w:rPr>
          <w:szCs w:val="24"/>
        </w:rPr>
        <w:tab/>
        <w:t>La teneur en carbone, manganèse, aluminium et silicium, dans tous les cas</w:t>
      </w:r>
      <w:r>
        <w:rPr>
          <w:szCs w:val="24"/>
        </w:rPr>
        <w:t> ;</w:t>
      </w:r>
    </w:p>
    <w:p w:rsidR="00E92373" w:rsidRDefault="00E92373" w:rsidP="00E92373">
      <w:pPr>
        <w:pStyle w:val="SingleTxtG"/>
        <w:ind w:left="2835" w:hanging="567"/>
        <w:rPr>
          <w:szCs w:val="24"/>
        </w:rPr>
      </w:pPr>
      <w:r w:rsidRPr="00CD7CB4">
        <w:rPr>
          <w:szCs w:val="24"/>
        </w:rPr>
        <w:t>b)</w:t>
      </w:r>
      <w:r w:rsidRPr="00CD7CB4">
        <w:rPr>
          <w:szCs w:val="24"/>
        </w:rPr>
        <w:tab/>
        <w:t>La teneur en nickel, chrome, molybdène, bore et vanadium, et tout autre élément d’alliage ajouté de manière intentionnelle. Les limites suivantes ne doivent pas être dépassées dans l’analyse de la coulée</w:t>
      </w:r>
      <w:r>
        <w:rPr>
          <w:szCs w:val="24"/>
        </w:rPr>
        <w:t> :</w:t>
      </w:r>
    </w:p>
    <w:p w:rsidR="00E92373" w:rsidRPr="00EF00A1" w:rsidRDefault="00E92373" w:rsidP="00E92373">
      <w:pPr>
        <w:pStyle w:val="SingleTxtG"/>
        <w:tabs>
          <w:tab w:val="left" w:pos="5103"/>
          <w:tab w:val="right" w:pos="8505"/>
        </w:tabs>
        <w:ind w:left="2268"/>
        <w:rPr>
          <w:szCs w:val="24"/>
        </w:rPr>
      </w:pPr>
      <w:r w:rsidRPr="00EF00A1">
        <w:rPr>
          <w:szCs w:val="24"/>
        </w:rPr>
        <w:t xml:space="preserve">Résistance à la traction </w:t>
      </w:r>
      <w:r w:rsidRPr="00EF00A1">
        <w:rPr>
          <w:szCs w:val="24"/>
        </w:rPr>
        <w:tab/>
      </w:r>
      <w:r w:rsidRPr="00EF00A1">
        <w:rPr>
          <w:szCs w:val="24"/>
        </w:rPr>
        <w:tab/>
      </w:r>
      <w:r w:rsidR="00EF00A1" w:rsidRPr="00EF00A1">
        <w:rPr>
          <w:szCs w:val="24"/>
        </w:rPr>
        <w:t>Limite</w:t>
      </w:r>
    </w:p>
    <w:p w:rsidR="00E92373" w:rsidRPr="00CD7CB4" w:rsidRDefault="00E92373" w:rsidP="00E92373">
      <w:pPr>
        <w:pStyle w:val="SingleTxtG"/>
        <w:tabs>
          <w:tab w:val="left" w:pos="5103"/>
          <w:tab w:val="right" w:pos="8505"/>
        </w:tabs>
        <w:ind w:left="2268"/>
        <w:rPr>
          <w:szCs w:val="24"/>
        </w:rPr>
      </w:pPr>
      <w:r w:rsidRPr="00CD7CB4">
        <w:rPr>
          <w:szCs w:val="24"/>
        </w:rPr>
        <w:t>Soufre</w:t>
      </w:r>
      <w:r w:rsidRPr="00CD7CB4">
        <w:rPr>
          <w:szCs w:val="24"/>
        </w:rPr>
        <w:tab/>
      </w:r>
      <w:r w:rsidRPr="00CD7CB4">
        <w:rPr>
          <w:szCs w:val="24"/>
        </w:rPr>
        <w:tab/>
        <w:t>0</w:t>
      </w:r>
      <w:r>
        <w:rPr>
          <w:szCs w:val="24"/>
        </w:rPr>
        <w:t>,</w:t>
      </w:r>
      <w:r w:rsidRPr="00CD7CB4">
        <w:rPr>
          <w:szCs w:val="24"/>
        </w:rPr>
        <w:t>010</w:t>
      </w:r>
      <w:r>
        <w:rPr>
          <w:szCs w:val="24"/>
        </w:rPr>
        <w:t> %</w:t>
      </w:r>
    </w:p>
    <w:p w:rsidR="00E92373" w:rsidRPr="00CD7CB4" w:rsidRDefault="00E92373" w:rsidP="00E92373">
      <w:pPr>
        <w:pStyle w:val="SingleTxtG"/>
        <w:tabs>
          <w:tab w:val="left" w:pos="5103"/>
          <w:tab w:val="right" w:pos="8505"/>
        </w:tabs>
        <w:ind w:left="2268"/>
        <w:rPr>
          <w:szCs w:val="24"/>
        </w:rPr>
      </w:pPr>
      <w:r w:rsidRPr="00CD7CB4">
        <w:rPr>
          <w:szCs w:val="24"/>
        </w:rPr>
        <w:t>Phosphore</w:t>
      </w:r>
      <w:r w:rsidRPr="00CD7CB4">
        <w:rPr>
          <w:szCs w:val="24"/>
        </w:rPr>
        <w:tab/>
      </w:r>
      <w:r w:rsidRPr="00CD7CB4">
        <w:rPr>
          <w:szCs w:val="24"/>
        </w:rPr>
        <w:tab/>
        <w:t>0</w:t>
      </w:r>
      <w:r>
        <w:rPr>
          <w:szCs w:val="24"/>
        </w:rPr>
        <w:t>,</w:t>
      </w:r>
      <w:r w:rsidRPr="00CD7CB4">
        <w:rPr>
          <w:szCs w:val="24"/>
        </w:rPr>
        <w:t>020</w:t>
      </w:r>
      <w:r>
        <w:rPr>
          <w:szCs w:val="24"/>
        </w:rPr>
        <w:t> %</w:t>
      </w:r>
    </w:p>
    <w:p w:rsidR="00E92373" w:rsidRPr="00CD7CB4" w:rsidRDefault="00E92373" w:rsidP="00E92373">
      <w:pPr>
        <w:pStyle w:val="SingleTxtG"/>
        <w:tabs>
          <w:tab w:val="left" w:pos="5103"/>
          <w:tab w:val="right" w:pos="8505"/>
        </w:tabs>
        <w:ind w:left="2268"/>
        <w:rPr>
          <w:szCs w:val="24"/>
        </w:rPr>
      </w:pPr>
      <w:r w:rsidRPr="00CD7CB4">
        <w:rPr>
          <w:szCs w:val="24"/>
        </w:rPr>
        <w:t>Soufre et phosphore</w:t>
      </w:r>
      <w:r w:rsidRPr="00CD7CB4">
        <w:rPr>
          <w:szCs w:val="24"/>
        </w:rPr>
        <w:tab/>
      </w:r>
      <w:r w:rsidRPr="00CD7CB4">
        <w:rPr>
          <w:szCs w:val="24"/>
        </w:rPr>
        <w:tab/>
        <w:t>0</w:t>
      </w:r>
      <w:r>
        <w:rPr>
          <w:szCs w:val="24"/>
        </w:rPr>
        <w:t>,</w:t>
      </w:r>
      <w:r w:rsidRPr="00CD7CB4">
        <w:rPr>
          <w:szCs w:val="24"/>
        </w:rPr>
        <w:t>025</w:t>
      </w:r>
      <w:r>
        <w:rPr>
          <w:szCs w:val="24"/>
        </w:rPr>
        <w:t> %</w:t>
      </w:r>
    </w:p>
    <w:p w:rsidR="00E92373" w:rsidRPr="00D5581A" w:rsidRDefault="00E92373" w:rsidP="00E92373">
      <w:pPr>
        <w:pStyle w:val="SingleTxtG"/>
        <w:ind w:left="2268"/>
        <w:rPr>
          <w:strike/>
          <w:szCs w:val="24"/>
        </w:rPr>
      </w:pPr>
      <w:r w:rsidRPr="00CD7CB4">
        <w:rPr>
          <w:szCs w:val="24"/>
        </w:rPr>
        <w:tab/>
      </w:r>
      <w:r>
        <w:rPr>
          <w:szCs w:val="24"/>
        </w:rPr>
        <w:t>».</w:t>
      </w:r>
    </w:p>
    <w:p w:rsidR="00E92373" w:rsidRPr="0031355E" w:rsidRDefault="00E92373" w:rsidP="00E92373">
      <w:pPr>
        <w:pStyle w:val="SingleTxtG"/>
      </w:pPr>
      <w:r w:rsidRPr="0031355E">
        <w:rPr>
          <w:i/>
        </w:rPr>
        <w:t>Paragraphe 6.3.3.4</w:t>
      </w:r>
      <w:r w:rsidRPr="00D96F0B">
        <w:t>,</w:t>
      </w:r>
      <w:r w:rsidRPr="0031355E">
        <w:t xml:space="preserve"> modifier comme suit</w:t>
      </w:r>
      <w:r>
        <w:t> :</w:t>
      </w:r>
    </w:p>
    <w:p w:rsidR="00E92373" w:rsidRPr="0031355E" w:rsidRDefault="00E92373" w:rsidP="00E92373">
      <w:pPr>
        <w:pStyle w:val="SingleTxtG"/>
        <w:ind w:left="2268" w:hanging="1134"/>
        <w:rPr>
          <w:szCs w:val="24"/>
        </w:rPr>
      </w:pPr>
      <w:r>
        <w:rPr>
          <w:szCs w:val="24"/>
        </w:rPr>
        <w:t>« </w:t>
      </w:r>
      <w:r w:rsidRPr="0031355E">
        <w:rPr>
          <w:szCs w:val="24"/>
        </w:rPr>
        <w:t>6.3.3.4</w:t>
      </w:r>
      <w:r w:rsidRPr="0031355E">
        <w:rPr>
          <w:szCs w:val="24"/>
        </w:rPr>
        <w:tab/>
      </w:r>
      <w:r w:rsidRPr="000E3A58">
        <w:rPr>
          <w:szCs w:val="24"/>
        </w:rPr>
        <w:t>Propriétés en traction</w:t>
      </w:r>
      <w:r>
        <w:rPr>
          <w:szCs w:val="24"/>
        </w:rPr>
        <w:t xml:space="preserve"> </w:t>
      </w:r>
    </w:p>
    <w:p w:rsidR="00E92373" w:rsidRPr="00B43E9A" w:rsidRDefault="00E92373" w:rsidP="00E92373">
      <w:pPr>
        <w:pStyle w:val="SingleTxtG"/>
        <w:ind w:left="2268"/>
        <w:rPr>
          <w:szCs w:val="24"/>
        </w:rPr>
      </w:pPr>
      <w:r w:rsidRPr="0031355E">
        <w:rPr>
          <w:szCs w:val="24"/>
        </w:rPr>
        <w:tab/>
      </w:r>
      <w:r w:rsidRPr="000E3A58">
        <w:rPr>
          <w:szCs w:val="24"/>
        </w:rPr>
        <w:t xml:space="preserve">Les propriétés mécaniques de l’alliage d’aluminium présent dans les bouteilles finies doivent être déterminées conformément au paragraphe 1 de l’appendice A à la présente annexe. </w:t>
      </w:r>
      <w:r w:rsidRPr="00C03CBE">
        <w:rPr>
          <w:szCs w:val="24"/>
        </w:rPr>
        <w:t xml:space="preserve">L’allongement </w:t>
      </w:r>
      <w:r w:rsidRPr="004D1C7E">
        <w:rPr>
          <w:szCs w:val="24"/>
        </w:rPr>
        <w:t>de l’aluminium</w:t>
      </w:r>
      <w:r w:rsidRPr="00C03CBE">
        <w:rPr>
          <w:szCs w:val="24"/>
        </w:rPr>
        <w:t xml:space="preserve"> doit être au minimum de 12</w:t>
      </w:r>
      <w:r>
        <w:rPr>
          <w:szCs w:val="24"/>
        </w:rPr>
        <w:t> %</w:t>
      </w:r>
      <w:r w:rsidRPr="00C03CBE">
        <w:rPr>
          <w:szCs w:val="24"/>
        </w:rPr>
        <w:t xml:space="preserve"> </w:t>
      </w:r>
      <w:r w:rsidRPr="004D1C7E">
        <w:rPr>
          <w:b/>
          <w:szCs w:val="24"/>
        </w:rPr>
        <w:t>pour le matériau dont sont faites les bouteilles de type GNC-1 et celui dont sont faits les liners de type</w:t>
      </w:r>
      <w:r w:rsidRPr="004D1C7E">
        <w:rPr>
          <w:szCs w:val="24"/>
        </w:rPr>
        <w:t xml:space="preserve"> </w:t>
      </w:r>
      <w:r>
        <w:rPr>
          <w:b/>
          <w:szCs w:val="24"/>
        </w:rPr>
        <w:t>GNC</w:t>
      </w:r>
      <w:r w:rsidRPr="004D1C7E">
        <w:rPr>
          <w:b/>
          <w:szCs w:val="24"/>
        </w:rPr>
        <w:t>-2</w:t>
      </w:r>
      <w:r>
        <w:rPr>
          <w:b/>
          <w:szCs w:val="24"/>
        </w:rPr>
        <w:t xml:space="preserve">. </w:t>
      </w:r>
      <w:r w:rsidRPr="00B43E9A">
        <w:rPr>
          <w:b/>
          <w:szCs w:val="24"/>
        </w:rPr>
        <w:t>L’allongement de l’aluminium</w:t>
      </w:r>
      <w:r>
        <w:rPr>
          <w:b/>
          <w:szCs w:val="24"/>
        </w:rPr>
        <w:t xml:space="preserve"> </w:t>
      </w:r>
      <w:r w:rsidRPr="00B43E9A">
        <w:rPr>
          <w:b/>
          <w:szCs w:val="24"/>
        </w:rPr>
        <w:t>pour le matériau dont sont faites les bouteilles de type GNC-</w:t>
      </w:r>
      <w:r>
        <w:rPr>
          <w:b/>
          <w:szCs w:val="24"/>
        </w:rPr>
        <w:t>3 doit être conforme aux spécifications du fabricant. </w:t>
      </w:r>
      <w:r w:rsidRPr="000F31C3">
        <w:rPr>
          <w:szCs w:val="24"/>
        </w:rPr>
        <w:t>».</w:t>
      </w:r>
    </w:p>
    <w:p w:rsidR="00E92373" w:rsidRPr="00753CE5" w:rsidRDefault="00E92373" w:rsidP="00E92373">
      <w:pPr>
        <w:pStyle w:val="SingleTxtG"/>
        <w:keepNext/>
      </w:pPr>
      <w:r w:rsidRPr="00DB69B1">
        <w:rPr>
          <w:i/>
        </w:rPr>
        <w:t>Paragraphes 6.3.6 et 6.4</w:t>
      </w:r>
      <w:r w:rsidRPr="00753CE5">
        <w:t>, modifier comme suit</w:t>
      </w:r>
      <w:r>
        <w:t> :</w:t>
      </w:r>
    </w:p>
    <w:p w:rsidR="00E92373" w:rsidRPr="00662241" w:rsidRDefault="00E92373" w:rsidP="00E92373">
      <w:pPr>
        <w:pStyle w:val="SingleTxtG"/>
        <w:keepNext/>
        <w:ind w:left="2268" w:hanging="1134"/>
        <w:rPr>
          <w:szCs w:val="24"/>
        </w:rPr>
      </w:pPr>
      <w:r>
        <w:rPr>
          <w:szCs w:val="24"/>
        </w:rPr>
        <w:t>« </w:t>
      </w:r>
      <w:r w:rsidRPr="00662241">
        <w:rPr>
          <w:szCs w:val="24"/>
        </w:rPr>
        <w:t>6.3.6</w:t>
      </w:r>
      <w:r w:rsidRPr="00662241">
        <w:rPr>
          <w:szCs w:val="24"/>
        </w:rPr>
        <w:tab/>
        <w:t>Liners en plastique</w:t>
      </w:r>
    </w:p>
    <w:p w:rsidR="00E92373" w:rsidRDefault="00E92373" w:rsidP="00E92373">
      <w:pPr>
        <w:pStyle w:val="SingleTxtG"/>
        <w:keepNext/>
        <w:ind w:left="2268"/>
        <w:rPr>
          <w:szCs w:val="24"/>
        </w:rPr>
      </w:pPr>
      <w:r w:rsidRPr="00662241">
        <w:rPr>
          <w:szCs w:val="24"/>
        </w:rPr>
        <w:tab/>
        <w:t>La limite apparente d’élasticité et l’allongement à la rupture doivent être déterminés conformément au paragraphe 22 de l’appendice A à la présente annexe. Des essais doivent être réalisés pour démontrer les propriétés ductiles du liner en plastique à des températures inférieures ou égales à -50</w:t>
      </w:r>
      <w:r>
        <w:rPr>
          <w:szCs w:val="24"/>
        </w:rPr>
        <w:t> °C</w:t>
      </w:r>
      <w:r w:rsidRPr="00662241">
        <w:rPr>
          <w:szCs w:val="24"/>
        </w:rPr>
        <w:t xml:space="preserve">, sur la base des valeurs spécifiées par le fabricant. Le polymère doit être compatible avec les conditions d’utilisation </w:t>
      </w:r>
      <w:r w:rsidR="00EF00A1">
        <w:rPr>
          <w:szCs w:val="24"/>
        </w:rPr>
        <w:t>d</w:t>
      </w:r>
      <w:r w:rsidRPr="00662241">
        <w:rPr>
          <w:szCs w:val="24"/>
        </w:rPr>
        <w:t>é</w:t>
      </w:r>
      <w:r w:rsidR="00EF00A1">
        <w:rPr>
          <w:szCs w:val="24"/>
        </w:rPr>
        <w:t>f</w:t>
      </w:r>
      <w:r w:rsidRPr="00662241">
        <w:rPr>
          <w:szCs w:val="24"/>
        </w:rPr>
        <w:t>i</w:t>
      </w:r>
      <w:r w:rsidR="00EF00A1">
        <w:rPr>
          <w:szCs w:val="24"/>
        </w:rPr>
        <w:t>ni</w:t>
      </w:r>
      <w:r w:rsidRPr="00662241">
        <w:rPr>
          <w:szCs w:val="24"/>
        </w:rPr>
        <w:t xml:space="preserve">es au paragraphe 4 de la présente </w:t>
      </w:r>
      <w:r w:rsidRPr="001524AD">
        <w:rPr>
          <w:spacing w:val="-4"/>
          <w:szCs w:val="24"/>
        </w:rPr>
        <w:t>annexe. Conformément à la méthode décrite au paragraphe 23</w:t>
      </w:r>
      <w:r w:rsidRPr="001524AD">
        <w:rPr>
          <w:spacing w:val="-2"/>
          <w:szCs w:val="24"/>
        </w:rPr>
        <w:t xml:space="preserve"> de</w:t>
      </w:r>
      <w:r w:rsidRPr="00662241">
        <w:rPr>
          <w:szCs w:val="24"/>
        </w:rPr>
        <w:t xml:space="preserve"> </w:t>
      </w:r>
      <w:r w:rsidRPr="001524AD">
        <w:rPr>
          <w:spacing w:val="-2"/>
          <w:szCs w:val="24"/>
        </w:rPr>
        <w:t>l’appendice A</w:t>
      </w:r>
      <w:r w:rsidRPr="00662241">
        <w:rPr>
          <w:szCs w:val="24"/>
        </w:rPr>
        <w:t xml:space="preserve"> à la présente annexe, la température de ramollissement doit être au minimum de 100</w:t>
      </w:r>
      <w:r>
        <w:rPr>
          <w:szCs w:val="24"/>
        </w:rPr>
        <w:t> °C</w:t>
      </w:r>
      <w:r w:rsidRPr="00662241">
        <w:rPr>
          <w:szCs w:val="24"/>
        </w:rPr>
        <w:t>.</w:t>
      </w:r>
    </w:p>
    <w:p w:rsidR="00E92373" w:rsidRPr="00662241" w:rsidRDefault="00E92373" w:rsidP="00E92373">
      <w:pPr>
        <w:pStyle w:val="SingleTxtG"/>
        <w:ind w:left="2268" w:hanging="1134"/>
        <w:rPr>
          <w:szCs w:val="24"/>
        </w:rPr>
      </w:pPr>
      <w:r w:rsidRPr="00662241">
        <w:rPr>
          <w:szCs w:val="24"/>
        </w:rPr>
        <w:t>6.4</w:t>
      </w:r>
      <w:r w:rsidRPr="00662241">
        <w:rPr>
          <w:szCs w:val="24"/>
        </w:rPr>
        <w:tab/>
        <w:t>Pression d’essai</w:t>
      </w:r>
    </w:p>
    <w:p w:rsidR="00E92373" w:rsidRPr="000F31C3" w:rsidRDefault="00E92373" w:rsidP="00E92373">
      <w:pPr>
        <w:pStyle w:val="SingleTxtG"/>
        <w:ind w:left="2268"/>
        <w:rPr>
          <w:spacing w:val="-2"/>
          <w:szCs w:val="24"/>
        </w:rPr>
      </w:pPr>
      <w:r w:rsidRPr="000F31C3">
        <w:rPr>
          <w:spacing w:val="-2"/>
          <w:szCs w:val="24"/>
        </w:rPr>
        <w:tab/>
        <w:t xml:space="preserve">La pression d’essai minimale utilisée lors de la fabrication doit être </w:t>
      </w:r>
      <w:r w:rsidRPr="000F31C3">
        <w:rPr>
          <w:b/>
          <w:spacing w:val="-2"/>
          <w:szCs w:val="24"/>
        </w:rPr>
        <w:t>égale à une fois et demie la pression maximale de fonctionnement</w:t>
      </w:r>
      <w:r w:rsidRPr="000F31C3">
        <w:rPr>
          <w:spacing w:val="-2"/>
          <w:szCs w:val="24"/>
        </w:rPr>
        <w:t> ; ».</w:t>
      </w:r>
    </w:p>
    <w:p w:rsidR="00E92373" w:rsidRPr="00662241" w:rsidRDefault="00E92373" w:rsidP="00E92373">
      <w:pPr>
        <w:pStyle w:val="SingleTxtG"/>
      </w:pPr>
      <w:r w:rsidRPr="00662241">
        <w:rPr>
          <w:i/>
        </w:rPr>
        <w:t>Paragraphe 6.7</w:t>
      </w:r>
      <w:r w:rsidRPr="00D96F0B">
        <w:t>,</w:t>
      </w:r>
      <w:r w:rsidRPr="00662241">
        <w:t xml:space="preserve"> modifier comme suit</w:t>
      </w:r>
      <w:r>
        <w:t> :</w:t>
      </w:r>
    </w:p>
    <w:p w:rsidR="00E92373" w:rsidRPr="00662241" w:rsidRDefault="00E92373" w:rsidP="00E92373">
      <w:pPr>
        <w:pStyle w:val="SingleTxtG"/>
        <w:ind w:left="2268" w:hanging="1134"/>
        <w:rPr>
          <w:szCs w:val="24"/>
        </w:rPr>
      </w:pPr>
      <w:r>
        <w:rPr>
          <w:szCs w:val="24"/>
        </w:rPr>
        <w:t>« </w:t>
      </w:r>
      <w:r w:rsidRPr="00662241">
        <w:rPr>
          <w:szCs w:val="24"/>
        </w:rPr>
        <w:t>6.7</w:t>
      </w:r>
      <w:r w:rsidRPr="00662241">
        <w:rPr>
          <w:szCs w:val="24"/>
        </w:rPr>
        <w:tab/>
        <w:t>Analyse de fuite avant rupture</w:t>
      </w:r>
    </w:p>
    <w:p w:rsidR="00E92373" w:rsidRPr="00662241" w:rsidRDefault="00E92373" w:rsidP="00E92373">
      <w:pPr>
        <w:pStyle w:val="SingleTxtG"/>
        <w:ind w:left="2268"/>
        <w:rPr>
          <w:strike/>
          <w:szCs w:val="24"/>
        </w:rPr>
      </w:pPr>
      <w:r w:rsidRPr="00662241">
        <w:rPr>
          <w:szCs w:val="24"/>
        </w:rPr>
        <w:tab/>
        <w:t>Il doit être démontré que les bouteilles de type GNC-1, GNC-2 et GNC-3 peuvent fuir avant de rompre. L’essai de fuite avant rupture doit être effectué conformément au paragraphe 6 de l’appendice A à la présente annexe. Il n’est pas nécessaire de prouver la capacité de fuite avant rupture pour les modèles de bouteilles dont la résistance à la fatigue est supérieure à 45</w:t>
      </w:r>
      <w:r>
        <w:rPr>
          <w:szCs w:val="24"/>
        </w:rPr>
        <w:t> </w:t>
      </w:r>
      <w:r w:rsidRPr="00662241">
        <w:rPr>
          <w:szCs w:val="24"/>
        </w:rPr>
        <w:t>000 cycles de pression lors des essais réalisés conformément au paragraphe 13 de l’appendice A à la présente annexe.</w:t>
      </w:r>
      <w:r w:rsidR="00EF3CC5">
        <w:rPr>
          <w:szCs w:val="24"/>
        </w:rPr>
        <w:t> </w:t>
      </w:r>
      <w:r>
        <w:rPr>
          <w:szCs w:val="24"/>
        </w:rPr>
        <w:t>».</w:t>
      </w:r>
    </w:p>
    <w:p w:rsidR="00E92373" w:rsidRPr="0031355E" w:rsidRDefault="00E92373" w:rsidP="00E92373">
      <w:pPr>
        <w:pStyle w:val="SingleTxtG"/>
      </w:pPr>
      <w:r w:rsidRPr="0031355E">
        <w:rPr>
          <w:i/>
        </w:rPr>
        <w:t>Paragraphe 6.9</w:t>
      </w:r>
      <w:r w:rsidRPr="00D96F0B">
        <w:t>,</w:t>
      </w:r>
      <w:r w:rsidRPr="0031355E">
        <w:t xml:space="preserve"> modifier comme suit</w:t>
      </w:r>
      <w:r>
        <w:t> :</w:t>
      </w:r>
    </w:p>
    <w:p w:rsidR="00E92373" w:rsidRPr="0031355E" w:rsidRDefault="00E92373" w:rsidP="00E92373">
      <w:pPr>
        <w:pStyle w:val="SingleTxtG"/>
        <w:ind w:left="2268" w:hanging="1134"/>
        <w:rPr>
          <w:szCs w:val="24"/>
        </w:rPr>
      </w:pPr>
      <w:r>
        <w:rPr>
          <w:szCs w:val="24"/>
        </w:rPr>
        <w:t>« </w:t>
      </w:r>
      <w:r w:rsidRPr="0031355E">
        <w:rPr>
          <w:szCs w:val="24"/>
        </w:rPr>
        <w:t>6.9</w:t>
      </w:r>
      <w:r w:rsidRPr="0031355E">
        <w:rPr>
          <w:szCs w:val="24"/>
        </w:rPr>
        <w:tab/>
      </w:r>
      <w:r w:rsidRPr="00662241">
        <w:rPr>
          <w:szCs w:val="24"/>
        </w:rPr>
        <w:t>Protection contre le feu</w:t>
      </w:r>
    </w:p>
    <w:p w:rsidR="00E92373" w:rsidRDefault="00E92373" w:rsidP="00E92373">
      <w:pPr>
        <w:pStyle w:val="SingleTxtG"/>
        <w:ind w:left="2268"/>
        <w:rPr>
          <w:szCs w:val="24"/>
        </w:rPr>
      </w:pPr>
      <w:r w:rsidRPr="0031355E">
        <w:rPr>
          <w:szCs w:val="24"/>
        </w:rPr>
        <w:tab/>
      </w:r>
      <w:r w:rsidRPr="00662241">
        <w:rPr>
          <w:szCs w:val="24"/>
        </w:rPr>
        <w:t>Toutes les bouteilles doivent être protégées contre le feu au moyen de dispositifs de surpression. La bouteille, les matériaux qui la composent, les dispositifs de surpression et tout matériau d’isolation ou de protection ajouté doivent être conçus de manière à offrir un niveau de sécurité approprié dans les conditions de l’essai présenté au paragraphe 15 de l’appendice A à la présente annexe.</w:t>
      </w:r>
    </w:p>
    <w:p w:rsidR="00E92373" w:rsidRPr="00662241" w:rsidRDefault="00E92373" w:rsidP="00E92373">
      <w:pPr>
        <w:pStyle w:val="SingleTxtG"/>
        <w:ind w:left="2268"/>
        <w:rPr>
          <w:szCs w:val="24"/>
        </w:rPr>
      </w:pPr>
      <w:r w:rsidRPr="00ED26F8">
        <w:rPr>
          <w:szCs w:val="24"/>
        </w:rPr>
        <w:tab/>
      </w:r>
      <w:r w:rsidRPr="00662241">
        <w:rPr>
          <w:szCs w:val="24"/>
        </w:rPr>
        <w:t xml:space="preserve">Les dispositifs de surpression doivent être </w:t>
      </w:r>
      <w:r w:rsidRPr="00662241">
        <w:rPr>
          <w:b/>
          <w:szCs w:val="24"/>
        </w:rPr>
        <w:t>conforme</w:t>
      </w:r>
      <w:r>
        <w:rPr>
          <w:b/>
          <w:szCs w:val="24"/>
        </w:rPr>
        <w:t>s</w:t>
      </w:r>
      <w:r w:rsidRPr="00662241">
        <w:rPr>
          <w:b/>
          <w:szCs w:val="24"/>
        </w:rPr>
        <w:t xml:space="preserve"> à la norme</w:t>
      </w:r>
      <w:r>
        <w:rPr>
          <w:szCs w:val="24"/>
        </w:rPr>
        <w:t xml:space="preserve"> </w:t>
      </w:r>
      <w:r w:rsidRPr="00662241">
        <w:rPr>
          <w:b/>
          <w:szCs w:val="24"/>
        </w:rPr>
        <w:t>ISO 15500-13</w:t>
      </w:r>
      <w:r w:rsidRPr="000F31C3">
        <w:rPr>
          <w:b/>
          <w:szCs w:val="24"/>
        </w:rPr>
        <w:t>.</w:t>
      </w:r>
      <w:r>
        <w:rPr>
          <w:szCs w:val="24"/>
        </w:rPr>
        <w:t> »</w:t>
      </w:r>
      <w:r w:rsidRPr="00662241">
        <w:rPr>
          <w:szCs w:val="24"/>
        </w:rPr>
        <w:t>.</w:t>
      </w:r>
    </w:p>
    <w:p w:rsidR="00E92373" w:rsidRPr="00ED26F8" w:rsidRDefault="00E92373" w:rsidP="00E92373">
      <w:pPr>
        <w:pStyle w:val="SingleTxtG"/>
      </w:pPr>
      <w:r w:rsidRPr="00ED26F8">
        <w:rPr>
          <w:i/>
        </w:rPr>
        <w:t>Paragraphe 6.12</w:t>
      </w:r>
      <w:r w:rsidRPr="00D96F0B">
        <w:t>,</w:t>
      </w:r>
      <w:r w:rsidRPr="00ED26F8">
        <w:t xml:space="preserve"> modifier comme suit</w:t>
      </w:r>
      <w:r>
        <w:t> :</w:t>
      </w:r>
    </w:p>
    <w:p w:rsidR="00E92373" w:rsidRPr="00ED26F8" w:rsidRDefault="00E92373" w:rsidP="00E92373">
      <w:pPr>
        <w:pStyle w:val="SingleTxtG"/>
        <w:ind w:left="2268" w:hanging="1134"/>
        <w:rPr>
          <w:szCs w:val="24"/>
        </w:rPr>
      </w:pPr>
      <w:r>
        <w:rPr>
          <w:szCs w:val="24"/>
        </w:rPr>
        <w:t>« </w:t>
      </w:r>
      <w:r w:rsidRPr="00ED26F8">
        <w:rPr>
          <w:szCs w:val="24"/>
        </w:rPr>
        <w:t>6.12</w:t>
      </w:r>
      <w:r w:rsidRPr="00ED26F8">
        <w:rPr>
          <w:szCs w:val="24"/>
        </w:rPr>
        <w:tab/>
      </w:r>
      <w:r w:rsidRPr="00413763">
        <w:rPr>
          <w:szCs w:val="24"/>
        </w:rPr>
        <w:t>Protection extérieure</w:t>
      </w:r>
    </w:p>
    <w:p w:rsidR="001524AD" w:rsidRPr="00662241" w:rsidRDefault="00E92373" w:rsidP="001524AD">
      <w:pPr>
        <w:pStyle w:val="SingleTxtG"/>
        <w:ind w:left="2268"/>
        <w:rPr>
          <w:szCs w:val="24"/>
        </w:rPr>
      </w:pPr>
      <w:r w:rsidRPr="00ED26F8">
        <w:rPr>
          <w:szCs w:val="24"/>
        </w:rPr>
        <w:tab/>
      </w:r>
      <w:r w:rsidRPr="00662241">
        <w:rPr>
          <w:szCs w:val="24"/>
        </w:rPr>
        <w:t xml:space="preserve">La partie extérieure des bouteilles doit satisfaire </w:t>
      </w:r>
      <w:r w:rsidR="001524AD">
        <w:rPr>
          <w:szCs w:val="24"/>
        </w:rPr>
        <w:t>…</w:t>
      </w:r>
    </w:p>
    <w:p w:rsidR="00E92373" w:rsidRPr="00662241" w:rsidRDefault="001524AD" w:rsidP="00E92373">
      <w:pPr>
        <w:pStyle w:val="SingleTxtG"/>
        <w:ind w:left="2835" w:hanging="567"/>
        <w:rPr>
          <w:szCs w:val="24"/>
        </w:rPr>
      </w:pPr>
      <w:r>
        <w:rPr>
          <w:szCs w:val="24"/>
        </w:rPr>
        <w:t>…</w:t>
      </w:r>
    </w:p>
    <w:p w:rsidR="00E92373" w:rsidRDefault="00E92373" w:rsidP="00E92373">
      <w:pPr>
        <w:pStyle w:val="SingleTxtG"/>
        <w:ind w:left="2268"/>
        <w:rPr>
          <w:szCs w:val="24"/>
        </w:rPr>
      </w:pPr>
      <w:r w:rsidRPr="00662241">
        <w:rPr>
          <w:szCs w:val="24"/>
        </w:rPr>
        <w:tab/>
        <w:t>Tout revêtement appliqué sur les bouteilles doit être conçu de manière à ne pas altérer les propriétés mécaniques de la bouteille. Il doit en outre être conçu de manière à faciliter les contrôles ultérieurs durant la période d’utilisation, et le fabricant doit indiquer les précautions à prendre au cours des contrôles afin de maintenir l’intégrité de la bouteille.</w:t>
      </w:r>
    </w:p>
    <w:p w:rsidR="00E92373" w:rsidRPr="00397A56" w:rsidRDefault="00E92373" w:rsidP="00EF3CC5">
      <w:pPr>
        <w:pStyle w:val="SingleTxtG"/>
      </w:pPr>
      <w:r w:rsidRPr="00397A56">
        <w:rPr>
          <w:i/>
        </w:rPr>
        <w:t>Paragraphe 6.15.1 a)</w:t>
      </w:r>
      <w:r w:rsidRPr="00D96F0B">
        <w:t>,</w:t>
      </w:r>
      <w:r w:rsidRPr="00397A56">
        <w:t xml:space="preserve"> remplacer l</w:t>
      </w:r>
      <w:r w:rsidR="00EF3CC5">
        <w:t>e</w:t>
      </w:r>
      <w:r w:rsidRPr="00397A56">
        <w:t xml:space="preserve"> </w:t>
      </w:r>
      <w:r w:rsidR="00EF3CC5">
        <w:t xml:space="preserve">renvoi </w:t>
      </w:r>
      <w:r w:rsidRPr="00397A56">
        <w:t xml:space="preserve">à </w:t>
      </w:r>
      <w:r>
        <w:t>la norme « </w:t>
      </w:r>
      <w:r w:rsidRPr="00397A56">
        <w:t xml:space="preserve">BS 5045, </w:t>
      </w:r>
      <w:r>
        <w:t>p</w:t>
      </w:r>
      <w:r w:rsidRPr="00397A56">
        <w:t>artie 1</w:t>
      </w:r>
      <w:r>
        <w:t> »</w:t>
      </w:r>
      <w:r w:rsidRPr="00397A56">
        <w:t xml:space="preserve"> </w:t>
      </w:r>
      <w:r>
        <w:t>par « </w:t>
      </w:r>
      <w:r w:rsidRPr="00397A56">
        <w:rPr>
          <w:b/>
        </w:rPr>
        <w:t>ISO</w:t>
      </w:r>
      <w:r w:rsidR="001524AD">
        <w:rPr>
          <w:b/>
        </w:rPr>
        <w:t> </w:t>
      </w:r>
      <w:r w:rsidRPr="00397A56">
        <w:rPr>
          <w:b/>
        </w:rPr>
        <w:t>9809-1</w:t>
      </w:r>
      <w:r w:rsidR="00EF3CC5">
        <w:rPr>
          <w:b/>
        </w:rPr>
        <w:t xml:space="preserve"> Annexe B</w:t>
      </w:r>
      <w:r>
        <w:t> »</w:t>
      </w:r>
      <w:r w:rsidRPr="00397A56">
        <w:t>.</w:t>
      </w:r>
    </w:p>
    <w:p w:rsidR="00E92373" w:rsidRPr="0031355E" w:rsidRDefault="00E92373" w:rsidP="00E92373">
      <w:pPr>
        <w:pStyle w:val="SingleTxtG"/>
      </w:pPr>
      <w:r w:rsidRPr="0031355E">
        <w:rPr>
          <w:i/>
        </w:rPr>
        <w:t>Paragraphe 6.15.2</w:t>
      </w:r>
      <w:r w:rsidRPr="00D96F0B">
        <w:t>,</w:t>
      </w:r>
      <w:r w:rsidRPr="0031355E">
        <w:t xml:space="preserve"> modifier comme suit</w:t>
      </w:r>
      <w:r>
        <w:t> :</w:t>
      </w:r>
    </w:p>
    <w:p w:rsidR="00E92373" w:rsidRPr="0031355E" w:rsidRDefault="00E92373" w:rsidP="00E92373">
      <w:pPr>
        <w:pStyle w:val="SingleTxtG"/>
        <w:ind w:left="2268" w:hanging="1134"/>
        <w:rPr>
          <w:szCs w:val="24"/>
        </w:rPr>
      </w:pPr>
      <w:r>
        <w:rPr>
          <w:szCs w:val="24"/>
        </w:rPr>
        <w:t>« </w:t>
      </w:r>
      <w:r w:rsidRPr="0031355E">
        <w:rPr>
          <w:szCs w:val="24"/>
        </w:rPr>
        <w:t>6.15.2</w:t>
      </w:r>
      <w:r w:rsidRPr="0031355E">
        <w:rPr>
          <w:szCs w:val="24"/>
        </w:rPr>
        <w:tab/>
      </w:r>
      <w:r w:rsidRPr="00705E2F">
        <w:rPr>
          <w:szCs w:val="24"/>
        </w:rPr>
        <w:t>Taille maximale des défauts</w:t>
      </w:r>
    </w:p>
    <w:p w:rsidR="00E92373" w:rsidRPr="00705E2F" w:rsidRDefault="00E92373" w:rsidP="00E92373">
      <w:pPr>
        <w:pStyle w:val="SingleTxtG"/>
        <w:ind w:left="2268"/>
        <w:rPr>
          <w:szCs w:val="24"/>
        </w:rPr>
      </w:pPr>
      <w:r w:rsidRPr="0031355E">
        <w:rPr>
          <w:szCs w:val="24"/>
        </w:rPr>
        <w:tab/>
      </w:r>
      <w:r w:rsidRPr="00705E2F">
        <w:rPr>
          <w:szCs w:val="24"/>
        </w:rPr>
        <w:t>Pour les bouteilles de type GNC-1, GNC-2 et GNC-3, il faut déterminer la taille maximale des défauts qui pourront apparaître à un quelconque endroit de la b</w:t>
      </w:r>
      <w:r w:rsidR="00EF3CC5">
        <w:rPr>
          <w:szCs w:val="24"/>
        </w:rPr>
        <w:t>outeille ou du liner métallique</w:t>
      </w:r>
      <w:r w:rsidRPr="00705E2F">
        <w:rPr>
          <w:szCs w:val="24"/>
        </w:rPr>
        <w:t>, mais qui ne se développeront pas jusqu’à une taille critique au cours de la durée de service p</w:t>
      </w:r>
      <w:r w:rsidR="00EF3CC5">
        <w:rPr>
          <w:szCs w:val="24"/>
        </w:rPr>
        <w:t>r</w:t>
      </w:r>
      <w:r w:rsidRPr="00705E2F">
        <w:rPr>
          <w:szCs w:val="24"/>
        </w:rPr>
        <w:t>é</w:t>
      </w:r>
      <w:r w:rsidR="00EF3CC5">
        <w:rPr>
          <w:szCs w:val="24"/>
        </w:rPr>
        <w:t>vu</w:t>
      </w:r>
      <w:r w:rsidRPr="00705E2F">
        <w:rPr>
          <w:szCs w:val="24"/>
        </w:rPr>
        <w:t xml:space="preserve">e. La taille critique est définie comme le défaut (de la bouteille ou du liner) maximal sur toute l’épaisseur de la paroi qui permettrait au gaz stocké de s’échapper sans que la bouteille n’éclate. Les tailles de défaut correspondant aux critères de rejet pour le balayage par ultrasons ou par toute autre méthode équivalente doivent être inférieures aux tailles de défaut maximales admissibles. Pour les </w:t>
      </w:r>
      <w:r w:rsidRPr="00EF3CC5">
        <w:rPr>
          <w:spacing w:val="-2"/>
          <w:szCs w:val="24"/>
        </w:rPr>
        <w:t>bouteilles de type GNC-2 et GNC-3, il est présumé que le composite</w:t>
      </w:r>
      <w:r w:rsidRPr="00705E2F">
        <w:rPr>
          <w:szCs w:val="24"/>
        </w:rPr>
        <w:t xml:space="preserve"> ne subira aucune dégradation due à des mécanismes liés au temps. La taille de défaut admissible pour le CND doit être déterminée par une méthode appropriée</w:t>
      </w:r>
      <w:r>
        <w:rPr>
          <w:szCs w:val="24"/>
        </w:rPr>
        <w:t xml:space="preserve"> </w:t>
      </w:r>
      <w:r w:rsidRPr="00705E2F">
        <w:rPr>
          <w:b/>
          <w:szCs w:val="24"/>
        </w:rPr>
        <w:t>telle que celle qui est décrite à</w:t>
      </w:r>
      <w:r>
        <w:rPr>
          <w:szCs w:val="24"/>
        </w:rPr>
        <w:t xml:space="preserve"> </w:t>
      </w:r>
      <w:r w:rsidRPr="00413763">
        <w:rPr>
          <w:b/>
          <w:szCs w:val="24"/>
        </w:rPr>
        <w:t>l</w:t>
      </w:r>
      <w:r w:rsidRPr="00705E2F">
        <w:rPr>
          <w:szCs w:val="24"/>
        </w:rPr>
        <w:t>’appendice F de la présente annexe.</w:t>
      </w:r>
      <w:r>
        <w:rPr>
          <w:szCs w:val="24"/>
        </w:rPr>
        <w:t> »</w:t>
      </w:r>
      <w:r w:rsidRPr="00705E2F">
        <w:rPr>
          <w:szCs w:val="24"/>
        </w:rPr>
        <w:t>.</w:t>
      </w:r>
    </w:p>
    <w:p w:rsidR="00E92373" w:rsidRPr="00705E2F" w:rsidRDefault="00E92373" w:rsidP="00E92373">
      <w:pPr>
        <w:pStyle w:val="SingleTxtG"/>
      </w:pPr>
      <w:r w:rsidRPr="00705E2F">
        <w:rPr>
          <w:i/>
        </w:rPr>
        <w:t>Paragraphe 6.17</w:t>
      </w:r>
      <w:r w:rsidRPr="00D96F0B">
        <w:t>,</w:t>
      </w:r>
      <w:r w:rsidRPr="00705E2F">
        <w:t xml:space="preserve"> modifier comme suit</w:t>
      </w:r>
      <w:r>
        <w:t> :</w:t>
      </w:r>
    </w:p>
    <w:p w:rsidR="00E92373" w:rsidRPr="00705E2F" w:rsidRDefault="00E92373" w:rsidP="00E92373">
      <w:pPr>
        <w:pStyle w:val="SingleTxtG"/>
        <w:ind w:left="2268" w:hanging="1134"/>
        <w:rPr>
          <w:szCs w:val="24"/>
        </w:rPr>
      </w:pPr>
      <w:r>
        <w:rPr>
          <w:szCs w:val="24"/>
        </w:rPr>
        <w:t>« </w:t>
      </w:r>
      <w:r w:rsidRPr="00705E2F">
        <w:rPr>
          <w:szCs w:val="24"/>
        </w:rPr>
        <w:t>6.17</w:t>
      </w:r>
      <w:r w:rsidRPr="00705E2F">
        <w:rPr>
          <w:szCs w:val="24"/>
        </w:rPr>
        <w:tab/>
        <w:t>Modification de conception</w:t>
      </w:r>
    </w:p>
    <w:p w:rsidR="00E92373" w:rsidRDefault="00E92373" w:rsidP="00E92373">
      <w:pPr>
        <w:pStyle w:val="SingleTxtG"/>
        <w:ind w:left="2268"/>
        <w:rPr>
          <w:szCs w:val="24"/>
        </w:rPr>
      </w:pPr>
      <w:r w:rsidRPr="00705E2F">
        <w:rPr>
          <w:szCs w:val="24"/>
        </w:rPr>
        <w:tab/>
        <w:t>Une modification de conception est un changement concernant la sélection des matériaux de la structure ou les dimensions qui ne peut être attribué aux tolérances normales de fabrication.</w:t>
      </w:r>
      <w:r>
        <w:rPr>
          <w:szCs w:val="24"/>
        </w:rPr>
        <w:t xml:space="preserve"> </w:t>
      </w:r>
      <w:r w:rsidRPr="00705E2F">
        <w:rPr>
          <w:szCs w:val="24"/>
        </w:rPr>
        <w:t xml:space="preserve">Pour les modifications de conception mineures, il doit être possible d’obtenir la </w:t>
      </w:r>
      <w:r w:rsidR="00EF3CC5">
        <w:rPr>
          <w:szCs w:val="24"/>
        </w:rPr>
        <w:t>v</w:t>
      </w:r>
      <w:r w:rsidRPr="00705E2F">
        <w:rPr>
          <w:szCs w:val="24"/>
        </w:rPr>
        <w:t>ali</w:t>
      </w:r>
      <w:r w:rsidR="00EF3CC5">
        <w:rPr>
          <w:szCs w:val="24"/>
        </w:rPr>
        <w:t>d</w:t>
      </w:r>
      <w:r w:rsidRPr="00705E2F">
        <w:rPr>
          <w:szCs w:val="24"/>
        </w:rPr>
        <w:t xml:space="preserve">ation à l’issue d’un programme d’essai réduit. Les modifications de conception présentées au tableau 6.7 ci-dessous nécessitent des essais de </w:t>
      </w:r>
      <w:r w:rsidR="00EF3CC5">
        <w:rPr>
          <w:szCs w:val="24"/>
        </w:rPr>
        <w:t>v</w:t>
      </w:r>
      <w:r w:rsidRPr="00705E2F">
        <w:rPr>
          <w:szCs w:val="24"/>
        </w:rPr>
        <w:t>ali</w:t>
      </w:r>
      <w:r w:rsidR="00EF3CC5">
        <w:rPr>
          <w:szCs w:val="24"/>
        </w:rPr>
        <w:t>d</w:t>
      </w:r>
      <w:r w:rsidRPr="00705E2F">
        <w:rPr>
          <w:szCs w:val="24"/>
        </w:rPr>
        <w:t>ation comme indiqué.</w:t>
      </w:r>
    </w:p>
    <w:p w:rsidR="00E92373" w:rsidRDefault="00E92373" w:rsidP="00E92373">
      <w:pPr>
        <w:pStyle w:val="Heading1"/>
        <w:spacing w:after="120"/>
      </w:pPr>
      <w:r w:rsidRPr="00655CF1">
        <w:t>Tableau 6.1</w:t>
      </w:r>
      <w:r>
        <w:t xml:space="preserve"> </w:t>
      </w:r>
      <w:r>
        <w:br/>
      </w:r>
      <w:r w:rsidRPr="001D4479">
        <w:rPr>
          <w:b/>
        </w:rPr>
        <w:t xml:space="preserve">Essai de </w:t>
      </w:r>
      <w:r w:rsidR="001524AD">
        <w:rPr>
          <w:b/>
        </w:rPr>
        <w:t>v</w:t>
      </w:r>
      <w:r w:rsidRPr="001D4479">
        <w:rPr>
          <w:b/>
        </w:rPr>
        <w:t>ali</w:t>
      </w:r>
      <w:r w:rsidR="001524AD">
        <w:rPr>
          <w:b/>
        </w:rPr>
        <w:t>d</w:t>
      </w:r>
      <w:r w:rsidRPr="001D4479">
        <w:rPr>
          <w:b/>
        </w:rPr>
        <w:t xml:space="preserve">ation </w:t>
      </w:r>
      <w:r w:rsidR="001524AD">
        <w:rPr>
          <w:b/>
        </w:rPr>
        <w:t>d</w:t>
      </w:r>
      <w:r w:rsidRPr="001D4479">
        <w:rPr>
          <w:b/>
        </w:rPr>
        <w:t>es matériaux</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2"/>
        <w:gridCol w:w="819"/>
        <w:gridCol w:w="1092"/>
        <w:gridCol w:w="955"/>
        <w:gridCol w:w="820"/>
        <w:gridCol w:w="1092"/>
      </w:tblGrid>
      <w:tr w:rsidR="00E92373" w:rsidRPr="00695BA9" w:rsidTr="00EF3CC5">
        <w:trPr>
          <w:trHeight w:val="47"/>
          <w:tblHeader/>
        </w:trPr>
        <w:tc>
          <w:tcPr>
            <w:tcW w:w="2592" w:type="dxa"/>
            <w:tcMar>
              <w:left w:w="0" w:type="dxa"/>
              <w:right w:w="0" w:type="dxa"/>
            </w:tcMar>
            <w:vAlign w:val="bottom"/>
          </w:tcPr>
          <w:p w:rsidR="00E92373" w:rsidRPr="00695BA9" w:rsidRDefault="00E92373" w:rsidP="00E92373">
            <w:pPr>
              <w:spacing w:before="60" w:after="60" w:line="200" w:lineRule="exact"/>
              <w:ind w:left="57" w:right="57"/>
              <w:rPr>
                <w:i/>
                <w:sz w:val="16"/>
                <w:szCs w:val="16"/>
                <w:lang w:eastAsia="de-DE"/>
              </w:rPr>
            </w:pPr>
          </w:p>
        </w:tc>
        <w:tc>
          <w:tcPr>
            <w:tcW w:w="4778" w:type="dxa"/>
            <w:gridSpan w:val="5"/>
            <w:tcMar>
              <w:left w:w="0" w:type="dxa"/>
              <w:right w:w="0" w:type="dxa"/>
            </w:tcMar>
            <w:vAlign w:val="bottom"/>
          </w:tcPr>
          <w:p w:rsidR="00E92373" w:rsidRPr="00695BA9" w:rsidRDefault="00E92373" w:rsidP="00E92373">
            <w:pPr>
              <w:spacing w:before="60" w:after="60" w:line="200" w:lineRule="exact"/>
              <w:ind w:left="57" w:right="57"/>
              <w:jc w:val="center"/>
              <w:rPr>
                <w:i/>
                <w:sz w:val="16"/>
                <w:szCs w:val="16"/>
              </w:rPr>
            </w:pPr>
            <w:r w:rsidRPr="00695BA9">
              <w:rPr>
                <w:i/>
                <w:sz w:val="16"/>
                <w:szCs w:val="16"/>
              </w:rPr>
              <w:t>Paragraphe correspondant dans la présente annexe</w:t>
            </w:r>
          </w:p>
        </w:tc>
      </w:tr>
      <w:tr w:rsidR="00E92373" w:rsidRPr="00695BA9" w:rsidTr="00EF3CC5">
        <w:trPr>
          <w:trHeight w:val="168"/>
          <w:tblHeader/>
        </w:trPr>
        <w:tc>
          <w:tcPr>
            <w:tcW w:w="2592" w:type="dxa"/>
            <w:tcMar>
              <w:left w:w="0" w:type="dxa"/>
              <w:right w:w="0" w:type="dxa"/>
            </w:tcMar>
            <w:vAlign w:val="bottom"/>
          </w:tcPr>
          <w:p w:rsidR="00E92373" w:rsidRPr="00695BA9" w:rsidRDefault="00E92373" w:rsidP="00E92373">
            <w:pPr>
              <w:spacing w:before="60" w:after="60" w:line="200" w:lineRule="exact"/>
              <w:ind w:left="57" w:right="57"/>
              <w:rPr>
                <w:i/>
                <w:sz w:val="16"/>
                <w:szCs w:val="16"/>
                <w:lang w:eastAsia="de-DE"/>
              </w:rPr>
            </w:pPr>
          </w:p>
        </w:tc>
        <w:tc>
          <w:tcPr>
            <w:tcW w:w="819" w:type="dxa"/>
            <w:tcMar>
              <w:left w:w="0" w:type="dxa"/>
              <w:right w:w="0" w:type="dxa"/>
            </w:tcMar>
            <w:vAlign w:val="bottom"/>
          </w:tcPr>
          <w:p w:rsidR="00E92373" w:rsidRPr="00695BA9" w:rsidRDefault="00E92373" w:rsidP="00E92373">
            <w:pPr>
              <w:spacing w:before="60" w:after="60" w:line="200" w:lineRule="exact"/>
              <w:ind w:left="57" w:right="57"/>
              <w:rPr>
                <w:i/>
                <w:sz w:val="16"/>
                <w:szCs w:val="16"/>
              </w:rPr>
            </w:pPr>
            <w:r w:rsidRPr="00695BA9">
              <w:rPr>
                <w:i/>
                <w:sz w:val="16"/>
                <w:szCs w:val="16"/>
              </w:rPr>
              <w:t>Acier</w:t>
            </w:r>
          </w:p>
        </w:tc>
        <w:tc>
          <w:tcPr>
            <w:tcW w:w="1092" w:type="dxa"/>
            <w:tcMar>
              <w:left w:w="0" w:type="dxa"/>
              <w:right w:w="0" w:type="dxa"/>
            </w:tcMar>
            <w:vAlign w:val="bottom"/>
          </w:tcPr>
          <w:p w:rsidR="00E92373" w:rsidRPr="00695BA9" w:rsidRDefault="00E92373" w:rsidP="00E92373">
            <w:pPr>
              <w:spacing w:before="60" w:after="60" w:line="200" w:lineRule="exact"/>
              <w:ind w:left="57" w:right="57"/>
              <w:rPr>
                <w:i/>
                <w:sz w:val="16"/>
                <w:szCs w:val="16"/>
              </w:rPr>
            </w:pPr>
            <w:r w:rsidRPr="00695BA9">
              <w:rPr>
                <w:i/>
                <w:sz w:val="16"/>
                <w:szCs w:val="16"/>
              </w:rPr>
              <w:t>Aluminium</w:t>
            </w:r>
          </w:p>
        </w:tc>
        <w:tc>
          <w:tcPr>
            <w:tcW w:w="955" w:type="dxa"/>
            <w:tcMar>
              <w:left w:w="0" w:type="dxa"/>
              <w:right w:w="0" w:type="dxa"/>
            </w:tcMar>
            <w:vAlign w:val="bottom"/>
          </w:tcPr>
          <w:p w:rsidR="00E92373" w:rsidRPr="00695BA9" w:rsidRDefault="00E92373" w:rsidP="00E92373">
            <w:pPr>
              <w:spacing w:before="60" w:after="60" w:line="200" w:lineRule="exact"/>
              <w:ind w:left="57" w:right="57"/>
              <w:rPr>
                <w:i/>
                <w:sz w:val="16"/>
                <w:szCs w:val="16"/>
              </w:rPr>
            </w:pPr>
            <w:r w:rsidRPr="00695BA9">
              <w:rPr>
                <w:i/>
                <w:sz w:val="16"/>
                <w:szCs w:val="16"/>
              </w:rPr>
              <w:t>Résines</w:t>
            </w:r>
          </w:p>
        </w:tc>
        <w:tc>
          <w:tcPr>
            <w:tcW w:w="820" w:type="dxa"/>
            <w:tcMar>
              <w:left w:w="0" w:type="dxa"/>
              <w:right w:w="0" w:type="dxa"/>
            </w:tcMar>
            <w:vAlign w:val="bottom"/>
          </w:tcPr>
          <w:p w:rsidR="00E92373" w:rsidRPr="00695BA9" w:rsidRDefault="00E92373" w:rsidP="00E92373">
            <w:pPr>
              <w:spacing w:before="60" w:after="60" w:line="200" w:lineRule="exact"/>
              <w:ind w:left="57" w:right="57"/>
              <w:rPr>
                <w:i/>
                <w:sz w:val="16"/>
                <w:szCs w:val="16"/>
              </w:rPr>
            </w:pPr>
            <w:r w:rsidRPr="00695BA9">
              <w:rPr>
                <w:i/>
                <w:sz w:val="16"/>
                <w:szCs w:val="16"/>
              </w:rPr>
              <w:t>Fibres</w:t>
            </w:r>
          </w:p>
        </w:tc>
        <w:tc>
          <w:tcPr>
            <w:tcW w:w="1092" w:type="dxa"/>
            <w:tcMar>
              <w:left w:w="0" w:type="dxa"/>
              <w:right w:w="0" w:type="dxa"/>
            </w:tcMar>
            <w:vAlign w:val="bottom"/>
          </w:tcPr>
          <w:p w:rsidR="00E92373" w:rsidRPr="00695BA9" w:rsidRDefault="00E92373" w:rsidP="00E92373">
            <w:pPr>
              <w:spacing w:before="60" w:after="60" w:line="200" w:lineRule="exact"/>
              <w:ind w:left="57" w:right="57"/>
              <w:rPr>
                <w:i/>
                <w:sz w:val="16"/>
                <w:szCs w:val="16"/>
              </w:rPr>
            </w:pPr>
            <w:r w:rsidRPr="00695BA9">
              <w:rPr>
                <w:i/>
                <w:sz w:val="16"/>
                <w:szCs w:val="16"/>
              </w:rPr>
              <w:t>Liners en plastique</w:t>
            </w:r>
          </w:p>
        </w:tc>
      </w:tr>
      <w:tr w:rsidR="00E92373" w:rsidRPr="005869DB" w:rsidTr="00EF3CC5">
        <w:trPr>
          <w:trHeight w:val="148"/>
        </w:trPr>
        <w:tc>
          <w:tcPr>
            <w:tcW w:w="2592" w:type="dxa"/>
            <w:tcMar>
              <w:left w:w="0" w:type="dxa"/>
              <w:right w:w="0" w:type="dxa"/>
            </w:tcMar>
          </w:tcPr>
          <w:p w:rsidR="00E92373" w:rsidRPr="00FA0FC1" w:rsidRDefault="00E92373" w:rsidP="00E92373">
            <w:pPr>
              <w:spacing w:before="60" w:after="60"/>
              <w:ind w:left="57" w:right="57"/>
            </w:pPr>
            <w:r w:rsidRPr="00FA0FC1">
              <w:t>Propriétés en traction</w:t>
            </w:r>
          </w:p>
        </w:tc>
        <w:tc>
          <w:tcPr>
            <w:tcW w:w="819"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6.3.2.2</w:t>
            </w:r>
          </w:p>
        </w:tc>
        <w:tc>
          <w:tcPr>
            <w:tcW w:w="1092"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6.3.3.4</w:t>
            </w: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6.3.5</w:t>
            </w:r>
          </w:p>
        </w:tc>
        <w:tc>
          <w:tcPr>
            <w:tcW w:w="1092"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6.3.6</w:t>
            </w: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pPr>
            <w:r w:rsidRPr="00FA0FC1">
              <w:t>Propriétés de résistance aux chocs</w:t>
            </w:r>
          </w:p>
        </w:tc>
        <w:tc>
          <w:tcPr>
            <w:tcW w:w="819"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6.3.2.3</w:t>
            </w:r>
          </w:p>
        </w:tc>
        <w:tc>
          <w:tcPr>
            <w:tcW w:w="1092" w:type="dxa"/>
            <w:tcMar>
              <w:left w:w="0" w:type="dxa"/>
              <w:right w:w="0" w:type="dxa"/>
            </w:tcMar>
          </w:tcPr>
          <w:p w:rsidR="00E92373" w:rsidRPr="00FA0FC1" w:rsidRDefault="00E92373" w:rsidP="00E92373">
            <w:pPr>
              <w:spacing w:before="60" w:after="60"/>
              <w:ind w:left="57" w:right="57"/>
              <w:rPr>
                <w:lang w:val="en-GB" w:eastAsia="de-DE"/>
              </w:rPr>
            </w:pP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pPr>
            <w:r w:rsidRPr="00FA0FC1">
              <w:rPr>
                <w:spacing w:val="-4"/>
              </w:rPr>
              <w:t>Résistance à la fissuration sous contrainte</w:t>
            </w:r>
            <w:r w:rsidRPr="00FA0FC1">
              <w:t xml:space="preserve"> au sulfure</w:t>
            </w:r>
          </w:p>
        </w:tc>
        <w:tc>
          <w:tcPr>
            <w:tcW w:w="819"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6.3.2.6</w:t>
            </w:r>
          </w:p>
        </w:tc>
        <w:tc>
          <w:tcPr>
            <w:tcW w:w="1092" w:type="dxa"/>
            <w:tcMar>
              <w:left w:w="0" w:type="dxa"/>
              <w:right w:w="0" w:type="dxa"/>
            </w:tcMar>
          </w:tcPr>
          <w:p w:rsidR="00E92373" w:rsidRPr="00FA0FC1" w:rsidRDefault="00E92373" w:rsidP="00E92373">
            <w:pPr>
              <w:spacing w:before="60" w:after="60"/>
              <w:ind w:left="57" w:right="57"/>
              <w:rPr>
                <w:lang w:val="en-GB" w:eastAsia="de-DE"/>
              </w:rPr>
            </w:pP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pPr>
            <w:r w:rsidRPr="00FA0FC1">
              <w:t>Résistance à la fissuration sous charge</w:t>
            </w:r>
          </w:p>
        </w:tc>
        <w:tc>
          <w:tcPr>
            <w:tcW w:w="819" w:type="dxa"/>
            <w:tcMar>
              <w:left w:w="0" w:type="dxa"/>
              <w:right w:w="0" w:type="dxa"/>
            </w:tcMar>
          </w:tcPr>
          <w:p w:rsidR="00E92373" w:rsidRPr="00FA0FC1" w:rsidRDefault="00E92373" w:rsidP="00E92373">
            <w:pPr>
              <w:spacing w:before="60" w:after="60"/>
              <w:ind w:left="57" w:right="57"/>
              <w:rPr>
                <w:lang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6.3.3.3</w:t>
            </w: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rPr>
                <w:spacing w:val="-2"/>
              </w:rPr>
            </w:pPr>
            <w:r w:rsidRPr="00FA0FC1">
              <w:rPr>
                <w:spacing w:val="-2"/>
              </w:rPr>
              <w:t>Fissuration par corrosion sous contrainte</w:t>
            </w:r>
          </w:p>
        </w:tc>
        <w:tc>
          <w:tcPr>
            <w:tcW w:w="819" w:type="dxa"/>
            <w:tcMar>
              <w:left w:w="0" w:type="dxa"/>
              <w:right w:w="0" w:type="dxa"/>
            </w:tcMar>
          </w:tcPr>
          <w:p w:rsidR="00E92373" w:rsidRPr="00FA0FC1" w:rsidRDefault="00E92373" w:rsidP="00E92373">
            <w:pPr>
              <w:spacing w:before="60" w:after="60"/>
              <w:ind w:left="57" w:right="57"/>
              <w:rPr>
                <w:lang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6.3.3.2</w:t>
            </w: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pPr>
            <w:r w:rsidRPr="00FA0FC1">
              <w:t>Résistance au cisaillement</w:t>
            </w:r>
          </w:p>
        </w:tc>
        <w:tc>
          <w:tcPr>
            <w:tcW w:w="819" w:type="dxa"/>
            <w:tcMar>
              <w:left w:w="0" w:type="dxa"/>
              <w:right w:w="0" w:type="dxa"/>
            </w:tcMar>
          </w:tcPr>
          <w:p w:rsidR="00E92373" w:rsidRPr="00FA0FC1" w:rsidRDefault="00E92373" w:rsidP="00E92373">
            <w:pPr>
              <w:spacing w:before="60" w:after="60"/>
              <w:ind w:left="57" w:right="57"/>
              <w:rPr>
                <w:lang w:eastAsia="de-DE"/>
              </w:rPr>
            </w:pPr>
          </w:p>
        </w:tc>
        <w:tc>
          <w:tcPr>
            <w:tcW w:w="1092" w:type="dxa"/>
            <w:tcMar>
              <w:left w:w="0" w:type="dxa"/>
              <w:right w:w="0" w:type="dxa"/>
            </w:tcMar>
          </w:tcPr>
          <w:p w:rsidR="00E92373" w:rsidRPr="00FA0FC1" w:rsidRDefault="00E92373" w:rsidP="00E92373">
            <w:pPr>
              <w:spacing w:before="60" w:after="60"/>
              <w:ind w:left="57" w:right="57"/>
              <w:rPr>
                <w:lang w:eastAsia="de-DE"/>
              </w:rPr>
            </w:pPr>
          </w:p>
        </w:tc>
        <w:tc>
          <w:tcPr>
            <w:tcW w:w="955"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6.3.4.2</w:t>
            </w: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92373">
            <w:pPr>
              <w:spacing w:before="60" w:after="60"/>
              <w:ind w:left="57" w:right="57"/>
            </w:pPr>
            <w:r w:rsidRPr="00FA0FC1">
              <w:t>Température de transition vitreuse</w:t>
            </w:r>
          </w:p>
        </w:tc>
        <w:tc>
          <w:tcPr>
            <w:tcW w:w="819"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c>
          <w:tcPr>
            <w:tcW w:w="955"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6.3.4.3</w:t>
            </w: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r>
      <w:tr w:rsidR="00E92373" w:rsidRPr="005869DB" w:rsidTr="00EF3CC5">
        <w:trPr>
          <w:trHeight w:val="47"/>
        </w:trPr>
        <w:tc>
          <w:tcPr>
            <w:tcW w:w="2592" w:type="dxa"/>
            <w:tcMar>
              <w:left w:w="0" w:type="dxa"/>
              <w:right w:w="0" w:type="dxa"/>
            </w:tcMar>
          </w:tcPr>
          <w:p w:rsidR="00E92373" w:rsidRPr="00FA0FC1" w:rsidRDefault="00E92373" w:rsidP="00EF3CC5">
            <w:pPr>
              <w:spacing w:before="60" w:after="60"/>
              <w:ind w:left="57" w:right="57"/>
            </w:pPr>
            <w:r w:rsidRPr="00FA0FC1">
              <w:t>Température de ramollissement</w:t>
            </w:r>
          </w:p>
        </w:tc>
        <w:tc>
          <w:tcPr>
            <w:tcW w:w="819"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p>
        </w:tc>
        <w:tc>
          <w:tcPr>
            <w:tcW w:w="955" w:type="dxa"/>
            <w:tcMar>
              <w:left w:w="0" w:type="dxa"/>
              <w:right w:w="0" w:type="dxa"/>
            </w:tcMar>
          </w:tcPr>
          <w:p w:rsidR="00E92373" w:rsidRPr="00FA0FC1" w:rsidRDefault="00E92373" w:rsidP="00E92373">
            <w:pPr>
              <w:spacing w:before="60" w:after="60"/>
              <w:ind w:left="57" w:right="57"/>
              <w:rPr>
                <w:lang w:val="en-GB" w:eastAsia="de-DE"/>
              </w:rPr>
            </w:pPr>
          </w:p>
        </w:tc>
        <w:tc>
          <w:tcPr>
            <w:tcW w:w="820" w:type="dxa"/>
            <w:tcMar>
              <w:left w:w="0" w:type="dxa"/>
              <w:right w:w="0" w:type="dxa"/>
            </w:tcMar>
          </w:tcPr>
          <w:p w:rsidR="00E92373" w:rsidRPr="00FA0FC1" w:rsidRDefault="00E92373" w:rsidP="00E92373">
            <w:pPr>
              <w:spacing w:before="60" w:after="60"/>
              <w:ind w:left="57" w:right="57"/>
              <w:rPr>
                <w:lang w:val="en-GB" w:eastAsia="de-DE"/>
              </w:rPr>
            </w:pPr>
          </w:p>
        </w:tc>
        <w:tc>
          <w:tcPr>
            <w:tcW w:w="1092" w:type="dxa"/>
            <w:tcMar>
              <w:left w:w="0" w:type="dxa"/>
              <w:right w:w="0" w:type="dxa"/>
            </w:tcMar>
          </w:tcPr>
          <w:p w:rsidR="00E92373" w:rsidRPr="00FA0FC1" w:rsidRDefault="00E92373" w:rsidP="00E92373">
            <w:pPr>
              <w:spacing w:before="60" w:after="60"/>
              <w:ind w:left="57" w:right="57"/>
              <w:rPr>
                <w:lang w:val="en-GB" w:eastAsia="de-DE"/>
              </w:rPr>
            </w:pPr>
            <w:r w:rsidRPr="00FA0FC1">
              <w:rPr>
                <w:lang w:val="en-GB" w:eastAsia="de-DE"/>
              </w:rPr>
              <w:t>6.3.6</w:t>
            </w:r>
          </w:p>
        </w:tc>
      </w:tr>
    </w:tbl>
    <w:p w:rsidR="00E92373" w:rsidRPr="005869DB" w:rsidRDefault="00E92373" w:rsidP="001524AD">
      <w:pPr>
        <w:pStyle w:val="SingleTxtG"/>
        <w:spacing w:after="240"/>
      </w:pPr>
      <w:r w:rsidRPr="005869DB">
        <w:t>…</w:t>
      </w:r>
    </w:p>
    <w:p w:rsidR="00E92373" w:rsidRPr="00695BA9" w:rsidRDefault="00E92373" w:rsidP="001524AD">
      <w:pPr>
        <w:pStyle w:val="Heading1"/>
        <w:spacing w:after="120"/>
        <w:ind w:hanging="1134"/>
      </w:pPr>
      <w:r w:rsidRPr="00695BA9">
        <w:tab/>
        <w:t xml:space="preserve">Tableau 6.4 </w:t>
      </w:r>
      <w:r w:rsidRPr="00695BA9">
        <w:br/>
      </w:r>
      <w:r w:rsidRPr="00695BA9">
        <w:rPr>
          <w:b/>
        </w:rPr>
        <w:t>Essais de validation de la conception des bouteilles</w:t>
      </w:r>
      <w:r w:rsidRPr="00695BA9">
        <w:t xml:space="preserve"> </w:t>
      </w:r>
    </w:p>
    <w:tbl>
      <w:tblPr>
        <w:tblW w:w="737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94"/>
        <w:gridCol w:w="819"/>
        <w:gridCol w:w="820"/>
        <w:gridCol w:w="819"/>
        <w:gridCol w:w="820"/>
      </w:tblGrid>
      <w:tr w:rsidR="00E92373" w:rsidRPr="00695BA9" w:rsidTr="00E92373">
        <w:trPr>
          <w:tblHeader/>
        </w:trPr>
        <w:tc>
          <w:tcPr>
            <w:tcW w:w="4094" w:type="dxa"/>
            <w:vMerge w:val="restart"/>
            <w:tcMar>
              <w:left w:w="0" w:type="dxa"/>
              <w:right w:w="0" w:type="dxa"/>
            </w:tcMar>
            <w:vAlign w:val="bottom"/>
          </w:tcPr>
          <w:p w:rsidR="00E92373" w:rsidRPr="00695BA9" w:rsidRDefault="00E92373" w:rsidP="001524AD">
            <w:pPr>
              <w:keepNext/>
              <w:spacing w:before="60" w:after="60" w:line="200" w:lineRule="exact"/>
              <w:ind w:left="57" w:right="57"/>
              <w:rPr>
                <w:bCs/>
                <w:i/>
                <w:sz w:val="16"/>
                <w:szCs w:val="16"/>
              </w:rPr>
            </w:pPr>
            <w:r w:rsidRPr="00695BA9">
              <w:rPr>
                <w:bCs/>
                <w:i/>
                <w:sz w:val="16"/>
                <w:szCs w:val="16"/>
              </w:rPr>
              <w:t>Référence correspondante</w:t>
            </w:r>
            <w:r>
              <w:rPr>
                <w:bCs/>
                <w:i/>
                <w:sz w:val="16"/>
                <w:szCs w:val="16"/>
              </w:rPr>
              <w:t xml:space="preserve"> </w:t>
            </w:r>
            <w:r w:rsidRPr="00695BA9">
              <w:rPr>
                <w:bCs/>
                <w:i/>
                <w:sz w:val="16"/>
                <w:szCs w:val="16"/>
              </w:rPr>
              <w:t>dans la présente annexe</w:t>
            </w:r>
          </w:p>
        </w:tc>
        <w:tc>
          <w:tcPr>
            <w:tcW w:w="3278" w:type="dxa"/>
            <w:gridSpan w:val="4"/>
            <w:tcMar>
              <w:left w:w="0" w:type="dxa"/>
              <w:right w:w="0" w:type="dxa"/>
            </w:tcMar>
            <w:vAlign w:val="bottom"/>
          </w:tcPr>
          <w:p w:rsidR="00E92373" w:rsidRPr="00695BA9" w:rsidRDefault="00E92373" w:rsidP="001524AD">
            <w:pPr>
              <w:keepNext/>
              <w:spacing w:before="60" w:after="60" w:line="200" w:lineRule="exact"/>
              <w:ind w:left="57" w:right="57"/>
              <w:jc w:val="center"/>
              <w:rPr>
                <w:bCs/>
                <w:i/>
                <w:sz w:val="16"/>
                <w:szCs w:val="16"/>
                <w:lang w:val="en-GB"/>
              </w:rPr>
            </w:pPr>
            <w:r w:rsidRPr="00695BA9">
              <w:rPr>
                <w:bCs/>
                <w:i/>
                <w:sz w:val="16"/>
                <w:szCs w:val="16"/>
                <w:lang w:val="en-GB"/>
              </w:rPr>
              <w:t>Type de bouteille</w:t>
            </w:r>
          </w:p>
        </w:tc>
      </w:tr>
      <w:tr w:rsidR="00E92373" w:rsidRPr="00695BA9" w:rsidTr="00E92373">
        <w:trPr>
          <w:tblHeader/>
        </w:trPr>
        <w:tc>
          <w:tcPr>
            <w:tcW w:w="4094" w:type="dxa"/>
            <w:vMerge/>
            <w:tcMar>
              <w:left w:w="0" w:type="dxa"/>
              <w:right w:w="0" w:type="dxa"/>
            </w:tcMar>
            <w:vAlign w:val="bottom"/>
          </w:tcPr>
          <w:p w:rsidR="00E92373" w:rsidRPr="00695BA9" w:rsidRDefault="00E92373" w:rsidP="001524AD">
            <w:pPr>
              <w:keepNext/>
              <w:spacing w:before="60" w:after="60" w:line="200" w:lineRule="exact"/>
              <w:ind w:left="57" w:right="57"/>
              <w:rPr>
                <w:bCs/>
                <w:i/>
                <w:sz w:val="16"/>
                <w:szCs w:val="16"/>
                <w:lang w:val="en-GB"/>
              </w:rPr>
            </w:pPr>
          </w:p>
        </w:tc>
        <w:tc>
          <w:tcPr>
            <w:tcW w:w="819" w:type="dxa"/>
            <w:tcMar>
              <w:left w:w="0" w:type="dxa"/>
              <w:right w:w="0" w:type="dxa"/>
            </w:tcMar>
            <w:vAlign w:val="bottom"/>
          </w:tcPr>
          <w:p w:rsidR="00E92373" w:rsidRPr="00695BA9" w:rsidRDefault="00E92373" w:rsidP="001524AD">
            <w:pPr>
              <w:keepNext/>
              <w:spacing w:before="60" w:after="60" w:line="200" w:lineRule="exact"/>
              <w:ind w:left="57" w:right="57"/>
              <w:rPr>
                <w:bCs/>
                <w:i/>
                <w:sz w:val="16"/>
                <w:szCs w:val="16"/>
                <w:lang w:val="en-GB"/>
              </w:rPr>
            </w:pPr>
            <w:r w:rsidRPr="00695BA9">
              <w:rPr>
                <w:bCs/>
                <w:i/>
                <w:sz w:val="16"/>
                <w:szCs w:val="16"/>
                <w:lang w:val="en-GB"/>
              </w:rPr>
              <w:t>GNC-1</w:t>
            </w:r>
          </w:p>
        </w:tc>
        <w:tc>
          <w:tcPr>
            <w:tcW w:w="820" w:type="dxa"/>
            <w:tcMar>
              <w:left w:w="0" w:type="dxa"/>
              <w:right w:w="0" w:type="dxa"/>
            </w:tcMar>
            <w:vAlign w:val="bottom"/>
          </w:tcPr>
          <w:p w:rsidR="00E92373" w:rsidRPr="00695BA9" w:rsidRDefault="00E92373" w:rsidP="001524AD">
            <w:pPr>
              <w:keepNext/>
              <w:spacing w:before="60" w:after="60" w:line="200" w:lineRule="exact"/>
              <w:ind w:left="57" w:right="57"/>
              <w:rPr>
                <w:bCs/>
                <w:i/>
                <w:sz w:val="16"/>
                <w:szCs w:val="16"/>
                <w:lang w:val="en-GB"/>
              </w:rPr>
            </w:pPr>
            <w:r w:rsidRPr="00695BA9">
              <w:rPr>
                <w:bCs/>
                <w:i/>
                <w:sz w:val="16"/>
                <w:szCs w:val="16"/>
                <w:lang w:val="en-GB"/>
              </w:rPr>
              <w:t>GNC-2</w:t>
            </w:r>
          </w:p>
        </w:tc>
        <w:tc>
          <w:tcPr>
            <w:tcW w:w="819" w:type="dxa"/>
            <w:tcMar>
              <w:left w:w="0" w:type="dxa"/>
              <w:right w:w="0" w:type="dxa"/>
            </w:tcMar>
            <w:vAlign w:val="bottom"/>
          </w:tcPr>
          <w:p w:rsidR="00E92373" w:rsidRPr="00695BA9" w:rsidRDefault="00E92373" w:rsidP="001524AD">
            <w:pPr>
              <w:keepNext/>
              <w:spacing w:before="60" w:after="60" w:line="200" w:lineRule="exact"/>
              <w:ind w:left="57" w:right="57"/>
              <w:rPr>
                <w:bCs/>
                <w:i/>
                <w:sz w:val="16"/>
                <w:szCs w:val="16"/>
                <w:lang w:val="en-GB"/>
              </w:rPr>
            </w:pPr>
            <w:r w:rsidRPr="00695BA9">
              <w:rPr>
                <w:bCs/>
                <w:i/>
                <w:sz w:val="16"/>
                <w:szCs w:val="16"/>
                <w:lang w:val="en-GB"/>
              </w:rPr>
              <w:t>GNC-3</w:t>
            </w:r>
          </w:p>
        </w:tc>
        <w:tc>
          <w:tcPr>
            <w:tcW w:w="820" w:type="dxa"/>
            <w:tcMar>
              <w:left w:w="0" w:type="dxa"/>
              <w:right w:w="0" w:type="dxa"/>
            </w:tcMar>
            <w:vAlign w:val="bottom"/>
          </w:tcPr>
          <w:p w:rsidR="00E92373" w:rsidRPr="00695BA9" w:rsidRDefault="00E92373" w:rsidP="001524AD">
            <w:pPr>
              <w:keepNext/>
              <w:spacing w:before="60" w:after="60" w:line="200" w:lineRule="exact"/>
              <w:ind w:left="57" w:right="57"/>
              <w:rPr>
                <w:bCs/>
                <w:i/>
                <w:sz w:val="16"/>
                <w:szCs w:val="16"/>
                <w:lang w:val="en-GB"/>
              </w:rPr>
            </w:pPr>
            <w:r w:rsidRPr="00695BA9">
              <w:rPr>
                <w:bCs/>
                <w:i/>
                <w:sz w:val="16"/>
                <w:szCs w:val="16"/>
                <w:lang w:val="en-GB"/>
              </w:rPr>
              <w:t>GNC-4</w:t>
            </w:r>
          </w:p>
        </w:tc>
      </w:tr>
      <w:tr w:rsidR="00E92373" w:rsidRPr="00F45FE8" w:rsidTr="00E92373">
        <w:tc>
          <w:tcPr>
            <w:tcW w:w="4094" w:type="dxa"/>
            <w:tcMar>
              <w:left w:w="0" w:type="dxa"/>
              <w:right w:w="0" w:type="dxa"/>
            </w:tcMar>
          </w:tcPr>
          <w:p w:rsidR="00E92373" w:rsidRPr="00655CF1" w:rsidRDefault="00E92373" w:rsidP="001524AD">
            <w:pPr>
              <w:keepNext/>
              <w:spacing w:before="60" w:after="60"/>
              <w:ind w:left="57" w:right="57"/>
              <w:rPr>
                <w:bCs/>
              </w:rPr>
            </w:pPr>
            <w:r w:rsidRPr="00655CF1">
              <w:t>A.12</w:t>
            </w:r>
            <w:r w:rsidRPr="00655CF1">
              <w:tab/>
              <w:t>Éclatement</w:t>
            </w:r>
          </w:p>
        </w:tc>
        <w:tc>
          <w:tcPr>
            <w:tcW w:w="819" w:type="dxa"/>
            <w:tcMar>
              <w:left w:w="0" w:type="dxa"/>
              <w:right w:w="0" w:type="dxa"/>
            </w:tcMar>
          </w:tcPr>
          <w:p w:rsidR="00E92373" w:rsidRPr="00655CF1" w:rsidRDefault="00E92373" w:rsidP="001524AD">
            <w:pPr>
              <w:keepNext/>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1524AD">
            <w:pPr>
              <w:keepNext/>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1524AD">
            <w:pPr>
              <w:keepNext/>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1524AD">
            <w:pPr>
              <w:keepNext/>
              <w:spacing w:before="60" w:after="60"/>
              <w:ind w:left="57" w:right="57"/>
              <w:jc w:val="center"/>
              <w:rPr>
                <w:bCs/>
                <w:lang w:val="en-GB"/>
              </w:rPr>
            </w:pPr>
            <w:r w:rsidRPr="00655CF1">
              <w:rPr>
                <w:bCs/>
                <w:lang w:val="en-GB"/>
              </w:rPr>
              <w:t>X</w:t>
            </w:r>
          </w:p>
        </w:tc>
      </w:tr>
      <w:tr w:rsidR="00E92373" w:rsidRPr="00F45FE8" w:rsidTr="00E92373">
        <w:trPr>
          <w:trHeight w:val="42"/>
        </w:trPr>
        <w:tc>
          <w:tcPr>
            <w:tcW w:w="4094" w:type="dxa"/>
            <w:tcMar>
              <w:left w:w="0" w:type="dxa"/>
              <w:right w:w="0" w:type="dxa"/>
            </w:tcMar>
          </w:tcPr>
          <w:p w:rsidR="00E92373" w:rsidRPr="00655CF1" w:rsidRDefault="00E92373" w:rsidP="00E92373">
            <w:pPr>
              <w:spacing w:before="60" w:after="60"/>
              <w:ind w:left="57" w:right="57"/>
            </w:pPr>
            <w:r w:rsidRPr="00655CF1">
              <w:t>A.13</w:t>
            </w:r>
            <w:r w:rsidRPr="00655CF1">
              <w:tab/>
            </w:r>
            <w:r>
              <w:t>T</w:t>
            </w:r>
            <w:r w:rsidRPr="00655CF1">
              <w:t>empérature ambiante/cycle</w:t>
            </w:r>
          </w:p>
        </w:tc>
        <w:tc>
          <w:tcPr>
            <w:tcW w:w="819" w:type="dxa"/>
            <w:tcMar>
              <w:left w:w="0" w:type="dxa"/>
              <w:right w:w="0" w:type="dxa"/>
            </w:tcMar>
          </w:tcPr>
          <w:p w:rsidR="00E92373" w:rsidRPr="00655CF1" w:rsidRDefault="00E92373" w:rsidP="00E92373">
            <w:pPr>
              <w:spacing w:before="60" w:after="60"/>
              <w:ind w:left="57" w:right="57"/>
              <w:jc w:val="center"/>
              <w:rPr>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F3CC5">
            <w:pPr>
              <w:spacing w:before="60" w:after="60"/>
              <w:ind w:left="57" w:right="57"/>
            </w:pPr>
            <w:r w:rsidRPr="00655CF1">
              <w:t>A.14</w:t>
            </w:r>
            <w:r w:rsidRPr="00655CF1">
              <w:tab/>
              <w:t xml:space="preserve">Essai </w:t>
            </w:r>
            <w:r w:rsidRPr="00DA1EB9">
              <w:rPr>
                <w:b/>
              </w:rPr>
              <w:t>d’</w:t>
            </w:r>
            <w:r w:rsidRPr="00655CF1">
              <w:t>environnement</w:t>
            </w:r>
          </w:p>
        </w:tc>
        <w:tc>
          <w:tcPr>
            <w:tcW w:w="819" w:type="dxa"/>
            <w:tcMar>
              <w:left w:w="0" w:type="dxa"/>
              <w:right w:w="0" w:type="dxa"/>
            </w:tcMar>
          </w:tcPr>
          <w:p w:rsidR="00E92373" w:rsidRPr="00655CF1" w:rsidRDefault="00E92373" w:rsidP="00E92373">
            <w:pPr>
              <w:spacing w:before="60" w:after="60"/>
              <w:ind w:left="57" w:right="57"/>
              <w:jc w:val="center"/>
              <w:rPr>
                <w:bCs/>
              </w:rPr>
            </w:pP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A.15</w:t>
            </w:r>
            <w:r w:rsidRPr="00655CF1">
              <w:tab/>
              <w:t>Feu à l’air libre</w:t>
            </w:r>
          </w:p>
        </w:tc>
        <w:tc>
          <w:tcPr>
            <w:tcW w:w="819" w:type="dxa"/>
            <w:tcMar>
              <w:left w:w="0" w:type="dxa"/>
              <w:right w:w="0" w:type="dxa"/>
            </w:tcMar>
          </w:tcPr>
          <w:p w:rsidR="00E92373" w:rsidRPr="00655CF1" w:rsidRDefault="00E92373" w:rsidP="00E92373">
            <w:pPr>
              <w:spacing w:before="60" w:after="60"/>
              <w:ind w:left="57" w:right="57"/>
              <w:jc w:val="center"/>
              <w:rPr>
                <w:bCs/>
              </w:rPr>
            </w:pP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A.16</w:t>
            </w:r>
            <w:r w:rsidRPr="00655CF1">
              <w:tab/>
              <w:t>Essai de pénétration</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A.17</w:t>
            </w:r>
            <w:r w:rsidRPr="00655CF1">
              <w:tab/>
              <w:t>Tolérance aux défauts</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A.18</w:t>
            </w:r>
            <w:r w:rsidRPr="00655CF1">
              <w:tab/>
              <w:t>Fluage à haute température</w:t>
            </w:r>
          </w:p>
        </w:tc>
        <w:tc>
          <w:tcPr>
            <w:tcW w:w="819" w:type="dxa"/>
            <w:tcMar>
              <w:left w:w="0" w:type="dxa"/>
              <w:right w:w="0" w:type="dxa"/>
            </w:tcMar>
          </w:tcPr>
          <w:p w:rsidR="00E92373" w:rsidRPr="00655CF1" w:rsidRDefault="00E92373" w:rsidP="00E92373">
            <w:pPr>
              <w:spacing w:before="60" w:after="60"/>
              <w:ind w:left="57" w:right="57"/>
              <w:jc w:val="center"/>
              <w:rPr>
                <w:bCs/>
              </w:rPr>
            </w:pP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A.19</w:t>
            </w:r>
            <w:r w:rsidRPr="00655CF1">
              <w:tab/>
              <w:t>Rupture sous contrainte</w:t>
            </w:r>
          </w:p>
        </w:tc>
        <w:tc>
          <w:tcPr>
            <w:tcW w:w="819" w:type="dxa"/>
            <w:tcMar>
              <w:left w:w="0" w:type="dxa"/>
              <w:right w:w="0" w:type="dxa"/>
            </w:tcMar>
          </w:tcPr>
          <w:p w:rsidR="00E92373" w:rsidRPr="00655CF1" w:rsidRDefault="00E92373" w:rsidP="00E92373">
            <w:pPr>
              <w:spacing w:before="60" w:after="60"/>
              <w:ind w:left="57" w:right="57"/>
              <w:jc w:val="center"/>
              <w:rPr>
                <w:bCs/>
              </w:rPr>
            </w:pP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Mar>
              <w:left w:w="0" w:type="dxa"/>
              <w:right w:w="0" w:type="dxa"/>
            </w:tcMar>
          </w:tcPr>
          <w:p w:rsidR="00E92373" w:rsidRPr="00655CF1" w:rsidRDefault="00E92373" w:rsidP="00E92373">
            <w:pPr>
              <w:spacing w:before="60" w:after="60"/>
              <w:ind w:left="57" w:right="57"/>
            </w:pPr>
            <w:r w:rsidRPr="00655CF1">
              <w:t>A.20</w:t>
            </w:r>
            <w:r w:rsidRPr="00655CF1">
              <w:tab/>
              <w:t>Essai de chute</w:t>
            </w:r>
          </w:p>
        </w:tc>
        <w:tc>
          <w:tcPr>
            <w:tcW w:w="819" w:type="dxa"/>
            <w:tcMar>
              <w:left w:w="0" w:type="dxa"/>
              <w:right w:w="0" w:type="dxa"/>
            </w:tcMar>
          </w:tcPr>
          <w:p w:rsidR="00E92373" w:rsidRPr="00655CF1" w:rsidRDefault="00E92373" w:rsidP="00E92373">
            <w:pPr>
              <w:spacing w:before="60" w:after="60"/>
              <w:ind w:left="57" w:right="57"/>
              <w:jc w:val="center"/>
              <w:rPr>
                <w:bCs/>
                <w:lang w:val="en-GB"/>
              </w:rPr>
            </w:pPr>
          </w:p>
        </w:tc>
        <w:tc>
          <w:tcPr>
            <w:tcW w:w="820" w:type="dxa"/>
            <w:tcMar>
              <w:left w:w="0" w:type="dxa"/>
              <w:right w:w="0" w:type="dxa"/>
            </w:tcMar>
          </w:tcPr>
          <w:p w:rsidR="00E92373" w:rsidRPr="00655CF1" w:rsidRDefault="00E92373" w:rsidP="00E92373">
            <w:pPr>
              <w:spacing w:before="60" w:after="60"/>
              <w:ind w:left="57" w:right="57"/>
              <w:jc w:val="center"/>
              <w:rPr>
                <w:bCs/>
                <w:lang w:val="en-GB"/>
              </w:rPr>
            </w:pPr>
          </w:p>
        </w:tc>
        <w:tc>
          <w:tcPr>
            <w:tcW w:w="819"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c>
          <w:tcPr>
            <w:tcW w:w="820" w:type="dxa"/>
            <w:tcMar>
              <w:left w:w="0" w:type="dxa"/>
              <w:right w:w="0" w:type="dxa"/>
            </w:tcMar>
          </w:tcPr>
          <w:p w:rsidR="00E92373" w:rsidRPr="00655CF1" w:rsidRDefault="00E92373" w:rsidP="00E92373">
            <w:pPr>
              <w:spacing w:before="60" w:after="60"/>
              <w:ind w:left="57" w:right="57"/>
              <w:jc w:val="center"/>
              <w:rPr>
                <w:bCs/>
                <w:lang w:val="en-GB"/>
              </w:rPr>
            </w:pPr>
            <w:r w:rsidRPr="00655CF1">
              <w:rPr>
                <w:bCs/>
                <w:lang w:val="en-GB"/>
              </w:rPr>
              <w:t>X</w:t>
            </w:r>
          </w:p>
        </w:tc>
      </w:tr>
      <w:tr w:rsidR="00E92373" w:rsidRPr="00F45FE8" w:rsidTr="00E92373">
        <w:tc>
          <w:tcPr>
            <w:tcW w:w="4094" w:type="dxa"/>
            <w:tcBorders>
              <w:bottom w:val="single" w:sz="4" w:space="0" w:color="auto"/>
            </w:tcBorders>
            <w:tcMar>
              <w:left w:w="0" w:type="dxa"/>
              <w:right w:w="0" w:type="dxa"/>
            </w:tcMar>
          </w:tcPr>
          <w:p w:rsidR="00E92373" w:rsidRPr="00F45FE8" w:rsidRDefault="00E92373" w:rsidP="00E92373">
            <w:pPr>
              <w:spacing w:before="60" w:after="60"/>
              <w:ind w:left="57" w:right="57"/>
            </w:pPr>
            <w:r w:rsidRPr="00F45FE8">
              <w:t>A.21</w:t>
            </w:r>
            <w:r w:rsidRPr="00F45FE8">
              <w:tab/>
              <w:t>Perméabilité</w:t>
            </w:r>
          </w:p>
        </w:tc>
        <w:tc>
          <w:tcPr>
            <w:tcW w:w="819" w:type="dxa"/>
            <w:tcBorders>
              <w:bottom w:val="single" w:sz="4" w:space="0" w:color="auto"/>
            </w:tcBorders>
            <w:tcMar>
              <w:left w:w="0" w:type="dxa"/>
              <w:right w:w="0" w:type="dxa"/>
            </w:tcMar>
          </w:tcPr>
          <w:p w:rsidR="00E92373" w:rsidRPr="00F45FE8" w:rsidRDefault="00E92373" w:rsidP="00E92373">
            <w:pPr>
              <w:spacing w:before="60" w:after="60"/>
              <w:ind w:left="57" w:right="57"/>
              <w:jc w:val="center"/>
              <w:rPr>
                <w:bCs/>
                <w:lang w:val="en-GB"/>
              </w:rPr>
            </w:pPr>
          </w:p>
        </w:tc>
        <w:tc>
          <w:tcPr>
            <w:tcW w:w="820" w:type="dxa"/>
            <w:tcBorders>
              <w:bottom w:val="single" w:sz="4" w:space="0" w:color="auto"/>
            </w:tcBorders>
            <w:tcMar>
              <w:left w:w="0" w:type="dxa"/>
              <w:right w:w="0" w:type="dxa"/>
            </w:tcMar>
          </w:tcPr>
          <w:p w:rsidR="00E92373" w:rsidRPr="00F45FE8" w:rsidRDefault="00E92373" w:rsidP="00E92373">
            <w:pPr>
              <w:spacing w:before="60" w:after="60"/>
              <w:ind w:left="57" w:right="57"/>
              <w:jc w:val="center"/>
              <w:rPr>
                <w:bCs/>
                <w:lang w:val="en-GB"/>
              </w:rPr>
            </w:pPr>
          </w:p>
        </w:tc>
        <w:tc>
          <w:tcPr>
            <w:tcW w:w="819" w:type="dxa"/>
            <w:tcBorders>
              <w:bottom w:val="single" w:sz="4" w:space="0" w:color="auto"/>
            </w:tcBorders>
            <w:tcMar>
              <w:left w:w="0" w:type="dxa"/>
              <w:right w:w="0" w:type="dxa"/>
            </w:tcMar>
          </w:tcPr>
          <w:p w:rsidR="00E92373" w:rsidRPr="00F45FE8" w:rsidRDefault="00E92373" w:rsidP="00E92373">
            <w:pPr>
              <w:spacing w:before="60" w:after="60"/>
              <w:ind w:left="57" w:right="57"/>
              <w:jc w:val="center"/>
              <w:rPr>
                <w:bCs/>
                <w:lang w:val="en-GB"/>
              </w:rPr>
            </w:pPr>
          </w:p>
        </w:tc>
        <w:tc>
          <w:tcPr>
            <w:tcW w:w="820" w:type="dxa"/>
            <w:tcBorders>
              <w:bottom w:val="single" w:sz="4" w:space="0" w:color="auto"/>
            </w:tcBorders>
            <w:tcMar>
              <w:left w:w="0" w:type="dxa"/>
              <w:right w:w="0" w:type="dxa"/>
            </w:tcMar>
          </w:tcPr>
          <w:p w:rsidR="00E92373" w:rsidRPr="00F45FE8" w:rsidRDefault="00E92373" w:rsidP="00E92373">
            <w:pPr>
              <w:spacing w:before="60" w:after="60"/>
              <w:ind w:left="57" w:right="57"/>
              <w:jc w:val="center"/>
              <w:rPr>
                <w:bCs/>
                <w:lang w:val="en-GB"/>
              </w:rPr>
            </w:pPr>
            <w:r w:rsidRPr="00F45FE8">
              <w:rPr>
                <w:bCs/>
                <w:lang w:val="en-GB"/>
              </w:rPr>
              <w:t>X</w:t>
            </w:r>
          </w:p>
        </w:tc>
      </w:tr>
      <w:tr w:rsidR="00E92373" w:rsidRPr="00753CE5" w:rsidTr="00E9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pPr>
            <w:r w:rsidRPr="00FA0FC1">
              <w:t>A.25</w:t>
            </w:r>
            <w:r w:rsidRPr="00FA0FC1">
              <w:tab/>
              <w:t>Essai de couple sur l’ogive</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r>
      <w:tr w:rsidR="00E92373" w:rsidRPr="00753CE5" w:rsidTr="00E9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pPr>
            <w:r w:rsidRPr="00FA0FC1">
              <w:t>A.27</w:t>
            </w:r>
            <w:r w:rsidRPr="00FA0FC1">
              <w:tab/>
              <w:t>Cyclage au gaz naturel</w:t>
            </w: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rPr>
            </w:pPr>
          </w:p>
        </w:tc>
        <w:tc>
          <w:tcPr>
            <w:tcW w:w="819"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rPr>
            </w:pPr>
          </w:p>
        </w:tc>
        <w:tc>
          <w:tcPr>
            <w:tcW w:w="820" w:type="dxa"/>
            <w:tcBorders>
              <w:top w:val="single" w:sz="4" w:space="0" w:color="auto"/>
              <w:left w:val="single" w:sz="2" w:space="0" w:color="000000"/>
              <w:bottom w:val="single" w:sz="4" w:space="0" w:color="auto"/>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r>
      <w:tr w:rsidR="00E92373" w:rsidRPr="00753CE5" w:rsidTr="00EF3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4" w:space="0" w:color="auto"/>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rPr>
                <w:bCs/>
              </w:rPr>
            </w:pPr>
            <w:r w:rsidRPr="00FA0FC1">
              <w:t>A.6</w:t>
            </w:r>
            <w:r w:rsidRPr="00FA0FC1">
              <w:tab/>
            </w:r>
            <w:r w:rsidRPr="00FA0FC1">
              <w:rPr>
                <w:spacing w:val="-2"/>
              </w:rPr>
              <w:t>Capacité de fuite avant rupture</w:t>
            </w:r>
          </w:p>
        </w:tc>
        <w:tc>
          <w:tcPr>
            <w:tcW w:w="819" w:type="dxa"/>
            <w:tcBorders>
              <w:top w:val="single" w:sz="4" w:space="0" w:color="auto"/>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rPr>
            </w:pPr>
          </w:p>
        </w:tc>
        <w:tc>
          <w:tcPr>
            <w:tcW w:w="820" w:type="dxa"/>
            <w:tcBorders>
              <w:top w:val="single" w:sz="4" w:space="0" w:color="auto"/>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19" w:type="dxa"/>
            <w:tcBorders>
              <w:top w:val="single" w:sz="4" w:space="0" w:color="auto"/>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20" w:type="dxa"/>
            <w:tcBorders>
              <w:top w:val="single" w:sz="4" w:space="0" w:color="auto"/>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p>
        </w:tc>
      </w:tr>
      <w:tr w:rsidR="00E92373" w:rsidRPr="00753CE5" w:rsidTr="00EF3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4" w:type="dxa"/>
            <w:tcBorders>
              <w:top w:val="single" w:sz="2" w:space="0" w:color="000000"/>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rPr>
                <w:bCs/>
              </w:rPr>
            </w:pPr>
            <w:r w:rsidRPr="00FA0FC1">
              <w:rPr>
                <w:bCs/>
              </w:rPr>
              <w:t>A.7</w:t>
            </w:r>
            <w:r w:rsidRPr="00FA0FC1">
              <w:rPr>
                <w:bCs/>
              </w:rPr>
              <w:tab/>
              <w:t>Température extrême/cycle</w:t>
            </w:r>
          </w:p>
        </w:tc>
        <w:tc>
          <w:tcPr>
            <w:tcW w:w="819" w:type="dxa"/>
            <w:tcBorders>
              <w:top w:val="single" w:sz="2" w:space="0" w:color="000000"/>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20" w:type="dxa"/>
            <w:tcBorders>
              <w:top w:val="single" w:sz="2" w:space="0" w:color="000000"/>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19" w:type="dxa"/>
            <w:tcBorders>
              <w:top w:val="single" w:sz="2" w:space="0" w:color="000000"/>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c>
          <w:tcPr>
            <w:tcW w:w="820" w:type="dxa"/>
            <w:tcBorders>
              <w:top w:val="single" w:sz="2" w:space="0" w:color="000000"/>
              <w:left w:val="single" w:sz="2" w:space="0" w:color="000000"/>
              <w:bottom w:val="single" w:sz="2" w:space="0" w:color="000000"/>
              <w:right w:val="single" w:sz="2" w:space="0" w:color="000000"/>
            </w:tcBorders>
            <w:tcMar>
              <w:left w:w="0" w:type="dxa"/>
              <w:right w:w="0" w:type="dxa"/>
            </w:tcMar>
          </w:tcPr>
          <w:p w:rsidR="00E92373" w:rsidRPr="00FA0FC1" w:rsidRDefault="00E92373" w:rsidP="00E92373">
            <w:pPr>
              <w:spacing w:before="60" w:after="60"/>
              <w:ind w:left="57" w:right="57"/>
              <w:jc w:val="center"/>
              <w:rPr>
                <w:bCs/>
                <w:lang w:val="en-GB"/>
              </w:rPr>
            </w:pPr>
            <w:r w:rsidRPr="00FA0FC1">
              <w:rPr>
                <w:bCs/>
                <w:lang w:val="en-GB"/>
              </w:rPr>
              <w:t>X</w:t>
            </w:r>
          </w:p>
        </w:tc>
      </w:tr>
    </w:tbl>
    <w:p w:rsidR="00E92373" w:rsidRPr="00FA0FC1" w:rsidRDefault="00E92373" w:rsidP="00E92373">
      <w:pPr>
        <w:spacing w:before="120"/>
        <w:ind w:left="1134" w:right="1134" w:firstLine="170"/>
        <w:rPr>
          <w:bCs/>
          <w:sz w:val="18"/>
          <w:szCs w:val="18"/>
        </w:rPr>
      </w:pPr>
      <w:r w:rsidRPr="00FA0FC1">
        <w:rPr>
          <w:bCs/>
          <w:sz w:val="18"/>
          <w:szCs w:val="18"/>
        </w:rPr>
        <w:t>X = requis</w:t>
      </w:r>
      <w:r w:rsidR="001524AD">
        <w:rPr>
          <w:bCs/>
          <w:sz w:val="18"/>
          <w:szCs w:val="18"/>
        </w:rPr>
        <w:t>.</w:t>
      </w:r>
    </w:p>
    <w:p w:rsidR="00E92373" w:rsidRDefault="00E92373" w:rsidP="00E92373">
      <w:pPr>
        <w:spacing w:after="240"/>
        <w:ind w:left="1134" w:right="1134" w:firstLine="170"/>
        <w:rPr>
          <w:bCs/>
          <w:sz w:val="18"/>
          <w:szCs w:val="18"/>
        </w:rPr>
      </w:pPr>
      <w:r w:rsidRPr="00FA0FC1">
        <w:rPr>
          <w:bCs/>
          <w:sz w:val="18"/>
          <w:szCs w:val="18"/>
        </w:rPr>
        <w:t>* = Non requis pour les bouteilles conçues selon la norme ISO 9809 (qui prévoit déjà ces essais).</w:t>
      </w:r>
    </w:p>
    <w:p w:rsidR="00E92373" w:rsidRDefault="00E92373" w:rsidP="00E92373">
      <w:pPr>
        <w:pStyle w:val="SingleTxtG"/>
        <w:rPr>
          <w:lang w:val="en-GB"/>
        </w:rPr>
      </w:pPr>
      <w:r w:rsidRPr="00753CE5">
        <w:rPr>
          <w:lang w:val="en-GB"/>
        </w:rPr>
        <w:t>…</w:t>
      </w:r>
    </w:p>
    <w:p w:rsidR="00E92373" w:rsidRPr="00753CE5" w:rsidRDefault="00E92373" w:rsidP="00E92373">
      <w:pPr>
        <w:pStyle w:val="Heading1"/>
        <w:spacing w:after="120"/>
        <w:ind w:left="0"/>
        <w:rPr>
          <w:lang w:val="en-GB"/>
        </w:rPr>
      </w:pPr>
      <w:r w:rsidRPr="00753CE5">
        <w:rPr>
          <w:lang w:val="en-GB"/>
        </w:rPr>
        <w:t>Table</w:t>
      </w:r>
      <w:r>
        <w:rPr>
          <w:lang w:val="en-GB"/>
        </w:rPr>
        <w:t>au</w:t>
      </w:r>
      <w:r w:rsidRPr="00753CE5">
        <w:rPr>
          <w:lang w:val="en-GB"/>
        </w:rPr>
        <w:t xml:space="preserve"> 6.7</w:t>
      </w:r>
      <w:r>
        <w:rPr>
          <w:lang w:val="en-GB"/>
        </w:rPr>
        <w:t xml:space="preserve"> </w:t>
      </w:r>
      <w:r>
        <w:rPr>
          <w:lang w:val="en-GB"/>
        </w:rPr>
        <w:br/>
      </w:r>
      <w:r w:rsidRPr="00256570">
        <w:rPr>
          <w:b/>
          <w:lang w:val="en-GB"/>
        </w:rPr>
        <w:t>Modification de conception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630"/>
        <w:gridCol w:w="584"/>
        <w:gridCol w:w="769"/>
        <w:gridCol w:w="771"/>
        <w:gridCol w:w="827"/>
        <w:gridCol w:w="576"/>
        <w:gridCol w:w="545"/>
        <w:gridCol w:w="630"/>
        <w:gridCol w:w="696"/>
        <w:gridCol w:w="630"/>
        <w:gridCol w:w="700"/>
        <w:gridCol w:w="461"/>
        <w:gridCol w:w="540"/>
      </w:tblGrid>
      <w:tr w:rsidR="00E92373" w:rsidRPr="001C48E1" w:rsidTr="00E92373">
        <w:trPr>
          <w:cantSplit/>
          <w:tblHeader/>
        </w:trPr>
        <w:tc>
          <w:tcPr>
            <w:tcW w:w="663" w:type="pct"/>
            <w:tcBorders>
              <w:top w:val="single" w:sz="2" w:space="0" w:color="auto"/>
              <w:left w:val="single" w:sz="2" w:space="0" w:color="auto"/>
              <w:bottom w:val="nil"/>
              <w:right w:val="single" w:sz="2" w:space="0" w:color="auto"/>
            </w:tcBorders>
            <w:shd w:val="clear" w:color="auto" w:fill="auto"/>
          </w:tcPr>
          <w:p w:rsidR="00E92373" w:rsidRPr="001C48E1" w:rsidRDefault="00E92373" w:rsidP="00E92373">
            <w:pPr>
              <w:spacing w:before="60" w:after="60" w:line="180" w:lineRule="exact"/>
              <w:ind w:left="57" w:right="57"/>
              <w:rPr>
                <w:i/>
                <w:sz w:val="14"/>
                <w:szCs w:val="14"/>
                <w:lang w:val="en-GB"/>
              </w:rPr>
            </w:pPr>
          </w:p>
        </w:tc>
        <w:tc>
          <w:tcPr>
            <w:tcW w:w="4337" w:type="pct"/>
            <w:gridSpan w:val="13"/>
            <w:tcBorders>
              <w:top w:val="single" w:sz="2" w:space="0" w:color="auto"/>
              <w:left w:val="single" w:sz="2" w:space="0" w:color="auto"/>
              <w:right w:val="single" w:sz="2" w:space="0" w:color="auto"/>
            </w:tcBorders>
          </w:tcPr>
          <w:p w:rsidR="00E92373" w:rsidRPr="001C48E1" w:rsidRDefault="00E92373" w:rsidP="00E92373">
            <w:pPr>
              <w:spacing w:before="60" w:after="60" w:line="180" w:lineRule="exact"/>
              <w:ind w:left="57" w:right="57"/>
              <w:jc w:val="center"/>
              <w:rPr>
                <w:i/>
                <w:sz w:val="14"/>
                <w:szCs w:val="14"/>
                <w:lang w:val="en-GB"/>
              </w:rPr>
            </w:pPr>
            <w:r w:rsidRPr="001C48E1">
              <w:rPr>
                <w:i/>
                <w:sz w:val="14"/>
                <w:szCs w:val="14"/>
                <w:lang w:val="en-GB"/>
              </w:rPr>
              <w:t>Type d’essai</w:t>
            </w:r>
          </w:p>
        </w:tc>
      </w:tr>
      <w:tr w:rsidR="00E92373" w:rsidRPr="001C48E1" w:rsidTr="00E92373">
        <w:trPr>
          <w:cantSplit/>
          <w:tblHeader/>
        </w:trPr>
        <w:tc>
          <w:tcPr>
            <w:tcW w:w="663" w:type="pct"/>
            <w:tcBorders>
              <w:top w:val="nil"/>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lang w:val="en-GB"/>
              </w:rPr>
              <w:t xml:space="preserve">Modification </w:t>
            </w:r>
            <w:r>
              <w:rPr>
                <w:i/>
                <w:sz w:val="14"/>
                <w:szCs w:val="14"/>
                <w:lang w:val="en-GB"/>
              </w:rPr>
              <w:br/>
            </w:r>
            <w:r w:rsidRPr="001C48E1">
              <w:rPr>
                <w:i/>
                <w:sz w:val="14"/>
                <w:szCs w:val="14"/>
                <w:lang w:val="en-GB"/>
              </w:rPr>
              <w:t>de conception</w:t>
            </w:r>
          </w:p>
        </w:tc>
        <w:tc>
          <w:tcPr>
            <w:tcW w:w="327" w:type="pct"/>
            <w:tcBorders>
              <w:left w:val="single" w:sz="2" w:space="0" w:color="auto"/>
              <w:bottom w:val="single" w:sz="4" w:space="0" w:color="auto"/>
              <w:right w:val="single" w:sz="2" w:space="0" w:color="auto"/>
            </w:tcBorders>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Perméa</w:t>
            </w:r>
            <w:r>
              <w:rPr>
                <w:i/>
                <w:sz w:val="14"/>
                <w:szCs w:val="14"/>
              </w:rPr>
              <w:t>-</w:t>
            </w:r>
            <w:r w:rsidRPr="001C48E1">
              <w:rPr>
                <w:i/>
                <w:sz w:val="14"/>
                <w:szCs w:val="14"/>
              </w:rPr>
              <w:t xml:space="preserve">bilité </w:t>
            </w:r>
            <w:r>
              <w:rPr>
                <w:i/>
                <w:sz w:val="14"/>
                <w:szCs w:val="14"/>
              </w:rPr>
              <w:br/>
            </w:r>
            <w:r w:rsidRPr="001C48E1">
              <w:rPr>
                <w:i/>
                <w:sz w:val="14"/>
                <w:szCs w:val="14"/>
              </w:rPr>
              <w:t>A.21</w:t>
            </w:r>
          </w:p>
        </w:tc>
        <w:tc>
          <w:tcPr>
            <w:tcW w:w="303" w:type="pct"/>
            <w:tcBorders>
              <w:left w:val="single" w:sz="2" w:space="0" w:color="auto"/>
              <w:bottom w:val="single" w:sz="4" w:space="0" w:color="auto"/>
              <w:right w:val="single" w:sz="2" w:space="0" w:color="auto"/>
            </w:tcBorders>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 xml:space="preserve">Cyclage GNC </w:t>
            </w:r>
            <w:r>
              <w:rPr>
                <w:i/>
                <w:sz w:val="14"/>
                <w:szCs w:val="14"/>
              </w:rPr>
              <w:br/>
            </w:r>
            <w:r w:rsidRPr="001C48E1">
              <w:rPr>
                <w:i/>
                <w:sz w:val="14"/>
                <w:szCs w:val="14"/>
              </w:rPr>
              <w:t>A.27</w:t>
            </w:r>
          </w:p>
        </w:tc>
        <w:tc>
          <w:tcPr>
            <w:tcW w:w="399"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Éclatement hydro</w:t>
            </w:r>
            <w:r>
              <w:rPr>
                <w:i/>
                <w:sz w:val="14"/>
                <w:szCs w:val="14"/>
              </w:rPr>
              <w:t xml:space="preserve">- </w:t>
            </w:r>
            <w:r>
              <w:rPr>
                <w:i/>
                <w:sz w:val="14"/>
                <w:szCs w:val="14"/>
              </w:rPr>
              <w:br/>
            </w:r>
            <w:r w:rsidRPr="001C48E1">
              <w:rPr>
                <w:i/>
                <w:sz w:val="14"/>
                <w:szCs w:val="14"/>
              </w:rPr>
              <w:t>statique</w:t>
            </w:r>
            <w:r w:rsidRPr="001C48E1">
              <w:rPr>
                <w:bCs/>
                <w:i/>
                <w:sz w:val="14"/>
                <w:szCs w:val="14"/>
              </w:rPr>
              <w:t xml:space="preserve"> </w:t>
            </w:r>
            <w:r>
              <w:rPr>
                <w:bCs/>
                <w:i/>
                <w:sz w:val="14"/>
                <w:szCs w:val="14"/>
              </w:rPr>
              <w:br/>
            </w:r>
            <w:r w:rsidRPr="001C48E1">
              <w:rPr>
                <w:i/>
                <w:sz w:val="14"/>
                <w:szCs w:val="14"/>
              </w:rPr>
              <w:t>A.12</w:t>
            </w:r>
          </w:p>
        </w:tc>
        <w:tc>
          <w:tcPr>
            <w:tcW w:w="400" w:type="pct"/>
            <w:tcBorders>
              <w:left w:val="single" w:sz="2" w:space="0" w:color="auto"/>
              <w:bottom w:val="single" w:sz="4" w:space="0" w:color="auto"/>
              <w:right w:val="single" w:sz="2" w:space="0" w:color="auto"/>
            </w:tcBorders>
            <w:vAlign w:val="bottom"/>
          </w:tcPr>
          <w:p w:rsidR="00E92373" w:rsidRPr="001C48E1" w:rsidRDefault="00E92373" w:rsidP="00E92373">
            <w:pPr>
              <w:spacing w:before="60" w:after="60" w:line="180" w:lineRule="exact"/>
              <w:ind w:left="57" w:right="57"/>
              <w:rPr>
                <w:i/>
                <w:sz w:val="14"/>
                <w:szCs w:val="14"/>
              </w:rPr>
            </w:pPr>
            <w:r w:rsidRPr="001C48E1">
              <w:rPr>
                <w:i/>
                <w:sz w:val="14"/>
                <w:szCs w:val="14"/>
              </w:rPr>
              <w:t>Essai de fuite avant rupture</w:t>
            </w:r>
            <w:r>
              <w:rPr>
                <w:i/>
                <w:sz w:val="14"/>
                <w:szCs w:val="14"/>
              </w:rPr>
              <w:t xml:space="preserve"> </w:t>
            </w:r>
            <w:r>
              <w:rPr>
                <w:i/>
                <w:sz w:val="14"/>
                <w:szCs w:val="14"/>
              </w:rPr>
              <w:br/>
            </w:r>
            <w:r w:rsidRPr="001C48E1">
              <w:rPr>
                <w:i/>
                <w:sz w:val="14"/>
                <w:szCs w:val="14"/>
              </w:rPr>
              <w:t>A.6</w:t>
            </w:r>
          </w:p>
        </w:tc>
        <w:tc>
          <w:tcPr>
            <w:tcW w:w="429"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rPr>
            </w:pPr>
            <w:r w:rsidRPr="001C48E1">
              <w:rPr>
                <w:i/>
                <w:sz w:val="14"/>
                <w:szCs w:val="14"/>
              </w:rPr>
              <w:t>Cyclage à température ambiante A.13</w:t>
            </w:r>
          </w:p>
        </w:tc>
        <w:tc>
          <w:tcPr>
            <w:tcW w:w="299"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rPr>
            </w:pPr>
            <w:r w:rsidRPr="001C48E1">
              <w:rPr>
                <w:i/>
                <w:sz w:val="14"/>
                <w:szCs w:val="14"/>
              </w:rPr>
              <w:t>Feu à l’air libre</w:t>
            </w:r>
            <w:r w:rsidRPr="001C48E1">
              <w:rPr>
                <w:bCs/>
                <w:i/>
                <w:sz w:val="14"/>
                <w:szCs w:val="14"/>
              </w:rPr>
              <w:t xml:space="preserve"> </w:t>
            </w:r>
            <w:r w:rsidRPr="001C48E1">
              <w:rPr>
                <w:i/>
                <w:sz w:val="14"/>
                <w:szCs w:val="14"/>
              </w:rPr>
              <w:t>A.15</w:t>
            </w:r>
          </w:p>
        </w:tc>
        <w:tc>
          <w:tcPr>
            <w:tcW w:w="283"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Péné</w:t>
            </w:r>
            <w:r>
              <w:rPr>
                <w:i/>
                <w:sz w:val="14"/>
                <w:szCs w:val="14"/>
              </w:rPr>
              <w:t>-</w:t>
            </w:r>
            <w:r w:rsidRPr="001C48E1">
              <w:rPr>
                <w:i/>
                <w:sz w:val="14"/>
                <w:szCs w:val="14"/>
              </w:rPr>
              <w:t xml:space="preserve">tration </w:t>
            </w:r>
            <w:r>
              <w:rPr>
                <w:i/>
                <w:sz w:val="14"/>
                <w:szCs w:val="14"/>
              </w:rPr>
              <w:br/>
            </w:r>
            <w:r w:rsidRPr="001C48E1">
              <w:rPr>
                <w:i/>
                <w:sz w:val="14"/>
                <w:szCs w:val="14"/>
              </w:rPr>
              <w:t>A.16</w:t>
            </w:r>
          </w:p>
        </w:tc>
        <w:tc>
          <w:tcPr>
            <w:tcW w:w="327" w:type="pct"/>
            <w:tcBorders>
              <w:left w:val="single" w:sz="2" w:space="0" w:color="auto"/>
              <w:bottom w:val="single" w:sz="4" w:space="0" w:color="auto"/>
              <w:right w:val="single" w:sz="2" w:space="0" w:color="auto"/>
            </w:tcBorders>
            <w:vAlign w:val="bottom"/>
          </w:tcPr>
          <w:p w:rsidR="00E92373" w:rsidRPr="00771442" w:rsidRDefault="00E92373" w:rsidP="00E92373">
            <w:pPr>
              <w:spacing w:before="60" w:after="60" w:line="180" w:lineRule="exact"/>
              <w:ind w:left="57" w:right="57"/>
              <w:rPr>
                <w:i/>
                <w:sz w:val="14"/>
                <w:szCs w:val="14"/>
              </w:rPr>
            </w:pPr>
            <w:r w:rsidRPr="001C48E1">
              <w:rPr>
                <w:i/>
                <w:sz w:val="14"/>
                <w:szCs w:val="14"/>
              </w:rPr>
              <w:t>Essai en environ</w:t>
            </w:r>
            <w:r>
              <w:rPr>
                <w:i/>
                <w:sz w:val="14"/>
                <w:szCs w:val="14"/>
              </w:rPr>
              <w:t>-</w:t>
            </w:r>
            <w:r w:rsidRPr="001C48E1">
              <w:rPr>
                <w:i/>
                <w:sz w:val="14"/>
                <w:szCs w:val="14"/>
              </w:rPr>
              <w:t>nement</w:t>
            </w:r>
            <w:r w:rsidRPr="001C48E1">
              <w:rPr>
                <w:bCs/>
                <w:i/>
                <w:sz w:val="14"/>
                <w:szCs w:val="14"/>
              </w:rPr>
              <w:t xml:space="preserve"> </w:t>
            </w:r>
            <w:r w:rsidRPr="001C48E1">
              <w:rPr>
                <w:i/>
                <w:sz w:val="14"/>
                <w:szCs w:val="14"/>
              </w:rPr>
              <w:t>A.14</w:t>
            </w:r>
          </w:p>
        </w:tc>
        <w:tc>
          <w:tcPr>
            <w:tcW w:w="361"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Tolérance aux défauts A.17</w:t>
            </w:r>
          </w:p>
        </w:tc>
        <w:tc>
          <w:tcPr>
            <w:tcW w:w="327" w:type="pct"/>
            <w:tcBorders>
              <w:left w:val="single" w:sz="2" w:space="0" w:color="auto"/>
              <w:bottom w:val="single" w:sz="4" w:space="0" w:color="auto"/>
              <w:right w:val="single" w:sz="2" w:space="0" w:color="auto"/>
            </w:tcBorders>
            <w:vAlign w:val="bottom"/>
          </w:tcPr>
          <w:p w:rsidR="00E92373" w:rsidRPr="001C48E1" w:rsidRDefault="00E92373" w:rsidP="00E92373">
            <w:pPr>
              <w:spacing w:before="60" w:after="60" w:line="180" w:lineRule="exact"/>
              <w:ind w:left="57" w:right="57"/>
              <w:rPr>
                <w:i/>
                <w:sz w:val="14"/>
                <w:szCs w:val="14"/>
              </w:rPr>
            </w:pPr>
            <w:r w:rsidRPr="001C48E1">
              <w:rPr>
                <w:i/>
                <w:sz w:val="14"/>
                <w:szCs w:val="14"/>
              </w:rPr>
              <w:t>Fluage à</w:t>
            </w:r>
            <w:r>
              <w:rPr>
                <w:i/>
                <w:sz w:val="14"/>
                <w:szCs w:val="14"/>
              </w:rPr>
              <w:t> </w:t>
            </w:r>
            <w:r w:rsidRPr="001C48E1">
              <w:rPr>
                <w:i/>
                <w:sz w:val="14"/>
                <w:szCs w:val="14"/>
              </w:rPr>
              <w:t>haute tempé</w:t>
            </w:r>
            <w:r>
              <w:rPr>
                <w:i/>
                <w:sz w:val="14"/>
                <w:szCs w:val="14"/>
              </w:rPr>
              <w:t>-</w:t>
            </w:r>
            <w:r w:rsidRPr="001C48E1">
              <w:rPr>
                <w:i/>
                <w:sz w:val="14"/>
                <w:szCs w:val="14"/>
              </w:rPr>
              <w:t xml:space="preserve">rature </w:t>
            </w:r>
            <w:r>
              <w:rPr>
                <w:i/>
                <w:sz w:val="14"/>
                <w:szCs w:val="14"/>
              </w:rPr>
              <w:br/>
            </w:r>
            <w:r w:rsidRPr="001C48E1">
              <w:rPr>
                <w:i/>
                <w:sz w:val="14"/>
                <w:szCs w:val="14"/>
              </w:rPr>
              <w:t>A.18</w:t>
            </w:r>
          </w:p>
        </w:tc>
        <w:tc>
          <w:tcPr>
            <w:tcW w:w="363" w:type="pct"/>
            <w:tcBorders>
              <w:left w:val="single" w:sz="2" w:space="0" w:color="auto"/>
              <w:bottom w:val="single" w:sz="4" w:space="0" w:color="auto"/>
              <w:right w:val="single" w:sz="2" w:space="0" w:color="auto"/>
            </w:tcBorders>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Rupture sous contrainte A.19</w:t>
            </w:r>
            <w:r w:rsidRPr="001C48E1">
              <w:rPr>
                <w:bCs/>
                <w:i/>
                <w:sz w:val="14"/>
                <w:szCs w:val="14"/>
              </w:rPr>
              <w:t xml:space="preserve"> </w:t>
            </w:r>
          </w:p>
        </w:tc>
        <w:tc>
          <w:tcPr>
            <w:tcW w:w="239"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Essai de chute A.20</w:t>
            </w:r>
          </w:p>
        </w:tc>
        <w:tc>
          <w:tcPr>
            <w:tcW w:w="280" w:type="pct"/>
            <w:tcBorders>
              <w:left w:val="single" w:sz="2" w:space="0" w:color="auto"/>
              <w:bottom w:val="single" w:sz="4" w:space="0" w:color="auto"/>
              <w:right w:val="single" w:sz="2" w:space="0" w:color="auto"/>
            </w:tcBorders>
            <w:shd w:val="clear" w:color="auto" w:fill="auto"/>
            <w:vAlign w:val="bottom"/>
          </w:tcPr>
          <w:p w:rsidR="00E92373" w:rsidRPr="001C48E1" w:rsidRDefault="00E92373" w:rsidP="00E92373">
            <w:pPr>
              <w:spacing w:before="60" w:after="60" w:line="180" w:lineRule="exact"/>
              <w:ind w:left="57" w:right="57"/>
              <w:rPr>
                <w:i/>
                <w:sz w:val="14"/>
                <w:szCs w:val="14"/>
                <w:lang w:val="en-GB"/>
              </w:rPr>
            </w:pPr>
            <w:r w:rsidRPr="001C48E1">
              <w:rPr>
                <w:i/>
                <w:sz w:val="14"/>
                <w:szCs w:val="14"/>
              </w:rPr>
              <w:t>Couple sur l’ogive A.25</w:t>
            </w:r>
          </w:p>
        </w:tc>
      </w:tr>
      <w:tr w:rsidR="00E92373" w:rsidRPr="00256570" w:rsidTr="00E92373">
        <w:trPr>
          <w:cantSplit/>
        </w:trPr>
        <w:tc>
          <w:tcPr>
            <w:tcW w:w="663"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pacing w:val="-2"/>
                <w:sz w:val="18"/>
                <w:szCs w:val="18"/>
              </w:rPr>
            </w:pPr>
            <w:r w:rsidRPr="00256570">
              <w:rPr>
                <w:spacing w:val="-2"/>
                <w:sz w:val="18"/>
                <w:szCs w:val="18"/>
              </w:rPr>
              <w:t xml:space="preserve">Fabricant </w:t>
            </w:r>
            <w:r>
              <w:rPr>
                <w:spacing w:val="-2"/>
                <w:sz w:val="18"/>
                <w:szCs w:val="18"/>
              </w:rPr>
              <w:br/>
            </w:r>
            <w:r w:rsidRPr="00256570">
              <w:rPr>
                <w:spacing w:val="-2"/>
                <w:sz w:val="18"/>
                <w:szCs w:val="18"/>
              </w:rPr>
              <w:t>de la fibre</w:t>
            </w:r>
          </w:p>
        </w:tc>
        <w:tc>
          <w:tcPr>
            <w:tcW w:w="327"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top w:val="single" w:sz="4" w:space="0" w:color="auto"/>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top w:val="single" w:sz="4" w:space="0" w:color="auto"/>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pacing w:val="-2"/>
                <w:sz w:val="18"/>
                <w:szCs w:val="18"/>
              </w:rPr>
            </w:pPr>
            <w:r w:rsidRPr="00256570">
              <w:rPr>
                <w:spacing w:val="-2"/>
                <w:sz w:val="18"/>
                <w:szCs w:val="18"/>
              </w:rPr>
              <w:t>Matériau du liner métallique</w:t>
            </w:r>
            <w:r w:rsidRPr="00DA1EB9">
              <w:rPr>
                <w:i/>
                <w:spacing w:val="-2"/>
                <w:sz w:val="18"/>
                <w:szCs w:val="18"/>
                <w:vertAlign w:val="superscript"/>
              </w:rPr>
              <w:t>g</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h</w:t>
            </w: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Liner en plastique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Fibre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Résine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 xml:space="preserve">Changement de diamètre </w:t>
            </w:r>
            <w:r w:rsidRPr="00256570">
              <w:rPr>
                <w:sz w:val="18"/>
                <w:szCs w:val="18"/>
              </w:rPr>
              <w:sym w:font="Symbol" w:char="F0A3"/>
            </w:r>
            <w:r w:rsidRPr="00256570">
              <w:rPr>
                <w:sz w:val="18"/>
                <w:szCs w:val="18"/>
              </w:rPr>
              <w:t>20 %</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 xml:space="preserve">Changement de diamètre </w:t>
            </w:r>
            <w:r w:rsidR="00071403" w:rsidRPr="001524AD">
              <w:rPr>
                <w:sz w:val="18"/>
                <w:szCs w:val="18"/>
              </w:rPr>
              <w:t>b)</w:t>
            </w:r>
            <w:r w:rsidR="00071403">
              <w:rPr>
                <w:sz w:val="18"/>
                <w:szCs w:val="18"/>
              </w:rPr>
              <w:t xml:space="preserve"> </w:t>
            </w:r>
            <w:r w:rsidRPr="00256570">
              <w:rPr>
                <w:sz w:val="18"/>
                <w:szCs w:val="18"/>
              </w:rPr>
              <w:t>&gt;20 %</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 xml:space="preserve">Changement de longueur </w:t>
            </w:r>
            <w:r w:rsidRPr="00256570">
              <w:rPr>
                <w:sz w:val="18"/>
                <w:szCs w:val="18"/>
              </w:rPr>
              <w:sym w:font="Symbol" w:char="F0A3"/>
            </w:r>
            <w:r w:rsidRPr="00256570">
              <w:rPr>
                <w:sz w:val="18"/>
                <w:szCs w:val="18"/>
              </w:rPr>
              <w:t>50 %</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a</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Changement de longueur &gt;50 %</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a</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pacing w:val="-2"/>
                <w:sz w:val="18"/>
                <w:szCs w:val="18"/>
              </w:rPr>
              <w:t>Matériau de la bouteille</w:t>
            </w:r>
            <w:r w:rsidRPr="00EB2BF5">
              <w:rPr>
                <w:i/>
                <w:spacing w:val="-2"/>
                <w:sz w:val="18"/>
                <w:szCs w:val="18"/>
                <w:vertAlign w:val="superscript"/>
              </w:rPr>
              <w:t>g</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rPr>
            </w:pPr>
            <w:r w:rsidRPr="00256570">
              <w:rPr>
                <w:sz w:val="18"/>
                <w:szCs w:val="18"/>
              </w:rPr>
              <w:t xml:space="preserve">Changement de pression maximale de fonctionnement </w:t>
            </w:r>
            <w:r w:rsidRPr="00256570">
              <w:rPr>
                <w:sz w:val="18"/>
                <w:szCs w:val="18"/>
              </w:rPr>
              <w:sym w:font="Symbol" w:char="F0A3"/>
            </w:r>
            <w:r w:rsidRPr="00256570">
              <w:rPr>
                <w:sz w:val="18"/>
                <w:szCs w:val="18"/>
              </w:rPr>
              <w:t>20 %</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sz w:val="18"/>
                <w:szCs w:val="18"/>
              </w:rPr>
              <w:t>Forme de l’ogive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f</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bCs/>
                <w:sz w:val="18"/>
                <w:szCs w:val="18"/>
                <w:lang w:val="en-GB"/>
              </w:rPr>
              <w:t>Taille de l’ouverture</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i</w:t>
            </w: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bCs/>
                <w:sz w:val="18"/>
                <w:szCs w:val="18"/>
                <w:lang w:val="en-GB"/>
              </w:rPr>
              <w:t>Changement de revêtement</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j</w:t>
            </w: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bCs/>
                <w:sz w:val="18"/>
                <w:szCs w:val="18"/>
                <w:lang w:val="en-GB"/>
              </w:rPr>
              <w:t>Conception de l’ogive</w:t>
            </w:r>
            <w:r w:rsidRPr="00EB2BF5">
              <w:rPr>
                <w:bCs/>
                <w:i/>
                <w:sz w:val="18"/>
                <w:szCs w:val="18"/>
                <w:vertAlign w:val="superscript"/>
                <w:lang w:val="en-GB"/>
              </w:rPr>
              <w:t>k</w:t>
            </w: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c</w:t>
            </w:r>
          </w:p>
        </w:tc>
        <w:tc>
          <w:tcPr>
            <w:tcW w:w="30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c</w:t>
            </w:r>
          </w:p>
        </w:tc>
        <w:tc>
          <w:tcPr>
            <w:tcW w:w="3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400"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r w:rsidRPr="00EB2BF5">
              <w:rPr>
                <w:bCs/>
                <w:i/>
                <w:sz w:val="18"/>
                <w:szCs w:val="18"/>
                <w:vertAlign w:val="superscript"/>
                <w:lang w:val="en-GB"/>
              </w:rPr>
              <w:t>d</w:t>
            </w:r>
          </w:p>
        </w:tc>
      </w:tr>
      <w:tr w:rsidR="00E92373" w:rsidRPr="00256570" w:rsidTr="00E92373">
        <w:trPr>
          <w:cantSplit/>
        </w:trPr>
        <w:tc>
          <w:tcPr>
            <w:tcW w:w="663"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bCs/>
                <w:sz w:val="18"/>
                <w:szCs w:val="18"/>
                <w:lang w:val="en-GB"/>
              </w:rPr>
              <w:t>Dispositif de surpression</w:t>
            </w: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400"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c>
          <w:tcPr>
            <w:tcW w:w="283"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r>
      <w:tr w:rsidR="00E92373" w:rsidRPr="00256570" w:rsidTr="00E92373">
        <w:trPr>
          <w:cantSplit/>
        </w:trPr>
        <w:tc>
          <w:tcPr>
            <w:tcW w:w="663"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rPr>
                <w:bCs/>
                <w:sz w:val="18"/>
                <w:szCs w:val="18"/>
                <w:lang w:val="en-GB"/>
              </w:rPr>
            </w:pPr>
            <w:r w:rsidRPr="00256570">
              <w:rPr>
                <w:bCs/>
                <w:sz w:val="18"/>
                <w:szCs w:val="18"/>
                <w:lang w:val="en-GB"/>
              </w:rPr>
              <w:t>Filetage</w:t>
            </w: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03"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9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400"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42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9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3"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1"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327"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363" w:type="pct"/>
            <w:tcBorders>
              <w:left w:val="single" w:sz="2" w:space="0" w:color="auto"/>
              <w:bottom w:val="single" w:sz="4" w:space="0" w:color="auto"/>
              <w:right w:val="single" w:sz="2" w:space="0" w:color="auto"/>
            </w:tcBorders>
          </w:tcPr>
          <w:p w:rsidR="00E92373" w:rsidRPr="00256570" w:rsidRDefault="00E92373" w:rsidP="00E92373">
            <w:pPr>
              <w:spacing w:before="40" w:after="40" w:line="220" w:lineRule="atLeast"/>
              <w:ind w:left="57" w:right="57"/>
              <w:jc w:val="center"/>
              <w:rPr>
                <w:bCs/>
                <w:sz w:val="18"/>
                <w:szCs w:val="18"/>
                <w:lang w:val="en-GB"/>
              </w:rPr>
            </w:pPr>
          </w:p>
        </w:tc>
        <w:tc>
          <w:tcPr>
            <w:tcW w:w="239"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p>
        </w:tc>
        <w:tc>
          <w:tcPr>
            <w:tcW w:w="280" w:type="pct"/>
            <w:tcBorders>
              <w:left w:val="single" w:sz="2" w:space="0" w:color="auto"/>
              <w:bottom w:val="single" w:sz="4" w:space="0" w:color="auto"/>
              <w:right w:val="single" w:sz="2" w:space="0" w:color="auto"/>
            </w:tcBorders>
            <w:shd w:val="clear" w:color="auto" w:fill="auto"/>
          </w:tcPr>
          <w:p w:rsidR="00E92373" w:rsidRPr="00256570" w:rsidRDefault="00E92373" w:rsidP="00E92373">
            <w:pPr>
              <w:spacing w:before="40" w:after="40" w:line="220" w:lineRule="atLeast"/>
              <w:ind w:left="57" w:right="57"/>
              <w:jc w:val="center"/>
              <w:rPr>
                <w:bCs/>
                <w:sz w:val="18"/>
                <w:szCs w:val="18"/>
                <w:lang w:val="en-GB"/>
              </w:rPr>
            </w:pPr>
            <w:r w:rsidRPr="00256570">
              <w:rPr>
                <w:bCs/>
                <w:sz w:val="18"/>
                <w:szCs w:val="18"/>
                <w:lang w:val="en-GB"/>
              </w:rPr>
              <w:t>X</w:t>
            </w:r>
          </w:p>
        </w:tc>
      </w:tr>
      <w:tr w:rsidR="00E92373" w:rsidRPr="001A2FFE" w:rsidTr="00E92373">
        <w:trPr>
          <w:cantSplit/>
        </w:trPr>
        <w:tc>
          <w:tcPr>
            <w:tcW w:w="5000" w:type="pct"/>
            <w:gridSpan w:val="14"/>
            <w:tcBorders>
              <w:top w:val="single" w:sz="4" w:space="0" w:color="auto"/>
              <w:left w:val="nil"/>
              <w:bottom w:val="nil"/>
              <w:right w:val="nil"/>
            </w:tcBorders>
          </w:tcPr>
          <w:p w:rsidR="00E92373" w:rsidRPr="001A2FFE" w:rsidRDefault="00E92373" w:rsidP="00E92373">
            <w:pPr>
              <w:spacing w:before="120"/>
              <w:ind w:firstLine="170"/>
              <w:rPr>
                <w:bCs/>
                <w:sz w:val="18"/>
                <w:szCs w:val="18"/>
              </w:rPr>
            </w:pPr>
            <w:r w:rsidRPr="001A2FFE">
              <w:rPr>
                <w:bCs/>
                <w:sz w:val="18"/>
                <w:szCs w:val="18"/>
              </w:rPr>
              <w:t>X = essai requis</w:t>
            </w:r>
            <w:r w:rsidR="001524AD">
              <w:rPr>
                <w:bCs/>
                <w:sz w:val="18"/>
                <w:szCs w:val="18"/>
              </w:rPr>
              <w:t>.</w:t>
            </w:r>
          </w:p>
          <w:p w:rsidR="00E92373" w:rsidRPr="001A2FFE" w:rsidRDefault="00E92373" w:rsidP="00E92373">
            <w:pPr>
              <w:ind w:firstLine="170"/>
              <w:rPr>
                <w:bCs/>
                <w:sz w:val="18"/>
                <w:szCs w:val="18"/>
              </w:rPr>
            </w:pPr>
            <w:r w:rsidRPr="001A2FFE">
              <w:rPr>
                <w:bCs/>
                <w:i/>
                <w:sz w:val="18"/>
                <w:szCs w:val="18"/>
                <w:vertAlign w:val="superscript"/>
              </w:rPr>
              <w:t>a</w:t>
            </w:r>
            <w:r>
              <w:rPr>
                <w:bCs/>
                <w:sz w:val="18"/>
                <w:szCs w:val="18"/>
              </w:rPr>
              <w:t xml:space="preserve">  </w:t>
            </w:r>
            <w:r w:rsidRPr="001A2FFE">
              <w:rPr>
                <w:bCs/>
                <w:sz w:val="18"/>
                <w:szCs w:val="18"/>
              </w:rPr>
              <w:t>Essai requis seulement lorsque la longueur augmente.</w:t>
            </w:r>
          </w:p>
        </w:tc>
      </w:tr>
    </w:tbl>
    <w:p w:rsidR="00E92373" w:rsidRPr="001A2FFE" w:rsidRDefault="00E92373" w:rsidP="00E92373">
      <w:pPr>
        <w:ind w:firstLine="170"/>
        <w:rPr>
          <w:bCs/>
          <w:sz w:val="18"/>
          <w:szCs w:val="18"/>
        </w:rPr>
      </w:pPr>
      <w:r w:rsidRPr="001A2FFE">
        <w:rPr>
          <w:bCs/>
          <w:i/>
          <w:sz w:val="18"/>
          <w:szCs w:val="18"/>
          <w:vertAlign w:val="superscript"/>
        </w:rPr>
        <w:t>b</w:t>
      </w:r>
      <w:r>
        <w:rPr>
          <w:bCs/>
          <w:sz w:val="18"/>
          <w:szCs w:val="18"/>
        </w:rPr>
        <w:t xml:space="preserve">  </w:t>
      </w:r>
      <w:r w:rsidRPr="001A2FFE">
        <w:rPr>
          <w:bCs/>
          <w:sz w:val="18"/>
          <w:szCs w:val="18"/>
        </w:rPr>
        <w:t>Seulement en cas de changement d’épaisseur proportionnel au changement de diamètre et/ou de pression.</w:t>
      </w:r>
    </w:p>
    <w:p w:rsidR="00E92373" w:rsidRPr="001A2FFE" w:rsidRDefault="00E92373" w:rsidP="00E92373">
      <w:pPr>
        <w:ind w:firstLine="170"/>
        <w:rPr>
          <w:bCs/>
          <w:sz w:val="18"/>
          <w:szCs w:val="18"/>
        </w:rPr>
      </w:pPr>
      <w:r w:rsidRPr="001A2FFE">
        <w:rPr>
          <w:bCs/>
          <w:i/>
          <w:sz w:val="18"/>
          <w:szCs w:val="18"/>
          <w:vertAlign w:val="superscript"/>
        </w:rPr>
        <w:t>c</w:t>
      </w:r>
      <w:r>
        <w:rPr>
          <w:bCs/>
          <w:sz w:val="18"/>
          <w:szCs w:val="18"/>
        </w:rPr>
        <w:t xml:space="preserve">  </w:t>
      </w:r>
      <w:r w:rsidRPr="001A2FFE">
        <w:rPr>
          <w:bCs/>
          <w:sz w:val="18"/>
          <w:szCs w:val="18"/>
        </w:rPr>
        <w:t>Seulement si l’interface ogive/liner est affectée.</w:t>
      </w:r>
    </w:p>
    <w:p w:rsidR="00E92373" w:rsidRPr="001A2FFE" w:rsidRDefault="00E92373" w:rsidP="00E92373">
      <w:pPr>
        <w:ind w:firstLine="170"/>
        <w:rPr>
          <w:bCs/>
          <w:sz w:val="18"/>
          <w:szCs w:val="18"/>
        </w:rPr>
      </w:pPr>
      <w:r w:rsidRPr="001A2FFE">
        <w:rPr>
          <w:bCs/>
          <w:i/>
          <w:sz w:val="18"/>
          <w:szCs w:val="18"/>
          <w:vertAlign w:val="superscript"/>
        </w:rPr>
        <w:t>d</w:t>
      </w:r>
      <w:r>
        <w:rPr>
          <w:bCs/>
          <w:sz w:val="18"/>
          <w:szCs w:val="18"/>
        </w:rPr>
        <w:t xml:space="preserve">  </w:t>
      </w:r>
      <w:r w:rsidRPr="001A2FFE">
        <w:rPr>
          <w:bCs/>
          <w:sz w:val="18"/>
          <w:szCs w:val="18"/>
        </w:rPr>
        <w:t>Seulement si l’interface ogive/liner ou ogive/composite est affectée ou si le couple requis change.</w:t>
      </w:r>
    </w:p>
    <w:p w:rsidR="00E92373" w:rsidRPr="001A2FFE" w:rsidRDefault="00E92373" w:rsidP="00E92373">
      <w:pPr>
        <w:ind w:firstLine="170"/>
        <w:rPr>
          <w:bCs/>
          <w:sz w:val="18"/>
          <w:szCs w:val="18"/>
        </w:rPr>
      </w:pPr>
      <w:r w:rsidRPr="001A2FFE">
        <w:rPr>
          <w:bCs/>
          <w:i/>
          <w:sz w:val="18"/>
          <w:szCs w:val="18"/>
          <w:vertAlign w:val="superscript"/>
        </w:rPr>
        <w:t>e</w:t>
      </w:r>
      <w:r>
        <w:rPr>
          <w:bCs/>
          <w:sz w:val="18"/>
          <w:szCs w:val="18"/>
        </w:rPr>
        <w:t xml:space="preserve">  </w:t>
      </w:r>
      <w:r w:rsidRPr="001A2FFE">
        <w:rPr>
          <w:bCs/>
          <w:sz w:val="18"/>
          <w:szCs w:val="18"/>
        </w:rPr>
        <w:t>Seulement lorsque le diamètre augmente.</w:t>
      </w:r>
    </w:p>
    <w:p w:rsidR="00E92373" w:rsidRPr="001A2FFE" w:rsidRDefault="00E92373" w:rsidP="00E92373">
      <w:pPr>
        <w:ind w:firstLine="170"/>
        <w:rPr>
          <w:bCs/>
          <w:sz w:val="18"/>
          <w:szCs w:val="18"/>
        </w:rPr>
      </w:pPr>
      <w:r w:rsidRPr="001A2FFE">
        <w:rPr>
          <w:bCs/>
          <w:i/>
          <w:sz w:val="18"/>
          <w:szCs w:val="18"/>
          <w:vertAlign w:val="superscript"/>
        </w:rPr>
        <w:t>f</w:t>
      </w:r>
      <w:r>
        <w:rPr>
          <w:bCs/>
          <w:sz w:val="18"/>
          <w:szCs w:val="18"/>
        </w:rPr>
        <w:t xml:space="preserve">  </w:t>
      </w:r>
      <w:r w:rsidRPr="001A2FFE">
        <w:rPr>
          <w:bCs/>
          <w:sz w:val="18"/>
          <w:szCs w:val="18"/>
        </w:rPr>
        <w:t>Pour les conceptions de type GNC-1 et GNC-2, requis seulement pour des conceptions non ISO 9809-1.</w:t>
      </w:r>
    </w:p>
    <w:p w:rsidR="00E92373" w:rsidRPr="001A2FFE" w:rsidRDefault="00E92373" w:rsidP="00E92373">
      <w:pPr>
        <w:ind w:firstLine="170"/>
        <w:rPr>
          <w:bCs/>
          <w:sz w:val="18"/>
          <w:szCs w:val="18"/>
        </w:rPr>
      </w:pPr>
      <w:r w:rsidRPr="001A2FFE">
        <w:rPr>
          <w:bCs/>
          <w:i/>
          <w:sz w:val="18"/>
          <w:szCs w:val="18"/>
          <w:vertAlign w:val="superscript"/>
        </w:rPr>
        <w:t>g</w:t>
      </w:r>
      <w:r>
        <w:rPr>
          <w:bCs/>
          <w:sz w:val="18"/>
          <w:szCs w:val="18"/>
        </w:rPr>
        <w:t xml:space="preserve">  </w:t>
      </w:r>
      <w:r w:rsidRPr="001A2FFE">
        <w:rPr>
          <w:bCs/>
          <w:sz w:val="18"/>
          <w:szCs w:val="18"/>
        </w:rPr>
        <w:t>Des essais sur les matériaux sont requis également.</w:t>
      </w:r>
    </w:p>
    <w:p w:rsidR="00E92373" w:rsidRPr="001A2FFE" w:rsidRDefault="00E92373" w:rsidP="00E92373">
      <w:pPr>
        <w:ind w:firstLine="170"/>
        <w:rPr>
          <w:bCs/>
          <w:sz w:val="18"/>
          <w:szCs w:val="18"/>
        </w:rPr>
      </w:pPr>
      <w:r w:rsidRPr="001A2FFE">
        <w:rPr>
          <w:bCs/>
          <w:i/>
          <w:sz w:val="18"/>
          <w:szCs w:val="18"/>
          <w:vertAlign w:val="superscript"/>
        </w:rPr>
        <w:t>h</w:t>
      </w:r>
      <w:r>
        <w:rPr>
          <w:bCs/>
          <w:sz w:val="18"/>
          <w:szCs w:val="18"/>
        </w:rPr>
        <w:t xml:space="preserve">  </w:t>
      </w:r>
      <w:r w:rsidRPr="001A2FFE">
        <w:rPr>
          <w:bCs/>
          <w:sz w:val="18"/>
          <w:szCs w:val="18"/>
        </w:rPr>
        <w:t>Seulement pour les conceptions de type GNC-3.</w:t>
      </w:r>
    </w:p>
    <w:p w:rsidR="00E92373" w:rsidRPr="001A2FFE" w:rsidRDefault="00E92373" w:rsidP="00E92373">
      <w:pPr>
        <w:ind w:firstLine="170"/>
        <w:rPr>
          <w:bCs/>
          <w:sz w:val="18"/>
          <w:szCs w:val="18"/>
        </w:rPr>
      </w:pPr>
      <w:r w:rsidRPr="001A2FFE">
        <w:rPr>
          <w:bCs/>
          <w:i/>
          <w:sz w:val="18"/>
          <w:szCs w:val="18"/>
          <w:vertAlign w:val="superscript"/>
        </w:rPr>
        <w:t>i</w:t>
      </w:r>
      <w:r>
        <w:rPr>
          <w:bCs/>
          <w:sz w:val="18"/>
          <w:szCs w:val="18"/>
        </w:rPr>
        <w:t xml:space="preserve">  </w:t>
      </w:r>
      <w:r w:rsidRPr="001A2FFE">
        <w:rPr>
          <w:bCs/>
          <w:sz w:val="18"/>
          <w:szCs w:val="18"/>
        </w:rPr>
        <w:t>Seulement pour les conceptions de type GNC-3 et GNC-4.</w:t>
      </w:r>
    </w:p>
    <w:p w:rsidR="00E92373" w:rsidRPr="001A2FFE" w:rsidRDefault="00E92373" w:rsidP="00E92373">
      <w:pPr>
        <w:ind w:firstLine="170"/>
        <w:rPr>
          <w:bCs/>
          <w:sz w:val="18"/>
          <w:szCs w:val="18"/>
        </w:rPr>
      </w:pPr>
      <w:r w:rsidRPr="001A2FFE">
        <w:rPr>
          <w:bCs/>
          <w:i/>
          <w:sz w:val="18"/>
          <w:szCs w:val="18"/>
          <w:vertAlign w:val="superscript"/>
        </w:rPr>
        <w:t>j</w:t>
      </w:r>
      <w:r>
        <w:rPr>
          <w:bCs/>
          <w:sz w:val="18"/>
          <w:szCs w:val="18"/>
        </w:rPr>
        <w:t xml:space="preserve">  </w:t>
      </w:r>
      <w:r w:rsidRPr="001A2FFE">
        <w:rPr>
          <w:bCs/>
          <w:sz w:val="18"/>
          <w:szCs w:val="18"/>
        </w:rPr>
        <w:t>Seulement pour les conceptions de type GNC-2, GNC-3 et GNC-4.</w:t>
      </w:r>
    </w:p>
    <w:p w:rsidR="00E92373" w:rsidRPr="001A2FFE" w:rsidRDefault="00E92373" w:rsidP="00E92373">
      <w:pPr>
        <w:spacing w:after="240"/>
        <w:ind w:firstLine="170"/>
        <w:rPr>
          <w:i/>
          <w:szCs w:val="24"/>
        </w:rPr>
      </w:pPr>
      <w:r w:rsidRPr="000F31C3">
        <w:rPr>
          <w:bCs/>
          <w:i/>
          <w:sz w:val="18"/>
          <w:szCs w:val="18"/>
          <w:vertAlign w:val="superscript"/>
        </w:rPr>
        <w:t>k</w:t>
      </w:r>
      <w:r>
        <w:rPr>
          <w:bCs/>
          <w:sz w:val="18"/>
          <w:szCs w:val="18"/>
        </w:rPr>
        <w:t xml:space="preserve">  </w:t>
      </w:r>
      <w:r w:rsidRPr="001A2FFE">
        <w:rPr>
          <w:bCs/>
          <w:sz w:val="18"/>
          <w:szCs w:val="18"/>
        </w:rPr>
        <w:t>Seulement pour les conceptions de type GNC-4.</w:t>
      </w:r>
      <w:r>
        <w:rPr>
          <w:bCs/>
          <w:sz w:val="18"/>
          <w:szCs w:val="18"/>
        </w:rPr>
        <w:t> »</w:t>
      </w:r>
      <w:r w:rsidRPr="001A2FFE">
        <w:rPr>
          <w:bCs/>
          <w:sz w:val="18"/>
          <w:szCs w:val="18"/>
        </w:rPr>
        <w:t>.</w:t>
      </w:r>
    </w:p>
    <w:p w:rsidR="00E92373" w:rsidRPr="00ED26F8" w:rsidRDefault="00E92373" w:rsidP="00071403">
      <w:pPr>
        <w:pStyle w:val="SingleTxtG"/>
        <w:keepNext/>
      </w:pPr>
      <w:r w:rsidRPr="00ED26F8">
        <w:rPr>
          <w:i/>
        </w:rPr>
        <w:t>Paragraphe 7.1</w:t>
      </w:r>
      <w:r w:rsidRPr="00D96F0B">
        <w:t>,</w:t>
      </w:r>
      <w:r w:rsidRPr="00ED26F8">
        <w:t xml:space="preserve"> modifier comme suit</w:t>
      </w:r>
      <w:r>
        <w:t> :</w:t>
      </w:r>
    </w:p>
    <w:p w:rsidR="00E92373" w:rsidRPr="00ED26F8" w:rsidRDefault="00E92373" w:rsidP="00071403">
      <w:pPr>
        <w:pStyle w:val="SingleTxtG"/>
        <w:keepNext/>
        <w:ind w:left="2268" w:hanging="1134"/>
        <w:rPr>
          <w:szCs w:val="24"/>
        </w:rPr>
      </w:pPr>
      <w:r>
        <w:rPr>
          <w:szCs w:val="24"/>
        </w:rPr>
        <w:t>« </w:t>
      </w:r>
      <w:r w:rsidRPr="00ED26F8">
        <w:rPr>
          <w:szCs w:val="24"/>
        </w:rPr>
        <w:t>7.1</w:t>
      </w:r>
      <w:r w:rsidRPr="00ED26F8">
        <w:rPr>
          <w:szCs w:val="24"/>
        </w:rPr>
        <w:tab/>
        <w:t>Généralités</w:t>
      </w:r>
    </w:p>
    <w:p w:rsidR="00E92373" w:rsidRPr="008F0C95" w:rsidRDefault="00E92373" w:rsidP="00E92373">
      <w:pPr>
        <w:pStyle w:val="SingleTxtG"/>
        <w:ind w:left="2268"/>
        <w:rPr>
          <w:strike/>
        </w:rPr>
      </w:pPr>
      <w:r w:rsidRPr="00ED26F8">
        <w:tab/>
      </w:r>
      <w:r w:rsidRPr="008F0C95">
        <w:t>Il convient de déterminer à la conception la taille maximale admissible pour un défaut situé sur n’importe quelle partie de la bouteille et qui ne se développera pas jusqu’à la taille critique durant la nouvelle période d’essais prévue pour la bouteille utilisée à la pression maximale de fonctionnement, ou sur la durée de servic</w:t>
      </w:r>
      <w:r w:rsidR="00071403">
        <w:t xml:space="preserve">e, si aucun nouvel essai n’est </w:t>
      </w:r>
      <w:r w:rsidRPr="008F0C95">
        <w:t>p</w:t>
      </w:r>
      <w:r w:rsidR="00071403">
        <w:t>res</w:t>
      </w:r>
      <w:r w:rsidRPr="008F0C95">
        <w:t>c</w:t>
      </w:r>
      <w:r w:rsidR="00071403">
        <w:t>r</w:t>
      </w:r>
      <w:r w:rsidRPr="008F0C95">
        <w:t>i</w:t>
      </w:r>
      <w:r w:rsidR="00071403">
        <w:t>t</w:t>
      </w:r>
      <w:r w:rsidRPr="008F0C95">
        <w:t xml:space="preserve">. L’évaluation de la capacité de fuite avant rupture doit se faire conformément aux procédures appropriées présentées au paragraphe 6 de l’appendice A à la présente annexe. La taille admissible pour les défauts doit être déterminée conformément </w:t>
      </w:r>
      <w:r w:rsidR="00071403">
        <w:t>au paragraphe 6.15.2 ci-dessus.</w:t>
      </w:r>
      <w:r>
        <w:t> ».</w:t>
      </w:r>
    </w:p>
    <w:p w:rsidR="00E92373" w:rsidRPr="00593881" w:rsidRDefault="00E92373" w:rsidP="00E92373">
      <w:pPr>
        <w:pStyle w:val="SingleTxtG"/>
      </w:pPr>
      <w:r w:rsidRPr="00593881">
        <w:rPr>
          <w:i/>
        </w:rPr>
        <w:t>Paragraphe 7.3.2 b)</w:t>
      </w:r>
      <w:r w:rsidRPr="00D96F0B">
        <w:t>,</w:t>
      </w:r>
      <w:r w:rsidRPr="00593881">
        <w:t xml:space="preserve"> remplacer </w:t>
      </w:r>
      <w:r w:rsidR="001524AD">
        <w:t>le renvoi</w:t>
      </w:r>
      <w:r w:rsidRPr="00593881">
        <w:t xml:space="preserve"> à la norme </w:t>
      </w:r>
      <w:r>
        <w:t>« </w:t>
      </w:r>
      <w:r w:rsidRPr="00593881">
        <w:t>BS 5045, partie 1, annexe I</w:t>
      </w:r>
      <w:r>
        <w:t> »</w:t>
      </w:r>
      <w:r w:rsidRPr="00593881">
        <w:t xml:space="preserve"> par </w:t>
      </w:r>
      <w:r>
        <w:t>« </w:t>
      </w:r>
      <w:r w:rsidRPr="00593881">
        <w:rPr>
          <w:b/>
        </w:rPr>
        <w:t>ISO 9809-1, annexe B</w:t>
      </w:r>
      <w:r>
        <w:t> »</w:t>
      </w:r>
      <w:r w:rsidRPr="00593881">
        <w:t>.</w:t>
      </w:r>
    </w:p>
    <w:p w:rsidR="00E92373" w:rsidRPr="00593881" w:rsidRDefault="00E92373" w:rsidP="00E92373">
      <w:pPr>
        <w:pStyle w:val="SingleTxtG"/>
      </w:pPr>
      <w:r w:rsidRPr="00593881">
        <w:rPr>
          <w:i/>
        </w:rPr>
        <w:t>Paragraphe 7.4</w:t>
      </w:r>
      <w:r w:rsidRPr="00D96F0B">
        <w:t>,</w:t>
      </w:r>
      <w:r w:rsidRPr="00593881">
        <w:t xml:space="preserve"> modifier comme suit</w:t>
      </w:r>
      <w:r>
        <w:t> :</w:t>
      </w:r>
    </w:p>
    <w:p w:rsidR="00E92373" w:rsidRPr="00593881" w:rsidRDefault="00E92373" w:rsidP="00E92373">
      <w:pPr>
        <w:pStyle w:val="SingleTxtG"/>
        <w:ind w:left="2268" w:hanging="1134"/>
        <w:rPr>
          <w:szCs w:val="24"/>
        </w:rPr>
      </w:pPr>
      <w:r>
        <w:rPr>
          <w:szCs w:val="24"/>
        </w:rPr>
        <w:t>« </w:t>
      </w:r>
      <w:r w:rsidRPr="00593881">
        <w:rPr>
          <w:szCs w:val="24"/>
        </w:rPr>
        <w:t>7.4</w:t>
      </w:r>
      <w:r w:rsidRPr="00593881">
        <w:rPr>
          <w:szCs w:val="24"/>
        </w:rPr>
        <w:tab/>
        <w:t xml:space="preserve">Essais par lots </w:t>
      </w:r>
    </w:p>
    <w:p w:rsidR="00E92373" w:rsidRPr="00CB025E" w:rsidRDefault="00E92373" w:rsidP="00E92373">
      <w:pPr>
        <w:pStyle w:val="SingleTxtG"/>
        <w:ind w:left="2268"/>
        <w:rPr>
          <w:szCs w:val="24"/>
        </w:rPr>
      </w:pPr>
      <w:r w:rsidRPr="00593881">
        <w:rPr>
          <w:szCs w:val="24"/>
        </w:rPr>
        <w:tab/>
        <w:t xml:space="preserve">Les essais par lots doivent être effectués sur des bouteilles finies représentatives de la production normale et portant des marques d’identification. Dans chaque lot, deux bouteilles doivent être sélectionnées au hasard. Si le nombre de bouteilles soumises à essai est supérieur au nombre requis dans la présente annexe, l’ensemble des résultats doit être </w:t>
      </w:r>
      <w:r w:rsidR="00071403" w:rsidRPr="001524AD">
        <w:rPr>
          <w:spacing w:val="-2"/>
          <w:szCs w:val="24"/>
        </w:rPr>
        <w:t>justifi</w:t>
      </w:r>
      <w:r w:rsidRPr="001524AD">
        <w:rPr>
          <w:spacing w:val="-2"/>
          <w:szCs w:val="24"/>
        </w:rPr>
        <w:t xml:space="preserve">é. </w:t>
      </w:r>
      <w:r w:rsidRPr="001524AD">
        <w:rPr>
          <w:b/>
          <w:spacing w:val="-2"/>
          <w:szCs w:val="24"/>
        </w:rPr>
        <w:t>Les bouteilles homologuées conformément aux normes</w:t>
      </w:r>
      <w:r w:rsidRPr="00BC1171">
        <w:rPr>
          <w:b/>
          <w:szCs w:val="24"/>
        </w:rPr>
        <w:t xml:space="preserve"> </w:t>
      </w:r>
      <w:r w:rsidRPr="001524AD">
        <w:rPr>
          <w:b/>
          <w:spacing w:val="-2"/>
          <w:szCs w:val="24"/>
        </w:rPr>
        <w:t>ISO</w:t>
      </w:r>
      <w:r w:rsidR="001524AD">
        <w:rPr>
          <w:b/>
          <w:spacing w:val="-2"/>
          <w:szCs w:val="24"/>
        </w:rPr>
        <w:t> </w:t>
      </w:r>
      <w:r w:rsidRPr="001524AD">
        <w:rPr>
          <w:b/>
          <w:spacing w:val="-2"/>
          <w:szCs w:val="24"/>
        </w:rPr>
        <w:t>9809-1,</w:t>
      </w:r>
      <w:r w:rsidRPr="00BC1171">
        <w:rPr>
          <w:b/>
          <w:szCs w:val="24"/>
        </w:rPr>
        <w:t xml:space="preserve"> ISO</w:t>
      </w:r>
      <w:r w:rsidR="001524AD">
        <w:rPr>
          <w:b/>
          <w:szCs w:val="24"/>
        </w:rPr>
        <w:t> </w:t>
      </w:r>
      <w:r w:rsidRPr="00BC1171">
        <w:rPr>
          <w:b/>
          <w:szCs w:val="24"/>
        </w:rPr>
        <w:t>9809-2, ISO</w:t>
      </w:r>
      <w:r w:rsidR="001524AD">
        <w:rPr>
          <w:b/>
          <w:szCs w:val="24"/>
        </w:rPr>
        <w:t> </w:t>
      </w:r>
      <w:r w:rsidRPr="00BC1171">
        <w:rPr>
          <w:b/>
          <w:szCs w:val="24"/>
        </w:rPr>
        <w:t>9809-3 ou ISO</w:t>
      </w:r>
      <w:r w:rsidR="001524AD">
        <w:rPr>
          <w:b/>
          <w:szCs w:val="24"/>
        </w:rPr>
        <w:t> </w:t>
      </w:r>
      <w:r w:rsidRPr="00BC1171">
        <w:rPr>
          <w:b/>
          <w:szCs w:val="24"/>
        </w:rPr>
        <w:t xml:space="preserve">7866 ne </w:t>
      </w:r>
      <w:r>
        <w:rPr>
          <w:b/>
          <w:szCs w:val="24"/>
        </w:rPr>
        <w:t xml:space="preserve">doivent </w:t>
      </w:r>
      <w:r w:rsidRPr="00BC1171">
        <w:rPr>
          <w:b/>
          <w:szCs w:val="24"/>
        </w:rPr>
        <w:t xml:space="preserve">pas </w:t>
      </w:r>
      <w:r>
        <w:rPr>
          <w:b/>
          <w:szCs w:val="24"/>
        </w:rPr>
        <w:t>être soumises à l</w:t>
      </w:r>
      <w:r w:rsidRPr="00BC1171">
        <w:rPr>
          <w:b/>
          <w:szCs w:val="24"/>
        </w:rPr>
        <w:t>’</w:t>
      </w:r>
      <w:r>
        <w:rPr>
          <w:b/>
          <w:szCs w:val="24"/>
        </w:rPr>
        <w:t xml:space="preserve">essai de </w:t>
      </w:r>
      <w:r w:rsidRPr="00BC1171">
        <w:rPr>
          <w:b/>
          <w:szCs w:val="24"/>
        </w:rPr>
        <w:t xml:space="preserve">cyclage en pression </w:t>
      </w:r>
      <w:r>
        <w:rPr>
          <w:b/>
          <w:szCs w:val="24"/>
        </w:rPr>
        <w:t xml:space="preserve">décrit au </w:t>
      </w:r>
      <w:r w:rsidRPr="00BC1171">
        <w:rPr>
          <w:b/>
          <w:szCs w:val="24"/>
        </w:rPr>
        <w:t xml:space="preserve">paragraphe </w:t>
      </w:r>
      <w:r>
        <w:rPr>
          <w:b/>
          <w:szCs w:val="24"/>
        </w:rPr>
        <w:t>1</w:t>
      </w:r>
      <w:r w:rsidRPr="00BC1171">
        <w:rPr>
          <w:b/>
          <w:szCs w:val="24"/>
        </w:rPr>
        <w:t>3</w:t>
      </w:r>
      <w:r>
        <w:rPr>
          <w:b/>
          <w:szCs w:val="24"/>
        </w:rPr>
        <w:t xml:space="preserve"> de l</w:t>
      </w:r>
      <w:r w:rsidRPr="00BC1171">
        <w:rPr>
          <w:b/>
          <w:szCs w:val="24"/>
        </w:rPr>
        <w:t>’</w:t>
      </w:r>
      <w:r>
        <w:rPr>
          <w:b/>
          <w:szCs w:val="24"/>
        </w:rPr>
        <w:t xml:space="preserve">appendice A </w:t>
      </w:r>
      <w:r w:rsidRPr="00BC1171">
        <w:rPr>
          <w:b/>
          <w:szCs w:val="24"/>
        </w:rPr>
        <w:t>à la présente annexe</w:t>
      </w:r>
      <w:r w:rsidR="00071403">
        <w:rPr>
          <w:b/>
          <w:szCs w:val="24"/>
        </w:rPr>
        <w:t>.</w:t>
      </w:r>
    </w:p>
    <w:p w:rsidR="00E92373" w:rsidRPr="00CB025E" w:rsidRDefault="00E92373" w:rsidP="00E92373">
      <w:pPr>
        <w:pStyle w:val="SingleTxtG"/>
        <w:ind w:left="2835" w:hanging="567"/>
        <w:rPr>
          <w:szCs w:val="24"/>
        </w:rPr>
      </w:pPr>
      <w:r w:rsidRPr="00CB025E">
        <w:rPr>
          <w:szCs w:val="24"/>
        </w:rPr>
        <w:t>a)</w:t>
      </w:r>
      <w:r w:rsidRPr="00CB025E">
        <w:rPr>
          <w:szCs w:val="24"/>
        </w:rPr>
        <w:tab/>
        <w:t>Essai des matériaux par lots …</w:t>
      </w:r>
    </w:p>
    <w:p w:rsidR="00E92373" w:rsidRPr="00ED26F8" w:rsidRDefault="00E92373" w:rsidP="00E92373">
      <w:pPr>
        <w:pStyle w:val="SingleTxtG"/>
        <w:ind w:left="2268"/>
        <w:rPr>
          <w:szCs w:val="24"/>
        </w:rPr>
      </w:pPr>
      <w:r w:rsidRPr="00CB025E">
        <w:rPr>
          <w:szCs w:val="24"/>
        </w:rPr>
        <w:tab/>
      </w:r>
      <w:r w:rsidRPr="00ED26F8">
        <w:rPr>
          <w:szCs w:val="24"/>
        </w:rPr>
        <w:t>…</w:t>
      </w:r>
      <w:r w:rsidRPr="00ED26F8">
        <w:rPr>
          <w:szCs w:val="24"/>
        </w:rPr>
        <w:tab/>
      </w:r>
    </w:p>
    <w:p w:rsidR="00E92373" w:rsidRDefault="00E92373" w:rsidP="00E92373">
      <w:pPr>
        <w:pStyle w:val="SingleTxtG"/>
        <w:ind w:left="2835" w:hanging="567"/>
        <w:rPr>
          <w:szCs w:val="24"/>
        </w:rPr>
      </w:pPr>
      <w:r w:rsidRPr="00CB025E">
        <w:rPr>
          <w:szCs w:val="24"/>
        </w:rPr>
        <w:t>c)</w:t>
      </w:r>
      <w:r w:rsidRPr="00CB025E">
        <w:rPr>
          <w:szCs w:val="24"/>
        </w:rPr>
        <w:tab/>
      </w:r>
      <w:r w:rsidRPr="007030EA">
        <w:rPr>
          <w:spacing w:val="-2"/>
          <w:szCs w:val="24"/>
        </w:rPr>
        <w:t xml:space="preserve">Essai périodique </w:t>
      </w:r>
      <w:r w:rsidRPr="007030EA">
        <w:rPr>
          <w:spacing w:val="-4"/>
          <w:szCs w:val="24"/>
        </w:rPr>
        <w:t>de cyclage en pression. Les bouteilles finies doivent</w:t>
      </w:r>
      <w:r w:rsidRPr="00CB025E">
        <w:rPr>
          <w:szCs w:val="24"/>
        </w:rPr>
        <w:t xml:space="preserve"> être soumises à un cyclage en pression conformément au paragraphe 13 de </w:t>
      </w:r>
      <w:r w:rsidRPr="001A2FFE">
        <w:t>l’appendice</w:t>
      </w:r>
      <w:r w:rsidRPr="00CB025E">
        <w:rPr>
          <w:szCs w:val="24"/>
        </w:rPr>
        <w:t xml:space="preserve"> A à la présente annexe et selon une fréquence d’essai définie comme suit</w:t>
      </w:r>
      <w:r>
        <w:rPr>
          <w:szCs w:val="24"/>
        </w:rPr>
        <w:t> :</w:t>
      </w:r>
    </w:p>
    <w:p w:rsidR="00E92373" w:rsidRPr="00ED26F8" w:rsidRDefault="00E92373" w:rsidP="00E92373">
      <w:pPr>
        <w:pStyle w:val="SingleTxtG"/>
        <w:ind w:left="3402" w:hanging="567"/>
        <w:rPr>
          <w:szCs w:val="24"/>
        </w:rPr>
      </w:pPr>
      <w:r w:rsidRPr="00ED26F8">
        <w:rPr>
          <w:szCs w:val="24"/>
        </w:rPr>
        <w:t>i)</w:t>
      </w:r>
      <w:r w:rsidRPr="00ED26F8">
        <w:rPr>
          <w:szCs w:val="24"/>
        </w:rPr>
        <w:tab/>
        <w:t>Une bouteille …</w:t>
      </w:r>
    </w:p>
    <w:p w:rsidR="00E92373" w:rsidRPr="00ED26F8" w:rsidRDefault="00E92373" w:rsidP="00E92373">
      <w:pPr>
        <w:pStyle w:val="SingleTxtG"/>
        <w:ind w:left="3402" w:hanging="567"/>
        <w:rPr>
          <w:szCs w:val="24"/>
        </w:rPr>
      </w:pPr>
      <w:r w:rsidRPr="00ED26F8">
        <w:rPr>
          <w:szCs w:val="24"/>
        </w:rPr>
        <w:t>…</w:t>
      </w:r>
    </w:p>
    <w:p w:rsidR="00E92373" w:rsidRDefault="00E92373" w:rsidP="00E92373">
      <w:pPr>
        <w:pStyle w:val="SingleTxtG"/>
        <w:ind w:left="3402" w:hanging="567"/>
        <w:rPr>
          <w:szCs w:val="24"/>
        </w:rPr>
      </w:pPr>
      <w:r w:rsidRPr="00CB025E">
        <w:rPr>
          <w:szCs w:val="24"/>
        </w:rPr>
        <w:t>iv)</w:t>
      </w:r>
      <w:r w:rsidRPr="00CB025E">
        <w:rPr>
          <w:szCs w:val="24"/>
        </w:rPr>
        <w:tab/>
        <w:t xml:space="preserve">Si plus de 6 mois se sont écoulés depuis le dernier lot de fabrication, une bouteille appartenant au lot suivant doit être soumise à l’essai de cyclage en </w:t>
      </w:r>
      <w:r w:rsidRPr="001A2FFE">
        <w:t>pression</w:t>
      </w:r>
      <w:r w:rsidRPr="00CB025E">
        <w:rPr>
          <w:szCs w:val="24"/>
        </w:rPr>
        <w:t xml:space="preserve"> afin de maintenir la fréquence d’essai réduite prévue au paragraphe ii) ou iii) ci-dessus</w:t>
      </w:r>
      <w:r>
        <w:rPr>
          <w:szCs w:val="24"/>
        </w:rPr>
        <w:t> ;</w:t>
      </w:r>
    </w:p>
    <w:p w:rsidR="00E92373" w:rsidRPr="00CB025E" w:rsidRDefault="00E92373" w:rsidP="00E92373">
      <w:pPr>
        <w:pStyle w:val="SingleTxtG"/>
        <w:ind w:left="3402" w:hanging="567"/>
        <w:rPr>
          <w:szCs w:val="24"/>
        </w:rPr>
      </w:pPr>
      <w:r w:rsidRPr="00CB025E">
        <w:rPr>
          <w:szCs w:val="24"/>
        </w:rPr>
        <w:t>v)</w:t>
      </w:r>
      <w:r w:rsidRPr="00CB025E">
        <w:rPr>
          <w:szCs w:val="24"/>
        </w:rPr>
        <w:tab/>
        <w:t>Si l’une des</w:t>
      </w:r>
      <w:r>
        <w:rPr>
          <w:szCs w:val="24"/>
        </w:rPr>
        <w:t xml:space="preserve"> </w:t>
      </w:r>
      <w:r w:rsidRPr="00CB025E">
        <w:rPr>
          <w:szCs w:val="24"/>
        </w:rPr>
        <w:t>…</w:t>
      </w:r>
    </w:p>
    <w:p w:rsidR="00E92373" w:rsidRPr="00CB025E" w:rsidRDefault="00E92373" w:rsidP="00E92373">
      <w:pPr>
        <w:pStyle w:val="SingleTxtG"/>
        <w:ind w:left="3402" w:hanging="567"/>
        <w:rPr>
          <w:szCs w:val="24"/>
        </w:rPr>
      </w:pPr>
      <w:r w:rsidRPr="00CB025E">
        <w:rPr>
          <w:szCs w:val="24"/>
        </w:rPr>
        <w:t>…</w:t>
      </w:r>
      <w:r>
        <w:rPr>
          <w:szCs w:val="24"/>
        </w:rPr>
        <w:t> »</w:t>
      </w:r>
      <w:r w:rsidRPr="00CB025E">
        <w:rPr>
          <w:szCs w:val="24"/>
        </w:rPr>
        <w:t>.</w:t>
      </w:r>
    </w:p>
    <w:p w:rsidR="00E92373" w:rsidRPr="00CB025E" w:rsidRDefault="00E92373" w:rsidP="00E92373">
      <w:pPr>
        <w:pStyle w:val="SingleTxtG"/>
      </w:pPr>
      <w:r w:rsidRPr="00CB025E">
        <w:rPr>
          <w:i/>
        </w:rPr>
        <w:t>Paragraphe 8.3.3.1</w:t>
      </w:r>
      <w:r w:rsidRPr="00D96F0B">
        <w:t>,</w:t>
      </w:r>
      <w:r w:rsidRPr="00CB025E">
        <w:t xml:space="preserve"> modifier comme suit</w:t>
      </w:r>
      <w:r>
        <w:t> :</w:t>
      </w:r>
    </w:p>
    <w:p w:rsidR="00E92373" w:rsidRPr="00CB025E" w:rsidRDefault="00E92373" w:rsidP="00E92373">
      <w:pPr>
        <w:pStyle w:val="SingleTxtG"/>
        <w:ind w:left="2268" w:hanging="1134"/>
        <w:rPr>
          <w:szCs w:val="24"/>
        </w:rPr>
      </w:pPr>
      <w:r>
        <w:rPr>
          <w:szCs w:val="24"/>
        </w:rPr>
        <w:t>« </w:t>
      </w:r>
      <w:r w:rsidRPr="00CB025E">
        <w:rPr>
          <w:szCs w:val="24"/>
        </w:rPr>
        <w:t>8.3.3.1</w:t>
      </w:r>
      <w:r w:rsidRPr="00CB025E">
        <w:rPr>
          <w:szCs w:val="24"/>
        </w:rPr>
        <w:tab/>
        <w:t xml:space="preserve">Cuisson des résines thermodurcissables </w:t>
      </w:r>
    </w:p>
    <w:p w:rsidR="00E92373" w:rsidRPr="00B276A6" w:rsidRDefault="00E92373" w:rsidP="00E92373">
      <w:pPr>
        <w:pStyle w:val="SingleTxtG"/>
        <w:ind w:left="2268"/>
        <w:rPr>
          <w:szCs w:val="24"/>
        </w:rPr>
      </w:pPr>
      <w:r w:rsidRPr="00CB025E">
        <w:rPr>
          <w:szCs w:val="24"/>
        </w:rPr>
        <w:tab/>
        <w:t>En cas d’utilisation d’une résine thermodurcissable, elle doit être cuite après l’enroulement filamentaire. Lors de la cuisson, le cycle de cuisson (c’est-à-dire l’historique des températures en fonction du temps) doit être consigné.</w:t>
      </w:r>
      <w:r>
        <w:rPr>
          <w:szCs w:val="24"/>
        </w:rPr>
        <w:t xml:space="preserve"> </w:t>
      </w:r>
      <w:r w:rsidRPr="00CB025E">
        <w:rPr>
          <w:szCs w:val="24"/>
        </w:rPr>
        <w:t xml:space="preserve">La température de cuisson doit être surveillée et ne doit pas altérer les propriétés des matériaux du liner. La température maximale </w:t>
      </w:r>
      <w:r w:rsidRPr="00CB025E">
        <w:rPr>
          <w:b/>
          <w:szCs w:val="24"/>
        </w:rPr>
        <w:t>et la durée de</w:t>
      </w:r>
      <w:r>
        <w:rPr>
          <w:szCs w:val="24"/>
        </w:rPr>
        <w:t xml:space="preserve"> </w:t>
      </w:r>
      <w:r w:rsidRPr="00CB025E">
        <w:rPr>
          <w:szCs w:val="24"/>
        </w:rPr>
        <w:t>cuisson de</w:t>
      </w:r>
      <w:r>
        <w:rPr>
          <w:szCs w:val="24"/>
        </w:rPr>
        <w:t>s</w:t>
      </w:r>
      <w:r w:rsidRPr="00CB025E">
        <w:rPr>
          <w:szCs w:val="24"/>
        </w:rPr>
        <w:t xml:space="preserve"> bouteilles comportant un liner en aluminium </w:t>
      </w:r>
      <w:r w:rsidRPr="00CB025E">
        <w:rPr>
          <w:b/>
          <w:szCs w:val="24"/>
        </w:rPr>
        <w:t xml:space="preserve">doivent être inférieures aux valeurs </w:t>
      </w:r>
      <w:r>
        <w:rPr>
          <w:b/>
          <w:szCs w:val="24"/>
        </w:rPr>
        <w:t>pouvant nuire aux propriétés du métal</w:t>
      </w:r>
      <w:r w:rsidRPr="00B276A6">
        <w:rPr>
          <w:szCs w:val="24"/>
        </w:rPr>
        <w:t>.</w:t>
      </w:r>
      <w:r>
        <w:rPr>
          <w:szCs w:val="24"/>
        </w:rPr>
        <w:t> »</w:t>
      </w:r>
      <w:r w:rsidRPr="00B276A6">
        <w:rPr>
          <w:szCs w:val="24"/>
        </w:rPr>
        <w:t>.</w:t>
      </w:r>
    </w:p>
    <w:p w:rsidR="00E92373" w:rsidRPr="00B276A6" w:rsidRDefault="00E92373" w:rsidP="00E92373">
      <w:pPr>
        <w:pStyle w:val="SingleTxtG"/>
        <w:rPr>
          <w:szCs w:val="24"/>
        </w:rPr>
      </w:pPr>
      <w:r w:rsidRPr="00B276A6">
        <w:rPr>
          <w:i/>
          <w:szCs w:val="24"/>
        </w:rPr>
        <w:t>Paragraphe 8.4.1 b)</w:t>
      </w:r>
      <w:r w:rsidRPr="00D96F0B">
        <w:rPr>
          <w:szCs w:val="24"/>
        </w:rPr>
        <w:t>,</w:t>
      </w:r>
      <w:r w:rsidRPr="00B276A6">
        <w:rPr>
          <w:szCs w:val="24"/>
        </w:rPr>
        <w:t xml:space="preserve"> remplacer l</w:t>
      </w:r>
      <w:r w:rsidR="00071403">
        <w:rPr>
          <w:szCs w:val="24"/>
        </w:rPr>
        <w:t>e</w:t>
      </w:r>
      <w:r w:rsidRPr="00B276A6">
        <w:rPr>
          <w:szCs w:val="24"/>
        </w:rPr>
        <w:t xml:space="preserve"> </w:t>
      </w:r>
      <w:r w:rsidR="00071403">
        <w:rPr>
          <w:szCs w:val="24"/>
        </w:rPr>
        <w:t>renvoi</w:t>
      </w:r>
      <w:r w:rsidRPr="00B276A6">
        <w:rPr>
          <w:szCs w:val="24"/>
        </w:rPr>
        <w:t xml:space="preserve"> à la norme </w:t>
      </w:r>
      <w:r>
        <w:rPr>
          <w:szCs w:val="24"/>
        </w:rPr>
        <w:t>« </w:t>
      </w:r>
      <w:r w:rsidRPr="00B276A6">
        <w:rPr>
          <w:szCs w:val="24"/>
        </w:rPr>
        <w:t>BS</w:t>
      </w:r>
      <w:r w:rsidR="00071403">
        <w:rPr>
          <w:szCs w:val="24"/>
        </w:rPr>
        <w:t> </w:t>
      </w:r>
      <w:r w:rsidRPr="00B276A6">
        <w:rPr>
          <w:szCs w:val="24"/>
        </w:rPr>
        <w:t xml:space="preserve">5045, partie 1, </w:t>
      </w:r>
      <w:r>
        <w:rPr>
          <w:szCs w:val="24"/>
        </w:rPr>
        <w:t>a</w:t>
      </w:r>
      <w:r w:rsidRPr="00B276A6">
        <w:rPr>
          <w:szCs w:val="24"/>
        </w:rPr>
        <w:t>nnexe 1B</w:t>
      </w:r>
      <w:r>
        <w:rPr>
          <w:szCs w:val="24"/>
        </w:rPr>
        <w:t> »</w:t>
      </w:r>
      <w:r w:rsidRPr="00B276A6">
        <w:rPr>
          <w:szCs w:val="24"/>
        </w:rPr>
        <w:t xml:space="preserve"> </w:t>
      </w:r>
      <w:r>
        <w:rPr>
          <w:szCs w:val="24"/>
        </w:rPr>
        <w:t>par « </w:t>
      </w:r>
      <w:r w:rsidRPr="00B276A6">
        <w:rPr>
          <w:b/>
          <w:szCs w:val="24"/>
        </w:rPr>
        <w:t xml:space="preserve">ISO 9809-1, </w:t>
      </w:r>
      <w:r>
        <w:rPr>
          <w:b/>
          <w:szCs w:val="24"/>
        </w:rPr>
        <w:t>a</w:t>
      </w:r>
      <w:r w:rsidRPr="00B276A6">
        <w:rPr>
          <w:b/>
          <w:szCs w:val="24"/>
        </w:rPr>
        <w:t>nnexe B</w:t>
      </w:r>
      <w:r>
        <w:rPr>
          <w:szCs w:val="24"/>
        </w:rPr>
        <w:t> »</w:t>
      </w:r>
      <w:r w:rsidRPr="00B276A6">
        <w:rPr>
          <w:szCs w:val="24"/>
        </w:rPr>
        <w:t>.</w:t>
      </w:r>
    </w:p>
    <w:p w:rsidR="00E92373" w:rsidRPr="0031355E" w:rsidRDefault="00E92373" w:rsidP="00E92373">
      <w:pPr>
        <w:pStyle w:val="SingleTxtG"/>
        <w:keepNext/>
        <w:rPr>
          <w:szCs w:val="24"/>
        </w:rPr>
      </w:pPr>
      <w:r w:rsidRPr="0031355E">
        <w:rPr>
          <w:i/>
          <w:szCs w:val="24"/>
        </w:rPr>
        <w:t>Paragraphe 8.6.4</w:t>
      </w:r>
      <w:r w:rsidRPr="00D96F0B">
        <w:rPr>
          <w:szCs w:val="24"/>
        </w:rPr>
        <w:t>,</w:t>
      </w:r>
      <w:r w:rsidRPr="0031355E">
        <w:rPr>
          <w:szCs w:val="24"/>
        </w:rPr>
        <w:t xml:space="preserve"> modifier comme suit</w:t>
      </w:r>
      <w:r>
        <w:rPr>
          <w:szCs w:val="24"/>
        </w:rPr>
        <w:t> :</w:t>
      </w:r>
    </w:p>
    <w:p w:rsidR="00E92373" w:rsidRPr="0031355E" w:rsidRDefault="00E92373" w:rsidP="00E92373">
      <w:pPr>
        <w:pStyle w:val="SingleTxtG"/>
        <w:keepNext/>
        <w:ind w:left="2268" w:hanging="1134"/>
        <w:rPr>
          <w:szCs w:val="24"/>
        </w:rPr>
      </w:pPr>
      <w:r>
        <w:rPr>
          <w:szCs w:val="24"/>
        </w:rPr>
        <w:t>« </w:t>
      </w:r>
      <w:r w:rsidRPr="0031355E">
        <w:rPr>
          <w:szCs w:val="24"/>
        </w:rPr>
        <w:t>8.6.4</w:t>
      </w:r>
      <w:r w:rsidRPr="0031355E">
        <w:rPr>
          <w:szCs w:val="24"/>
        </w:rPr>
        <w:tab/>
      </w:r>
      <w:r w:rsidRPr="00B276A6">
        <w:rPr>
          <w:szCs w:val="24"/>
        </w:rPr>
        <w:t xml:space="preserve">Essai </w:t>
      </w:r>
      <w:r w:rsidRPr="00B276A6">
        <w:rPr>
          <w:b/>
          <w:szCs w:val="24"/>
        </w:rPr>
        <w:t>d’</w:t>
      </w:r>
      <w:r w:rsidR="00071403">
        <w:rPr>
          <w:szCs w:val="24"/>
        </w:rPr>
        <w:t>environnement</w:t>
      </w:r>
    </w:p>
    <w:p w:rsidR="00E92373" w:rsidRPr="00B276A6" w:rsidRDefault="00E92373" w:rsidP="00E92373">
      <w:pPr>
        <w:pStyle w:val="SingleTxtG"/>
        <w:keepNext/>
        <w:ind w:left="2268"/>
        <w:rPr>
          <w:szCs w:val="24"/>
        </w:rPr>
      </w:pPr>
      <w:r w:rsidRPr="0031355E">
        <w:rPr>
          <w:szCs w:val="24"/>
        </w:rPr>
        <w:tab/>
      </w:r>
      <w:r w:rsidRPr="00B276A6">
        <w:rPr>
          <w:szCs w:val="24"/>
        </w:rPr>
        <w:t>Une bouteille doit être soumise à cet essai conformément au paragraphe 14 de l’appendice A à la présente annexe et doit répondre aux</w:t>
      </w:r>
      <w:r w:rsidR="00071403">
        <w:rPr>
          <w:szCs w:val="24"/>
        </w:rPr>
        <w:t xml:space="preserve"> prescriptions correspondantes</w:t>
      </w:r>
      <w:r w:rsidRPr="00B276A6">
        <w:rPr>
          <w:szCs w:val="24"/>
        </w:rPr>
        <w:t>.</w:t>
      </w:r>
      <w:r>
        <w:rPr>
          <w:szCs w:val="24"/>
        </w:rPr>
        <w:t> ».</w:t>
      </w:r>
    </w:p>
    <w:p w:rsidR="00E92373" w:rsidRPr="00B276A6" w:rsidRDefault="00E92373" w:rsidP="00E92373">
      <w:pPr>
        <w:pStyle w:val="SingleTxtG"/>
        <w:rPr>
          <w:szCs w:val="24"/>
        </w:rPr>
      </w:pPr>
      <w:r w:rsidRPr="00B276A6">
        <w:rPr>
          <w:i/>
          <w:szCs w:val="24"/>
        </w:rPr>
        <w:t>Paragraphe 8.6.8</w:t>
      </w:r>
      <w:r w:rsidRPr="00D96F0B">
        <w:rPr>
          <w:szCs w:val="24"/>
        </w:rPr>
        <w:t>,</w:t>
      </w:r>
      <w:r w:rsidRPr="00B276A6">
        <w:rPr>
          <w:szCs w:val="24"/>
        </w:rPr>
        <w:t xml:space="preserve"> modifier comme suit</w:t>
      </w:r>
      <w:r>
        <w:rPr>
          <w:szCs w:val="24"/>
        </w:rPr>
        <w:t> :</w:t>
      </w:r>
    </w:p>
    <w:p w:rsidR="00E92373" w:rsidRPr="00B276A6" w:rsidRDefault="00E92373" w:rsidP="00E92373">
      <w:pPr>
        <w:pStyle w:val="SingleTxtG"/>
        <w:ind w:left="2268" w:hanging="1134"/>
        <w:rPr>
          <w:szCs w:val="24"/>
        </w:rPr>
      </w:pPr>
      <w:r>
        <w:rPr>
          <w:szCs w:val="24"/>
        </w:rPr>
        <w:t>« </w:t>
      </w:r>
      <w:r w:rsidRPr="00B276A6">
        <w:rPr>
          <w:szCs w:val="24"/>
        </w:rPr>
        <w:t>8.6.8</w:t>
      </w:r>
      <w:r w:rsidRPr="00B276A6">
        <w:rPr>
          <w:szCs w:val="24"/>
        </w:rPr>
        <w:tab/>
      </w:r>
      <w:r w:rsidRPr="003C0F7F">
        <w:t>Essai de fluage à température élevée</w:t>
      </w:r>
    </w:p>
    <w:p w:rsidR="00E92373" w:rsidRPr="000D1DA6" w:rsidRDefault="00E92373" w:rsidP="00E92373">
      <w:pPr>
        <w:pStyle w:val="SingleTxtG"/>
        <w:ind w:left="2268"/>
        <w:rPr>
          <w:szCs w:val="24"/>
        </w:rPr>
      </w:pPr>
      <w:r w:rsidRPr="00B276A6">
        <w:rPr>
          <w:szCs w:val="24"/>
        </w:rPr>
        <w:tab/>
        <w:t xml:space="preserve">Lorsque la température de transition vitreuse de la résine ne dépasse pas </w:t>
      </w:r>
      <w:r w:rsidRPr="000D1DA6">
        <w:rPr>
          <w:b/>
          <w:szCs w:val="24"/>
        </w:rPr>
        <w:t>102</w:t>
      </w:r>
      <w:r>
        <w:rPr>
          <w:b/>
          <w:szCs w:val="24"/>
        </w:rPr>
        <w:t> °C</w:t>
      </w:r>
      <w:r w:rsidRPr="000D1DA6">
        <w:rPr>
          <w:szCs w:val="24"/>
        </w:rPr>
        <w:t>,</w:t>
      </w:r>
      <w:r>
        <w:rPr>
          <w:szCs w:val="24"/>
        </w:rPr>
        <w:t xml:space="preserve"> </w:t>
      </w:r>
      <w:r w:rsidRPr="00B276A6">
        <w:rPr>
          <w:szCs w:val="24"/>
        </w:rPr>
        <w:t>une bouteille doit être soumise à cet essai conformément au paragraphe 18 de l’appendice A à la présente annexe et doit répondre aux prescriptions correspondantes.</w:t>
      </w:r>
      <w:r>
        <w:rPr>
          <w:szCs w:val="24"/>
        </w:rPr>
        <w:t> ».</w:t>
      </w:r>
    </w:p>
    <w:p w:rsidR="00E92373" w:rsidRPr="00B276A6" w:rsidRDefault="00E92373" w:rsidP="00E92373">
      <w:pPr>
        <w:pStyle w:val="SingleTxtG"/>
        <w:rPr>
          <w:szCs w:val="24"/>
        </w:rPr>
      </w:pPr>
      <w:r w:rsidRPr="00B276A6">
        <w:rPr>
          <w:i/>
          <w:szCs w:val="24"/>
        </w:rPr>
        <w:t>Paragraphe 10.4</w:t>
      </w:r>
      <w:r w:rsidRPr="00D96F0B">
        <w:rPr>
          <w:szCs w:val="24"/>
        </w:rPr>
        <w:t>,</w:t>
      </w:r>
      <w:r w:rsidRPr="00B276A6">
        <w:rPr>
          <w:szCs w:val="24"/>
        </w:rPr>
        <w:t xml:space="preserve"> modifier comme suit</w:t>
      </w:r>
      <w:r>
        <w:rPr>
          <w:szCs w:val="24"/>
        </w:rPr>
        <w:t> :</w:t>
      </w:r>
    </w:p>
    <w:p w:rsidR="00E92373" w:rsidRPr="00B276A6" w:rsidRDefault="00E92373" w:rsidP="00E92373">
      <w:pPr>
        <w:pStyle w:val="SingleTxtG"/>
        <w:ind w:left="2268" w:hanging="1134"/>
        <w:rPr>
          <w:szCs w:val="24"/>
        </w:rPr>
      </w:pPr>
      <w:r>
        <w:rPr>
          <w:szCs w:val="24"/>
        </w:rPr>
        <w:t>« </w:t>
      </w:r>
      <w:r w:rsidRPr="00B276A6">
        <w:rPr>
          <w:szCs w:val="24"/>
        </w:rPr>
        <w:t>10.4</w:t>
      </w:r>
      <w:r w:rsidRPr="00B276A6">
        <w:rPr>
          <w:szCs w:val="24"/>
        </w:rPr>
        <w:tab/>
        <w:t>Prescriptions relatives à la fabrication</w:t>
      </w:r>
    </w:p>
    <w:p w:rsidR="00E92373" w:rsidRPr="00B01C4C" w:rsidRDefault="00E92373" w:rsidP="00E92373">
      <w:pPr>
        <w:pStyle w:val="SingleTxtG"/>
        <w:ind w:left="2268"/>
        <w:rPr>
          <w:szCs w:val="24"/>
        </w:rPr>
      </w:pPr>
      <w:r w:rsidRPr="00B276A6">
        <w:rPr>
          <w:szCs w:val="24"/>
        </w:rPr>
        <w:tab/>
      </w:r>
      <w:r w:rsidRPr="00B01C4C">
        <w:rPr>
          <w:szCs w:val="24"/>
        </w:rPr>
        <w:t>Les prescriptions en matière de fabrication sont cell</w:t>
      </w:r>
      <w:r w:rsidR="00071403">
        <w:rPr>
          <w:szCs w:val="24"/>
        </w:rPr>
        <w:t>es du paragraphe 8.3 ci-dessus. </w:t>
      </w:r>
      <w:r>
        <w:rPr>
          <w:szCs w:val="24"/>
        </w:rPr>
        <w:t>».</w:t>
      </w:r>
    </w:p>
    <w:p w:rsidR="00E92373" w:rsidRPr="000D1DA6" w:rsidRDefault="00E92373" w:rsidP="00E92373">
      <w:pPr>
        <w:pStyle w:val="SingleTxtG"/>
        <w:rPr>
          <w:szCs w:val="24"/>
        </w:rPr>
      </w:pPr>
      <w:r w:rsidRPr="000D1DA6">
        <w:rPr>
          <w:i/>
          <w:szCs w:val="24"/>
        </w:rPr>
        <w:t>Paragraphe 10.6.1 a) iii)</w:t>
      </w:r>
      <w:r w:rsidRPr="00D96F0B">
        <w:rPr>
          <w:szCs w:val="24"/>
        </w:rPr>
        <w:t>,</w:t>
      </w:r>
      <w:r w:rsidRPr="000D1DA6">
        <w:rPr>
          <w:szCs w:val="24"/>
        </w:rPr>
        <w:t xml:space="preserve"> remplacer </w:t>
      </w:r>
      <w:r>
        <w:rPr>
          <w:szCs w:val="24"/>
        </w:rPr>
        <w:t>« </w:t>
      </w:r>
      <w:r w:rsidRPr="000D1DA6">
        <w:rPr>
          <w:szCs w:val="24"/>
        </w:rPr>
        <w:t>température de fusion</w:t>
      </w:r>
      <w:r>
        <w:rPr>
          <w:szCs w:val="24"/>
        </w:rPr>
        <w:t> »</w:t>
      </w:r>
      <w:r w:rsidRPr="000D1DA6">
        <w:rPr>
          <w:szCs w:val="24"/>
        </w:rPr>
        <w:t xml:space="preserve"> par </w:t>
      </w:r>
      <w:r>
        <w:rPr>
          <w:szCs w:val="24"/>
        </w:rPr>
        <w:t>« </w:t>
      </w:r>
      <w:r w:rsidRPr="000D1DA6">
        <w:rPr>
          <w:szCs w:val="24"/>
        </w:rPr>
        <w:t>température de ramollissement</w:t>
      </w:r>
      <w:r>
        <w:rPr>
          <w:szCs w:val="24"/>
        </w:rPr>
        <w:t> »</w:t>
      </w:r>
      <w:r w:rsidRPr="000D1DA6">
        <w:rPr>
          <w:szCs w:val="24"/>
        </w:rPr>
        <w:t>.</w:t>
      </w:r>
    </w:p>
    <w:p w:rsidR="00E92373" w:rsidRPr="00753CE5" w:rsidRDefault="00E92373" w:rsidP="00E92373">
      <w:pPr>
        <w:pStyle w:val="SingleTxtG"/>
        <w:keepNext/>
        <w:ind w:left="2268" w:hanging="1134"/>
        <w:rPr>
          <w:i/>
          <w:spacing w:val="-1"/>
          <w:szCs w:val="24"/>
        </w:rPr>
      </w:pPr>
      <w:r w:rsidRPr="00753CE5">
        <w:rPr>
          <w:i/>
          <w:spacing w:val="-1"/>
          <w:szCs w:val="24"/>
        </w:rPr>
        <w:t xml:space="preserve">Annexe 3A </w:t>
      </w:r>
      <w:r>
        <w:rPr>
          <w:i/>
          <w:spacing w:val="-1"/>
          <w:szCs w:val="24"/>
        </w:rPr>
        <w:t>−</w:t>
      </w:r>
      <w:r w:rsidRPr="00753CE5">
        <w:rPr>
          <w:i/>
          <w:spacing w:val="-1"/>
          <w:szCs w:val="24"/>
        </w:rPr>
        <w:t xml:space="preserve"> </w:t>
      </w:r>
      <w:r>
        <w:rPr>
          <w:i/>
          <w:spacing w:val="-1"/>
          <w:szCs w:val="24"/>
        </w:rPr>
        <w:t>a</w:t>
      </w:r>
      <w:r w:rsidRPr="00753CE5">
        <w:rPr>
          <w:i/>
          <w:spacing w:val="-1"/>
          <w:szCs w:val="24"/>
        </w:rPr>
        <w:t>ppendi</w:t>
      </w:r>
      <w:r>
        <w:rPr>
          <w:i/>
          <w:spacing w:val="-1"/>
          <w:szCs w:val="24"/>
        </w:rPr>
        <w:t>ce</w:t>
      </w:r>
      <w:r w:rsidRPr="00753CE5">
        <w:rPr>
          <w:i/>
          <w:spacing w:val="-1"/>
          <w:szCs w:val="24"/>
        </w:rPr>
        <w:t xml:space="preserve"> A</w:t>
      </w:r>
    </w:p>
    <w:p w:rsidR="00655014" w:rsidRDefault="00E92373" w:rsidP="00E92373">
      <w:pPr>
        <w:pStyle w:val="SingleTxtG"/>
        <w:keepNext/>
        <w:rPr>
          <w:i/>
          <w:spacing w:val="-1"/>
          <w:szCs w:val="24"/>
        </w:rPr>
      </w:pPr>
      <w:r w:rsidRPr="00753CE5">
        <w:rPr>
          <w:i/>
          <w:spacing w:val="-1"/>
          <w:szCs w:val="24"/>
        </w:rPr>
        <w:t>Paragraphe A.1</w:t>
      </w:r>
      <w:r w:rsidR="00071403" w:rsidRPr="00655014">
        <w:rPr>
          <w:spacing w:val="-1"/>
          <w:szCs w:val="24"/>
        </w:rPr>
        <w:t>, remplacer le renvoi à la norme « IS</w:t>
      </w:r>
      <w:r w:rsidR="00655014" w:rsidRPr="00655014">
        <w:rPr>
          <w:spacing w:val="-1"/>
          <w:szCs w:val="24"/>
        </w:rPr>
        <w:t>O </w:t>
      </w:r>
      <w:r w:rsidR="00071403" w:rsidRPr="00655014">
        <w:rPr>
          <w:spacing w:val="-1"/>
          <w:szCs w:val="24"/>
        </w:rPr>
        <w:t>6892 » par « IS</w:t>
      </w:r>
      <w:r w:rsidR="00655014" w:rsidRPr="00655014">
        <w:rPr>
          <w:spacing w:val="-1"/>
          <w:szCs w:val="24"/>
        </w:rPr>
        <w:t>O </w:t>
      </w:r>
      <w:r w:rsidR="00071403" w:rsidRPr="00655014">
        <w:rPr>
          <w:spacing w:val="-1"/>
          <w:szCs w:val="24"/>
        </w:rPr>
        <w:t>6892</w:t>
      </w:r>
      <w:r w:rsidR="00071403" w:rsidRPr="00655014">
        <w:rPr>
          <w:b/>
          <w:spacing w:val="-1"/>
          <w:szCs w:val="24"/>
        </w:rPr>
        <w:t>-1</w:t>
      </w:r>
      <w:r w:rsidR="00071403" w:rsidRPr="00655014">
        <w:rPr>
          <w:spacing w:val="-1"/>
          <w:szCs w:val="24"/>
        </w:rPr>
        <w:t> »</w:t>
      </w:r>
      <w:r w:rsidR="00655014" w:rsidRPr="00655014">
        <w:rPr>
          <w:spacing w:val="-1"/>
          <w:szCs w:val="24"/>
        </w:rPr>
        <w:t xml:space="preserve"> (à deux reprises).</w:t>
      </w:r>
    </w:p>
    <w:p w:rsidR="00655014" w:rsidRDefault="00655014" w:rsidP="00655014">
      <w:pPr>
        <w:pStyle w:val="SingleTxtG"/>
        <w:keepNext/>
        <w:rPr>
          <w:i/>
          <w:spacing w:val="-1"/>
          <w:szCs w:val="24"/>
        </w:rPr>
      </w:pPr>
      <w:r w:rsidRPr="00753CE5">
        <w:rPr>
          <w:i/>
          <w:spacing w:val="-1"/>
          <w:szCs w:val="24"/>
        </w:rPr>
        <w:t>Paragraphe A.</w:t>
      </w:r>
      <w:r>
        <w:rPr>
          <w:i/>
          <w:spacing w:val="-1"/>
          <w:szCs w:val="24"/>
        </w:rPr>
        <w:t>2</w:t>
      </w:r>
      <w:r w:rsidRPr="00655014">
        <w:rPr>
          <w:spacing w:val="-1"/>
          <w:szCs w:val="24"/>
        </w:rPr>
        <w:t>, remplacer le renvoi à la norme « ISO 148 » par « ISO 148</w:t>
      </w:r>
      <w:r w:rsidRPr="00655014">
        <w:rPr>
          <w:b/>
          <w:spacing w:val="-1"/>
          <w:szCs w:val="24"/>
        </w:rPr>
        <w:t>-1</w:t>
      </w:r>
      <w:r w:rsidRPr="00655014">
        <w:rPr>
          <w:spacing w:val="-1"/>
          <w:szCs w:val="24"/>
        </w:rPr>
        <w:t> ».</w:t>
      </w:r>
    </w:p>
    <w:p w:rsidR="00E92373" w:rsidRPr="00753CE5" w:rsidRDefault="00E92373" w:rsidP="00E92373">
      <w:pPr>
        <w:pStyle w:val="SingleTxtG"/>
        <w:spacing w:after="100" w:line="236" w:lineRule="exact"/>
      </w:pPr>
      <w:r w:rsidRPr="00E023A2">
        <w:rPr>
          <w:i/>
        </w:rPr>
        <w:t>Paragraphes A.4 à</w:t>
      </w:r>
      <w:r>
        <w:rPr>
          <w:i/>
        </w:rPr>
        <w:t xml:space="preserve"> </w:t>
      </w:r>
      <w:r w:rsidRPr="00E023A2">
        <w:rPr>
          <w:i/>
        </w:rPr>
        <w:t>A.10</w:t>
      </w:r>
      <w:r w:rsidRPr="00753CE5">
        <w:t>, modifier comme suit</w:t>
      </w:r>
      <w:r>
        <w:t> :</w:t>
      </w:r>
    </w:p>
    <w:p w:rsidR="00E92373" w:rsidRPr="000D1DA6" w:rsidRDefault="00E92373" w:rsidP="00E92373">
      <w:pPr>
        <w:pStyle w:val="SingleTxtG"/>
        <w:spacing w:after="100" w:line="236" w:lineRule="exact"/>
        <w:ind w:left="2268" w:hanging="1134"/>
        <w:rPr>
          <w:szCs w:val="24"/>
        </w:rPr>
      </w:pPr>
      <w:r>
        <w:rPr>
          <w:szCs w:val="24"/>
        </w:rPr>
        <w:t>« </w:t>
      </w:r>
      <w:r w:rsidRPr="000D1DA6">
        <w:rPr>
          <w:szCs w:val="24"/>
        </w:rPr>
        <w:t>A.4</w:t>
      </w:r>
      <w:r w:rsidRPr="000D1DA6">
        <w:rPr>
          <w:szCs w:val="24"/>
        </w:rPr>
        <w:tab/>
        <w:t>Essais de corrosion, aluminium</w:t>
      </w:r>
    </w:p>
    <w:p w:rsidR="00E92373" w:rsidRDefault="00E92373" w:rsidP="00E92373">
      <w:pPr>
        <w:pStyle w:val="SingleTxtG"/>
        <w:spacing w:after="100" w:line="236" w:lineRule="exact"/>
        <w:ind w:left="2268"/>
        <w:rPr>
          <w:szCs w:val="24"/>
        </w:rPr>
      </w:pPr>
      <w:r w:rsidRPr="000D1DA6">
        <w:rPr>
          <w:szCs w:val="24"/>
        </w:rPr>
        <w:tab/>
        <w:t xml:space="preserve">Les essais de corrosion pour les alliages d’aluminium doivent être effectués conformément à l’annexe A de la norme </w:t>
      </w:r>
      <w:r w:rsidRPr="00655014">
        <w:rPr>
          <w:b/>
          <w:szCs w:val="24"/>
        </w:rPr>
        <w:t>ISO</w:t>
      </w:r>
      <w:r w:rsidR="00655014" w:rsidRPr="00655014">
        <w:rPr>
          <w:b/>
          <w:szCs w:val="24"/>
        </w:rPr>
        <w:t> </w:t>
      </w:r>
      <w:r w:rsidRPr="00655014">
        <w:rPr>
          <w:b/>
          <w:szCs w:val="24"/>
        </w:rPr>
        <w:t>7866</w:t>
      </w:r>
      <w:r w:rsidRPr="000D1DA6">
        <w:rPr>
          <w:szCs w:val="24"/>
        </w:rPr>
        <w:t xml:space="preserve"> et doivent répondre aux prescriptions correspondantes.</w:t>
      </w:r>
    </w:p>
    <w:p w:rsidR="00E92373" w:rsidRPr="000D1DA6" w:rsidRDefault="00E92373" w:rsidP="00E92373">
      <w:pPr>
        <w:pStyle w:val="SingleTxtG"/>
        <w:spacing w:after="100" w:line="236" w:lineRule="exact"/>
        <w:ind w:left="2268" w:hanging="1134"/>
        <w:rPr>
          <w:szCs w:val="24"/>
        </w:rPr>
      </w:pPr>
      <w:r w:rsidRPr="000D1DA6">
        <w:rPr>
          <w:szCs w:val="24"/>
        </w:rPr>
        <w:t>A.5</w:t>
      </w:r>
      <w:r w:rsidRPr="000D1DA6">
        <w:rPr>
          <w:szCs w:val="24"/>
        </w:rPr>
        <w:tab/>
        <w:t>Essai de fissuration sous charge, aluminium</w:t>
      </w:r>
    </w:p>
    <w:p w:rsidR="00E92373" w:rsidRDefault="00E92373" w:rsidP="00E92373">
      <w:pPr>
        <w:pStyle w:val="SingleTxtG"/>
        <w:spacing w:after="100" w:line="236" w:lineRule="exact"/>
        <w:ind w:left="2268"/>
        <w:rPr>
          <w:szCs w:val="24"/>
        </w:rPr>
      </w:pPr>
      <w:r w:rsidRPr="000D1DA6">
        <w:rPr>
          <w:szCs w:val="24"/>
        </w:rPr>
        <w:tab/>
      </w:r>
      <w:r w:rsidRPr="007030EA">
        <w:rPr>
          <w:spacing w:val="-2"/>
          <w:szCs w:val="24"/>
        </w:rPr>
        <w:t>L’essai de fissuration sous charge doit être effectué conformément à l’annexe</w:t>
      </w:r>
      <w:r w:rsidRPr="000D1DA6">
        <w:rPr>
          <w:szCs w:val="24"/>
        </w:rPr>
        <w:t xml:space="preserve"> </w:t>
      </w:r>
      <w:r w:rsidRPr="000D1DA6">
        <w:rPr>
          <w:b/>
          <w:szCs w:val="24"/>
        </w:rPr>
        <w:t>B</w:t>
      </w:r>
      <w:r>
        <w:rPr>
          <w:szCs w:val="24"/>
        </w:rPr>
        <w:t xml:space="preserve"> </w:t>
      </w:r>
      <w:r w:rsidRPr="000D1DA6">
        <w:rPr>
          <w:szCs w:val="24"/>
        </w:rPr>
        <w:t xml:space="preserve">de la norme </w:t>
      </w:r>
      <w:r w:rsidRPr="00655014">
        <w:rPr>
          <w:b/>
          <w:szCs w:val="24"/>
        </w:rPr>
        <w:t>ISO</w:t>
      </w:r>
      <w:r w:rsidR="00655014" w:rsidRPr="00655014">
        <w:rPr>
          <w:b/>
          <w:szCs w:val="24"/>
        </w:rPr>
        <w:t> </w:t>
      </w:r>
      <w:r w:rsidRPr="00655014">
        <w:rPr>
          <w:b/>
          <w:szCs w:val="24"/>
        </w:rPr>
        <w:t>7866</w:t>
      </w:r>
      <w:r w:rsidRPr="000D1DA6">
        <w:rPr>
          <w:szCs w:val="24"/>
        </w:rPr>
        <w:t xml:space="preserve"> et doit répondre aux prescriptions correspondantes.</w:t>
      </w:r>
    </w:p>
    <w:p w:rsidR="00E92373" w:rsidRPr="000D1DA6" w:rsidRDefault="00E92373" w:rsidP="00E92373">
      <w:pPr>
        <w:pStyle w:val="SingleTxtG"/>
        <w:spacing w:after="100" w:line="236" w:lineRule="exact"/>
        <w:ind w:left="2268" w:hanging="1134"/>
        <w:rPr>
          <w:szCs w:val="24"/>
        </w:rPr>
      </w:pPr>
      <w:r w:rsidRPr="000D1DA6">
        <w:rPr>
          <w:szCs w:val="24"/>
        </w:rPr>
        <w:t>A.6</w:t>
      </w:r>
      <w:r w:rsidRPr="000D1DA6">
        <w:rPr>
          <w:szCs w:val="24"/>
        </w:rPr>
        <w:tab/>
        <w:t>Essai de fuite avant rupture</w:t>
      </w:r>
    </w:p>
    <w:p w:rsidR="00E92373" w:rsidRDefault="00E92373" w:rsidP="00E92373">
      <w:pPr>
        <w:pStyle w:val="SingleTxtG"/>
        <w:spacing w:after="100" w:line="236" w:lineRule="exact"/>
        <w:ind w:left="2268"/>
        <w:rPr>
          <w:szCs w:val="24"/>
        </w:rPr>
      </w:pPr>
      <w:r w:rsidRPr="000D1DA6">
        <w:rPr>
          <w:szCs w:val="24"/>
        </w:rPr>
        <w:tab/>
      </w:r>
      <w:r w:rsidRPr="006300D2">
        <w:rPr>
          <w:szCs w:val="24"/>
        </w:rPr>
        <w:t>Trois bouteilles finies doivent être soumises à un cyclage en pression entre une pression inférieure ou égale à 2</w:t>
      </w:r>
      <w:r>
        <w:rPr>
          <w:szCs w:val="24"/>
        </w:rPr>
        <w:t> MPa</w:t>
      </w:r>
      <w:r w:rsidRPr="006300D2">
        <w:rPr>
          <w:szCs w:val="24"/>
        </w:rPr>
        <w:t xml:space="preserve"> et une pression supérieure ou égale à</w:t>
      </w:r>
      <w:r>
        <w:rPr>
          <w:szCs w:val="24"/>
        </w:rPr>
        <w:t xml:space="preserve"> </w:t>
      </w:r>
      <w:r w:rsidRPr="006300D2">
        <w:rPr>
          <w:b/>
          <w:szCs w:val="24"/>
        </w:rPr>
        <w:t>une fois et demie la pression maximale de fonctionnement</w:t>
      </w:r>
      <w:r w:rsidR="00655014">
        <w:rPr>
          <w:szCs w:val="24"/>
        </w:rPr>
        <w:t xml:space="preserve">, </w:t>
      </w:r>
      <w:r w:rsidRPr="006300D2">
        <w:rPr>
          <w:szCs w:val="24"/>
        </w:rPr>
        <w:t xml:space="preserve">à une </w:t>
      </w:r>
      <w:r w:rsidR="00655014">
        <w:rPr>
          <w:szCs w:val="24"/>
        </w:rPr>
        <w:t>cadence n</w:t>
      </w:r>
      <w:r w:rsidRPr="006300D2">
        <w:rPr>
          <w:szCs w:val="24"/>
        </w:rPr>
        <w:t>e dépassant pas 10 cycles par minute.</w:t>
      </w:r>
      <w:r>
        <w:rPr>
          <w:szCs w:val="24"/>
        </w:rPr>
        <w:t xml:space="preserve"> Les trois bouteilles doivent </w:t>
      </w:r>
      <w:r w:rsidR="00655014">
        <w:rPr>
          <w:szCs w:val="24"/>
        </w:rPr>
        <w:t>fini</w:t>
      </w:r>
      <w:r>
        <w:rPr>
          <w:szCs w:val="24"/>
        </w:rPr>
        <w:t xml:space="preserve">r par </w:t>
      </w:r>
      <w:r w:rsidR="00655014">
        <w:rPr>
          <w:szCs w:val="24"/>
        </w:rPr>
        <w:t xml:space="preserve">présenter une </w:t>
      </w:r>
      <w:r>
        <w:rPr>
          <w:szCs w:val="24"/>
        </w:rPr>
        <w:t>fuite.</w:t>
      </w:r>
    </w:p>
    <w:p w:rsidR="00E92373" w:rsidRPr="006300D2" w:rsidRDefault="00E92373" w:rsidP="00E92373">
      <w:pPr>
        <w:pStyle w:val="SingleTxtG"/>
        <w:keepNext/>
        <w:spacing w:after="100" w:line="236" w:lineRule="exact"/>
        <w:ind w:left="2268" w:hanging="1134"/>
        <w:rPr>
          <w:szCs w:val="24"/>
        </w:rPr>
      </w:pPr>
      <w:r w:rsidRPr="006300D2">
        <w:rPr>
          <w:szCs w:val="24"/>
        </w:rPr>
        <w:t>A.7</w:t>
      </w:r>
      <w:r w:rsidRPr="006300D2">
        <w:rPr>
          <w:szCs w:val="24"/>
        </w:rPr>
        <w:tab/>
        <w:t>Essai de cyclage en pression à température extrême</w:t>
      </w:r>
    </w:p>
    <w:p w:rsidR="00E92373" w:rsidRDefault="00E92373" w:rsidP="00E92373">
      <w:pPr>
        <w:pStyle w:val="SingleTxtG"/>
        <w:keepNext/>
        <w:spacing w:after="100" w:line="236" w:lineRule="exact"/>
        <w:ind w:left="2268"/>
        <w:rPr>
          <w:szCs w:val="24"/>
        </w:rPr>
      </w:pPr>
      <w:r w:rsidRPr="006300D2">
        <w:rPr>
          <w:szCs w:val="24"/>
        </w:rPr>
        <w:tab/>
      </w:r>
      <w:r w:rsidRPr="00B01C4C">
        <w:rPr>
          <w:szCs w:val="24"/>
        </w:rPr>
        <w:t>Plusieurs bouteilles finies, dont le bobinage composite est dénué de tout revêtement de protection, doivent être soumises à l’essai comme suit sans qu’apparaissent des signes de rupture, de fuite ou de délaminage</w:t>
      </w:r>
      <w:r>
        <w:rPr>
          <w:szCs w:val="24"/>
        </w:rPr>
        <w:t> :</w:t>
      </w:r>
    </w:p>
    <w:p w:rsidR="00E92373" w:rsidRDefault="00E92373" w:rsidP="00E92373">
      <w:pPr>
        <w:pStyle w:val="SingleTxtG"/>
        <w:spacing w:after="100" w:line="236" w:lineRule="exact"/>
        <w:ind w:left="2835" w:hanging="567"/>
        <w:rPr>
          <w:szCs w:val="24"/>
        </w:rPr>
      </w:pPr>
      <w:r w:rsidRPr="00B01C4C">
        <w:rPr>
          <w:szCs w:val="24"/>
        </w:rPr>
        <w:t>a)</w:t>
      </w:r>
      <w:r w:rsidRPr="00B01C4C">
        <w:rPr>
          <w:szCs w:val="24"/>
        </w:rPr>
        <w:tab/>
        <w:t>Conditionner les bouteilles pendant 48</w:t>
      </w:r>
      <w:r>
        <w:rPr>
          <w:szCs w:val="24"/>
        </w:rPr>
        <w:t xml:space="preserve"> h </w:t>
      </w:r>
      <w:r w:rsidRPr="00B01C4C">
        <w:rPr>
          <w:szCs w:val="24"/>
        </w:rPr>
        <w:t>à la pression zéro, à 65</w:t>
      </w:r>
      <w:r>
        <w:rPr>
          <w:szCs w:val="24"/>
        </w:rPr>
        <w:t> °C</w:t>
      </w:r>
      <w:r w:rsidRPr="00B01C4C">
        <w:rPr>
          <w:szCs w:val="24"/>
        </w:rPr>
        <w:t xml:space="preserve"> ou plus et à 95</w:t>
      </w:r>
      <w:r>
        <w:rPr>
          <w:szCs w:val="24"/>
        </w:rPr>
        <w:t> %</w:t>
      </w:r>
      <w:r w:rsidRPr="00B01C4C">
        <w:rPr>
          <w:szCs w:val="24"/>
        </w:rPr>
        <w:t xml:space="preserve"> d’humidité relative ou plus. Pour satisfaire à cette prescription, on peut projeter de l’eau sous forme de jet fin ou de brume dans une pièce maintenue à 65</w:t>
      </w:r>
      <w:r>
        <w:rPr>
          <w:szCs w:val="24"/>
        </w:rPr>
        <w:t> °C ;</w:t>
      </w:r>
    </w:p>
    <w:p w:rsidR="00E92373" w:rsidRPr="00B01C4C" w:rsidRDefault="00E92373" w:rsidP="00E92373">
      <w:pPr>
        <w:pStyle w:val="SingleTxtG"/>
        <w:spacing w:after="100" w:line="236" w:lineRule="exact"/>
        <w:ind w:left="2835" w:hanging="567"/>
        <w:rPr>
          <w:szCs w:val="24"/>
        </w:rPr>
      </w:pPr>
      <w:r w:rsidRPr="00B01C4C">
        <w:rPr>
          <w:szCs w:val="24"/>
        </w:rPr>
        <w:t>b)</w:t>
      </w:r>
      <w:r w:rsidRPr="00B01C4C">
        <w:rPr>
          <w:szCs w:val="24"/>
        </w:rPr>
        <w:tab/>
        <w:t xml:space="preserve">Soumettre </w:t>
      </w:r>
      <w:r w:rsidRPr="007030EA">
        <w:rPr>
          <w:spacing w:val="-2"/>
          <w:szCs w:val="24"/>
        </w:rPr>
        <w:t>les bouteilles à un cyclage en pression hydrostatique 500</w:t>
      </w:r>
      <w:r w:rsidRPr="00B01C4C">
        <w:rPr>
          <w:szCs w:val="24"/>
        </w:rPr>
        <w:t xml:space="preserve"> fois par année de service </w:t>
      </w:r>
      <w:r w:rsidR="00655014">
        <w:rPr>
          <w:szCs w:val="24"/>
        </w:rPr>
        <w:t>prévu</w:t>
      </w:r>
      <w:r w:rsidRPr="00B01C4C">
        <w:rPr>
          <w:szCs w:val="24"/>
        </w:rPr>
        <w:t>e, entre 2</w:t>
      </w:r>
      <w:r>
        <w:rPr>
          <w:szCs w:val="24"/>
        </w:rPr>
        <w:t> MPa</w:t>
      </w:r>
      <w:r w:rsidRPr="00B01C4C">
        <w:rPr>
          <w:szCs w:val="24"/>
        </w:rPr>
        <w:t xml:space="preserve"> au plus et </w:t>
      </w:r>
      <w:r w:rsidRPr="00B01C4C">
        <w:rPr>
          <w:b/>
          <w:szCs w:val="24"/>
        </w:rPr>
        <w:t>1,3 fois la pression maximale de fonctionnement</w:t>
      </w:r>
      <w:r>
        <w:rPr>
          <w:szCs w:val="24"/>
        </w:rPr>
        <w:t xml:space="preserve"> </w:t>
      </w:r>
      <w:r w:rsidRPr="00B01C4C">
        <w:rPr>
          <w:szCs w:val="24"/>
        </w:rPr>
        <w:t>au moins, à 65</w:t>
      </w:r>
      <w:r>
        <w:rPr>
          <w:szCs w:val="24"/>
        </w:rPr>
        <w:t> °C</w:t>
      </w:r>
      <w:r w:rsidRPr="00B01C4C">
        <w:rPr>
          <w:szCs w:val="24"/>
        </w:rPr>
        <w:t xml:space="preserve"> ou plus et à 95</w:t>
      </w:r>
      <w:r>
        <w:rPr>
          <w:szCs w:val="24"/>
        </w:rPr>
        <w:t> %</w:t>
      </w:r>
      <w:r w:rsidRPr="00B01C4C">
        <w:rPr>
          <w:szCs w:val="24"/>
        </w:rPr>
        <w:t xml:space="preserve"> d’humidité</w:t>
      </w:r>
      <w:r>
        <w:rPr>
          <w:szCs w:val="24"/>
        </w:rPr>
        <w:t> ;</w:t>
      </w:r>
    </w:p>
    <w:p w:rsidR="00E92373" w:rsidRPr="001D4479" w:rsidRDefault="00E92373" w:rsidP="00E92373">
      <w:pPr>
        <w:pStyle w:val="SingleTxtG"/>
        <w:spacing w:after="100" w:line="236" w:lineRule="exact"/>
        <w:ind w:left="2835" w:hanging="567"/>
        <w:rPr>
          <w:spacing w:val="-2"/>
          <w:szCs w:val="24"/>
        </w:rPr>
      </w:pPr>
      <w:r w:rsidRPr="001D4479">
        <w:rPr>
          <w:spacing w:val="-2"/>
          <w:szCs w:val="24"/>
        </w:rPr>
        <w:t>c)</w:t>
      </w:r>
      <w:r w:rsidRPr="001D4479">
        <w:rPr>
          <w:spacing w:val="-2"/>
          <w:szCs w:val="24"/>
        </w:rPr>
        <w:tab/>
        <w:t>Stabiliser les bouteilles à la pression zéro et à la température ambiante ;</w:t>
      </w:r>
    </w:p>
    <w:p w:rsidR="00E92373" w:rsidRPr="00B01C4C" w:rsidRDefault="00E92373" w:rsidP="00E92373">
      <w:pPr>
        <w:pStyle w:val="SingleTxtG"/>
        <w:spacing w:after="100" w:line="236" w:lineRule="exact"/>
        <w:ind w:left="2835" w:hanging="567"/>
        <w:rPr>
          <w:szCs w:val="24"/>
        </w:rPr>
      </w:pPr>
      <w:r w:rsidRPr="00B01C4C">
        <w:rPr>
          <w:szCs w:val="24"/>
        </w:rPr>
        <w:t>d)</w:t>
      </w:r>
      <w:r w:rsidRPr="00B01C4C">
        <w:rPr>
          <w:szCs w:val="24"/>
        </w:rPr>
        <w:tab/>
        <w:t>Les soumettre ensuite à un cyclage en pression entre 2</w:t>
      </w:r>
      <w:r>
        <w:rPr>
          <w:szCs w:val="24"/>
        </w:rPr>
        <w:t> MPa</w:t>
      </w:r>
      <w:r w:rsidRPr="00B01C4C">
        <w:rPr>
          <w:szCs w:val="24"/>
        </w:rPr>
        <w:t xml:space="preserve"> au plus et </w:t>
      </w:r>
      <w:r w:rsidRPr="00B01C4C">
        <w:rPr>
          <w:b/>
          <w:szCs w:val="24"/>
        </w:rPr>
        <w:t>la pression maximale de fonctionnement</w:t>
      </w:r>
      <w:r>
        <w:rPr>
          <w:szCs w:val="24"/>
        </w:rPr>
        <w:t xml:space="preserve"> </w:t>
      </w:r>
      <w:r w:rsidRPr="00B01C4C">
        <w:rPr>
          <w:szCs w:val="24"/>
        </w:rPr>
        <w:t>au moins, 500 fois par année de service p</w:t>
      </w:r>
      <w:r w:rsidR="00655014">
        <w:rPr>
          <w:szCs w:val="24"/>
        </w:rPr>
        <w:t>révu</w:t>
      </w:r>
      <w:r w:rsidRPr="00B01C4C">
        <w:rPr>
          <w:szCs w:val="24"/>
        </w:rPr>
        <w:t>e, à -40</w:t>
      </w:r>
      <w:r>
        <w:rPr>
          <w:szCs w:val="24"/>
        </w:rPr>
        <w:t> °C</w:t>
      </w:r>
      <w:r w:rsidRPr="00B01C4C">
        <w:rPr>
          <w:szCs w:val="24"/>
        </w:rPr>
        <w:t xml:space="preserve"> ou moins</w:t>
      </w:r>
      <w:r>
        <w:rPr>
          <w:szCs w:val="24"/>
        </w:rPr>
        <w:t> ;</w:t>
      </w:r>
    </w:p>
    <w:p w:rsidR="00E92373" w:rsidRPr="00B01C4C" w:rsidRDefault="00E92373" w:rsidP="00E92373">
      <w:pPr>
        <w:pStyle w:val="SingleTxtG"/>
        <w:spacing w:after="100" w:line="236" w:lineRule="exact"/>
        <w:ind w:left="2268"/>
        <w:rPr>
          <w:szCs w:val="24"/>
        </w:rPr>
      </w:pPr>
      <w:r w:rsidRPr="00B01C4C">
        <w:rPr>
          <w:szCs w:val="24"/>
        </w:rPr>
        <w:tab/>
        <w:t>À la suite du cyclage ...</w:t>
      </w:r>
    </w:p>
    <w:p w:rsidR="00E92373" w:rsidRPr="00ED26F8" w:rsidRDefault="00E92373" w:rsidP="00E92373">
      <w:pPr>
        <w:pStyle w:val="SingleTxtG"/>
        <w:spacing w:after="100" w:line="236" w:lineRule="exact"/>
        <w:ind w:left="2268" w:hanging="1134"/>
        <w:rPr>
          <w:szCs w:val="24"/>
        </w:rPr>
      </w:pPr>
      <w:r w:rsidRPr="00B01C4C">
        <w:rPr>
          <w:szCs w:val="24"/>
        </w:rPr>
        <w:tab/>
      </w:r>
      <w:r w:rsidRPr="00ED26F8">
        <w:rPr>
          <w:szCs w:val="24"/>
        </w:rPr>
        <w:t>...</w:t>
      </w:r>
    </w:p>
    <w:p w:rsidR="00E92373" w:rsidRPr="00B01C4C" w:rsidRDefault="00E92373" w:rsidP="00E92373">
      <w:pPr>
        <w:pStyle w:val="SingleTxtG"/>
        <w:spacing w:after="100" w:line="236" w:lineRule="exact"/>
        <w:ind w:left="2268" w:hanging="1134"/>
        <w:rPr>
          <w:szCs w:val="24"/>
        </w:rPr>
      </w:pPr>
      <w:r w:rsidRPr="00B01C4C">
        <w:rPr>
          <w:szCs w:val="24"/>
        </w:rPr>
        <w:t>A.8</w:t>
      </w:r>
      <w:r w:rsidRPr="00B01C4C">
        <w:rPr>
          <w:szCs w:val="24"/>
        </w:rPr>
        <w:tab/>
        <w:t>Essai de dureté Brinell</w:t>
      </w:r>
    </w:p>
    <w:p w:rsidR="00E92373" w:rsidRDefault="00E92373" w:rsidP="00E92373">
      <w:pPr>
        <w:pStyle w:val="SingleTxtG"/>
        <w:spacing w:after="100" w:line="236" w:lineRule="exact"/>
        <w:ind w:left="2268"/>
        <w:rPr>
          <w:szCs w:val="24"/>
        </w:rPr>
      </w:pPr>
      <w:r w:rsidRPr="00B01C4C">
        <w:rPr>
          <w:szCs w:val="24"/>
        </w:rPr>
        <w:tab/>
        <w:t>L’essai de dureté Brinell doit être effectué sur la paroi parallèle, au centre et à une extrémité en forme d’ogive de chaque bouteille ou liner, conformément à la norme ISO 6506</w:t>
      </w:r>
      <w:r w:rsidRPr="00B01C4C">
        <w:rPr>
          <w:b/>
          <w:szCs w:val="24"/>
        </w:rPr>
        <w:t>-1</w:t>
      </w:r>
      <w:r w:rsidRPr="00B01C4C">
        <w:rPr>
          <w:szCs w:val="24"/>
        </w:rPr>
        <w:t xml:space="preserve">. Il doit être réalisé après le traitement thermique final. Les valeurs de dureté ainsi déterminées doivent être comprises dans la plage </w:t>
      </w:r>
      <w:r w:rsidR="00655014">
        <w:rPr>
          <w:szCs w:val="24"/>
        </w:rPr>
        <w:t>d</w:t>
      </w:r>
      <w:r w:rsidRPr="00B01C4C">
        <w:rPr>
          <w:szCs w:val="24"/>
        </w:rPr>
        <w:t>é</w:t>
      </w:r>
      <w:r w:rsidR="00655014">
        <w:rPr>
          <w:szCs w:val="24"/>
        </w:rPr>
        <w:t>f</w:t>
      </w:r>
      <w:r w:rsidRPr="00B01C4C">
        <w:rPr>
          <w:szCs w:val="24"/>
        </w:rPr>
        <w:t>i</w:t>
      </w:r>
      <w:r w:rsidR="00655014">
        <w:rPr>
          <w:szCs w:val="24"/>
        </w:rPr>
        <w:t>n</w:t>
      </w:r>
      <w:r w:rsidRPr="00B01C4C">
        <w:rPr>
          <w:szCs w:val="24"/>
        </w:rPr>
        <w:t>ie à la conception.</w:t>
      </w:r>
    </w:p>
    <w:p w:rsidR="00E92373" w:rsidRDefault="00E92373" w:rsidP="00E92373">
      <w:pPr>
        <w:pStyle w:val="SingleTxtG"/>
        <w:ind w:left="2268" w:hanging="1134"/>
        <w:rPr>
          <w:szCs w:val="24"/>
        </w:rPr>
      </w:pPr>
      <w:r w:rsidRPr="00B01C4C">
        <w:rPr>
          <w:szCs w:val="24"/>
        </w:rPr>
        <w:t>A.9</w:t>
      </w:r>
      <w:r w:rsidRPr="00B01C4C">
        <w:rPr>
          <w:szCs w:val="24"/>
        </w:rPr>
        <w:tab/>
        <w:t>Essais du revêtement (obligatoires en cas d’application du paragraphe 6.12 c) de l’annexe 3A)</w:t>
      </w:r>
    </w:p>
    <w:p w:rsidR="00E92373" w:rsidRPr="005A0678" w:rsidRDefault="00E92373" w:rsidP="00E92373">
      <w:pPr>
        <w:pStyle w:val="SingleTxtG"/>
        <w:ind w:left="2268" w:hanging="1134"/>
        <w:rPr>
          <w:szCs w:val="24"/>
        </w:rPr>
      </w:pPr>
      <w:r w:rsidRPr="005A0678">
        <w:rPr>
          <w:szCs w:val="24"/>
        </w:rPr>
        <w:t>A.9.1</w:t>
      </w:r>
      <w:r w:rsidRPr="005A0678">
        <w:rPr>
          <w:szCs w:val="24"/>
        </w:rPr>
        <w:tab/>
        <w:t>Essais d’évaluation des propriétés du revêtement</w:t>
      </w:r>
    </w:p>
    <w:p w:rsidR="00E92373" w:rsidRPr="005A0678" w:rsidRDefault="00E92373" w:rsidP="00E92373">
      <w:pPr>
        <w:pStyle w:val="SingleTxtG"/>
        <w:ind w:left="2268"/>
        <w:rPr>
          <w:szCs w:val="24"/>
        </w:rPr>
      </w:pPr>
      <w:r w:rsidRPr="005A0678">
        <w:rPr>
          <w:szCs w:val="24"/>
        </w:rPr>
        <w:tab/>
        <w:t xml:space="preserve">Les revêtements doivent être évalués en appliquant les méthodes d’essai suivantes ou </w:t>
      </w:r>
      <w:r>
        <w:rPr>
          <w:szCs w:val="24"/>
        </w:rPr>
        <w:t>d</w:t>
      </w:r>
      <w:r w:rsidRPr="005A0678">
        <w:rPr>
          <w:szCs w:val="24"/>
        </w:rPr>
        <w:t>es normes nationales équivalentes</w:t>
      </w:r>
      <w:r>
        <w:rPr>
          <w:szCs w:val="24"/>
        </w:rPr>
        <w:t> :</w:t>
      </w:r>
    </w:p>
    <w:p w:rsidR="00E92373" w:rsidRPr="005A0678" w:rsidRDefault="00E92373" w:rsidP="00E92373">
      <w:pPr>
        <w:pStyle w:val="SingleTxtG"/>
        <w:ind w:left="2835" w:hanging="567"/>
        <w:rPr>
          <w:szCs w:val="24"/>
        </w:rPr>
      </w:pPr>
      <w:r w:rsidRPr="005A0678">
        <w:rPr>
          <w:szCs w:val="24"/>
        </w:rPr>
        <w:t>a)</w:t>
      </w:r>
      <w:r w:rsidRPr="005A0678">
        <w:rPr>
          <w:szCs w:val="24"/>
        </w:rPr>
        <w:tab/>
        <w:t>Essai d’adhé</w:t>
      </w:r>
      <w:r w:rsidR="00655014">
        <w:rPr>
          <w:szCs w:val="24"/>
        </w:rPr>
        <w:t>rence</w:t>
      </w:r>
      <w:r w:rsidRPr="005A0678">
        <w:rPr>
          <w:szCs w:val="24"/>
        </w:rPr>
        <w:t>, conformément à la norme</w:t>
      </w:r>
      <w:r>
        <w:rPr>
          <w:szCs w:val="24"/>
        </w:rPr>
        <w:t xml:space="preserve"> </w:t>
      </w:r>
      <w:r w:rsidRPr="005A0678">
        <w:rPr>
          <w:b/>
          <w:szCs w:val="24"/>
        </w:rPr>
        <w:t>ASTM D3359</w:t>
      </w:r>
      <w:r w:rsidRPr="005A0678">
        <w:rPr>
          <w:szCs w:val="24"/>
        </w:rPr>
        <w:t>, en appliquant la méthode A ou B selon le cas. Le revêtement doit indiquer un taux d’adhé</w:t>
      </w:r>
      <w:r w:rsidR="00655014">
        <w:rPr>
          <w:szCs w:val="24"/>
        </w:rPr>
        <w:t>rence</w:t>
      </w:r>
      <w:r w:rsidRPr="005A0678">
        <w:rPr>
          <w:szCs w:val="24"/>
        </w:rPr>
        <w:t xml:space="preserve"> de 4A ou 4B, selon la méthode employée</w:t>
      </w:r>
      <w:r>
        <w:rPr>
          <w:szCs w:val="24"/>
        </w:rPr>
        <w:t> ;</w:t>
      </w:r>
    </w:p>
    <w:p w:rsidR="00E92373" w:rsidRPr="005A0678" w:rsidRDefault="00E92373" w:rsidP="00E92373">
      <w:pPr>
        <w:pStyle w:val="SingleTxtG"/>
        <w:ind w:left="2835" w:hanging="567"/>
        <w:rPr>
          <w:szCs w:val="24"/>
        </w:rPr>
      </w:pPr>
      <w:r w:rsidRPr="005A0678">
        <w:rPr>
          <w:szCs w:val="24"/>
        </w:rPr>
        <w:t>b)</w:t>
      </w:r>
      <w:r w:rsidRPr="005A0678">
        <w:rPr>
          <w:szCs w:val="24"/>
        </w:rPr>
        <w:tab/>
        <w:t>Essai de flexibilité, conformément à la norme ASTM D522 (Mandrel Bend Test of Attached Organic Coatings), en appliquant la méthode d’essai B avec un mandrin de 12,7</w:t>
      </w:r>
      <w:r>
        <w:rPr>
          <w:szCs w:val="24"/>
        </w:rPr>
        <w:t> mm</w:t>
      </w:r>
      <w:r w:rsidRPr="005A0678">
        <w:rPr>
          <w:szCs w:val="24"/>
        </w:rPr>
        <w:t xml:space="preserve"> (0,5 pouc</w:t>
      </w:r>
      <w:r w:rsidR="00655014">
        <w:rPr>
          <w:szCs w:val="24"/>
        </w:rPr>
        <w:t>e), à l’épaisseur prescrit</w:t>
      </w:r>
      <w:r w:rsidRPr="005A0678">
        <w:rPr>
          <w:szCs w:val="24"/>
        </w:rPr>
        <w:t>e et à -20</w:t>
      </w:r>
      <w:r>
        <w:rPr>
          <w:szCs w:val="24"/>
        </w:rPr>
        <w:t> °C</w:t>
      </w:r>
      <w:r w:rsidRPr="005A0678">
        <w:rPr>
          <w:szCs w:val="24"/>
        </w:rPr>
        <w:t>. Des échantillons doivent être préparés conformément à la même norme. Il ne doit y avoir aucune fissure apparente</w:t>
      </w:r>
      <w:r>
        <w:rPr>
          <w:szCs w:val="24"/>
        </w:rPr>
        <w:t> ;</w:t>
      </w:r>
    </w:p>
    <w:p w:rsidR="00E92373" w:rsidRPr="005A0678" w:rsidRDefault="00E92373" w:rsidP="00E92373">
      <w:pPr>
        <w:pStyle w:val="SingleTxtG"/>
        <w:ind w:left="2835" w:hanging="567"/>
        <w:rPr>
          <w:szCs w:val="24"/>
        </w:rPr>
      </w:pPr>
      <w:r w:rsidRPr="005A0678">
        <w:rPr>
          <w:szCs w:val="24"/>
        </w:rPr>
        <w:t>c)</w:t>
      </w:r>
      <w:r w:rsidRPr="005A0678">
        <w:rPr>
          <w:szCs w:val="24"/>
        </w:rPr>
        <w:tab/>
        <w:t>Essai de résistance aux chocs, con</w:t>
      </w:r>
      <w:r w:rsidR="00C71E0F">
        <w:rPr>
          <w:szCs w:val="24"/>
        </w:rPr>
        <w:t>formément à la norme ASTM D2794</w:t>
      </w:r>
      <w:r w:rsidRPr="005A0678">
        <w:rPr>
          <w:szCs w:val="24"/>
        </w:rPr>
        <w:t>. Le revêtement, exposé à température ambiante, doit subir un essai de choc avant de 18 J</w:t>
      </w:r>
      <w:r>
        <w:rPr>
          <w:szCs w:val="24"/>
        </w:rPr>
        <w:t> ;</w:t>
      </w:r>
    </w:p>
    <w:p w:rsidR="00E92373" w:rsidRDefault="00E92373" w:rsidP="00E92373">
      <w:pPr>
        <w:pStyle w:val="SingleTxtG"/>
        <w:ind w:left="2835" w:hanging="567"/>
        <w:rPr>
          <w:szCs w:val="24"/>
        </w:rPr>
      </w:pPr>
      <w:r w:rsidRPr="005A0678">
        <w:rPr>
          <w:szCs w:val="24"/>
        </w:rPr>
        <w:t>d)</w:t>
      </w:r>
      <w:r w:rsidRPr="005A0678">
        <w:rPr>
          <w:szCs w:val="24"/>
        </w:rPr>
        <w:tab/>
        <w:t>Essai de résistance aux produits chimiques, con</w:t>
      </w:r>
      <w:r w:rsidR="00C71E0F">
        <w:rPr>
          <w:szCs w:val="24"/>
        </w:rPr>
        <w:t xml:space="preserve">formément à la norme ASTM D1308. </w:t>
      </w:r>
      <w:r w:rsidRPr="005A0678">
        <w:rPr>
          <w:szCs w:val="24"/>
        </w:rPr>
        <w:t>Cet essai doit être effectué en appliquant la méthode de l’échantillon découvert et en observant une exposition de 100</w:t>
      </w:r>
      <w:r>
        <w:rPr>
          <w:szCs w:val="24"/>
        </w:rPr>
        <w:t xml:space="preserve"> h </w:t>
      </w:r>
      <w:r w:rsidRPr="005A0678">
        <w:rPr>
          <w:szCs w:val="24"/>
        </w:rPr>
        <w:t>à une solution d’acide sulfurique à 30</w:t>
      </w:r>
      <w:r>
        <w:rPr>
          <w:szCs w:val="24"/>
        </w:rPr>
        <w:t> %</w:t>
      </w:r>
      <w:r w:rsidRPr="005A0678">
        <w:rPr>
          <w:szCs w:val="24"/>
        </w:rPr>
        <w:t xml:space="preserve"> (acide d’accumulateurs ayant une densité spécifique de 1,219) et une exposition de 24</w:t>
      </w:r>
      <w:r>
        <w:rPr>
          <w:szCs w:val="24"/>
        </w:rPr>
        <w:t xml:space="preserve"> h </w:t>
      </w:r>
      <w:r w:rsidRPr="005A0678">
        <w:rPr>
          <w:szCs w:val="24"/>
        </w:rPr>
        <w:t>à du polyalkylène glycol (liquide de frein, par exemple). Il ne doit y avoir aucune trace de soulèvement, de boursouflure ou d’amol</w:t>
      </w:r>
      <w:r w:rsidR="00C71E0F">
        <w:rPr>
          <w:szCs w:val="24"/>
        </w:rPr>
        <w:t>lissement du revêtement. L’adhérence</w:t>
      </w:r>
      <w:r w:rsidRPr="005A0678">
        <w:rPr>
          <w:szCs w:val="24"/>
        </w:rPr>
        <w:t xml:space="preserve"> doit atteindre le niveau 3 si l’essai est effectué conformément à la norme ASTM D3359</w:t>
      </w:r>
      <w:r>
        <w:rPr>
          <w:szCs w:val="24"/>
        </w:rPr>
        <w:t> ;</w:t>
      </w:r>
    </w:p>
    <w:p w:rsidR="00E92373" w:rsidRPr="005A0678" w:rsidRDefault="00E92373" w:rsidP="00E92373">
      <w:pPr>
        <w:pStyle w:val="SingleTxtG"/>
        <w:ind w:left="2835" w:hanging="567"/>
        <w:rPr>
          <w:szCs w:val="24"/>
        </w:rPr>
      </w:pPr>
      <w:r w:rsidRPr="005A0678">
        <w:rPr>
          <w:szCs w:val="24"/>
        </w:rPr>
        <w:t>e)</w:t>
      </w:r>
      <w:r w:rsidRPr="005A0678">
        <w:rPr>
          <w:szCs w:val="24"/>
        </w:rPr>
        <w:tab/>
        <w:t>Essai d’exposition de 1</w:t>
      </w:r>
      <w:r>
        <w:rPr>
          <w:szCs w:val="24"/>
        </w:rPr>
        <w:t> </w:t>
      </w:r>
      <w:r w:rsidRPr="005A0678">
        <w:rPr>
          <w:szCs w:val="24"/>
        </w:rPr>
        <w:t>000</w:t>
      </w:r>
      <w:r>
        <w:rPr>
          <w:szCs w:val="24"/>
        </w:rPr>
        <w:t> </w:t>
      </w:r>
      <w:r w:rsidRPr="005A0678">
        <w:rPr>
          <w:szCs w:val="24"/>
        </w:rPr>
        <w:t xml:space="preserve">h </w:t>
      </w:r>
      <w:r>
        <w:rPr>
          <w:szCs w:val="24"/>
        </w:rPr>
        <w:t>au minimum selon la norme ASTM</w:t>
      </w:r>
      <w:r w:rsidR="007030EA">
        <w:rPr>
          <w:szCs w:val="24"/>
        </w:rPr>
        <w:t> </w:t>
      </w:r>
      <w:r w:rsidRPr="005A0678">
        <w:rPr>
          <w:b/>
          <w:szCs w:val="24"/>
        </w:rPr>
        <w:t>G15</w:t>
      </w:r>
      <w:r w:rsidR="007030EA">
        <w:rPr>
          <w:b/>
          <w:szCs w:val="24"/>
        </w:rPr>
        <w:t>4</w:t>
      </w:r>
      <w:r w:rsidR="00C71E0F" w:rsidRPr="00C71E0F">
        <w:rPr>
          <w:szCs w:val="24"/>
        </w:rPr>
        <w:t>.</w:t>
      </w:r>
      <w:r w:rsidR="00C71E0F">
        <w:rPr>
          <w:b/>
          <w:szCs w:val="24"/>
        </w:rPr>
        <w:t xml:space="preserve"> </w:t>
      </w:r>
      <w:r w:rsidRPr="005A0678">
        <w:rPr>
          <w:szCs w:val="24"/>
        </w:rPr>
        <w:t>Il ne doit y avoir aucune trace de boursouflure, et l’adhé</w:t>
      </w:r>
      <w:r w:rsidR="00C71E0F">
        <w:rPr>
          <w:szCs w:val="24"/>
        </w:rPr>
        <w:t>rence</w:t>
      </w:r>
      <w:r w:rsidRPr="005A0678">
        <w:rPr>
          <w:szCs w:val="24"/>
        </w:rPr>
        <w:t xml:space="preserve"> doit atteindre le niveau 3 si l’essai est effectué conformément à la norme </w:t>
      </w:r>
      <w:r w:rsidRPr="005A0678">
        <w:rPr>
          <w:b/>
          <w:szCs w:val="24"/>
        </w:rPr>
        <w:t>ASTM D3359</w:t>
      </w:r>
      <w:r w:rsidRPr="005A0678">
        <w:rPr>
          <w:szCs w:val="24"/>
        </w:rPr>
        <w:t>. La perte de brillance maximale autorisée est de 20</w:t>
      </w:r>
      <w:r>
        <w:rPr>
          <w:szCs w:val="24"/>
        </w:rPr>
        <w:t> % ;</w:t>
      </w:r>
    </w:p>
    <w:p w:rsidR="00E92373" w:rsidRPr="005A0678" w:rsidRDefault="00E92373" w:rsidP="00E92373">
      <w:pPr>
        <w:pStyle w:val="SingleTxtG"/>
        <w:ind w:left="2835" w:hanging="567"/>
        <w:rPr>
          <w:szCs w:val="24"/>
        </w:rPr>
      </w:pPr>
      <w:r w:rsidRPr="005A0678">
        <w:rPr>
          <w:szCs w:val="24"/>
        </w:rPr>
        <w:t>f)</w:t>
      </w:r>
      <w:r w:rsidRPr="005A0678">
        <w:rPr>
          <w:szCs w:val="24"/>
        </w:rPr>
        <w:tab/>
        <w:t>Essai d’exposition de 500</w:t>
      </w:r>
      <w:r>
        <w:rPr>
          <w:szCs w:val="24"/>
        </w:rPr>
        <w:t xml:space="preserve"> h </w:t>
      </w:r>
      <w:r w:rsidRPr="005A0678">
        <w:rPr>
          <w:szCs w:val="24"/>
        </w:rPr>
        <w:t xml:space="preserve">au minimum selon la norme </w:t>
      </w:r>
      <w:r w:rsidRPr="005A0678">
        <w:rPr>
          <w:b/>
          <w:szCs w:val="24"/>
        </w:rPr>
        <w:t>ISO 9227</w:t>
      </w:r>
      <w:r w:rsidRPr="005A0678">
        <w:rPr>
          <w:szCs w:val="24"/>
        </w:rPr>
        <w:t xml:space="preserve">. La diminution de l’épaisseur inférieure ne doit pas dépasser </w:t>
      </w:r>
      <w:r w:rsidRPr="005A0678">
        <w:rPr>
          <w:b/>
          <w:szCs w:val="24"/>
        </w:rPr>
        <w:t>2</w:t>
      </w:r>
      <w:r>
        <w:rPr>
          <w:szCs w:val="24"/>
        </w:rPr>
        <w:t> mm</w:t>
      </w:r>
      <w:r w:rsidRPr="005A0678">
        <w:rPr>
          <w:szCs w:val="24"/>
        </w:rPr>
        <w:t xml:space="preserve"> à la marque, il ne doit y avoir aucune trace de boursouflure et l’adhé</w:t>
      </w:r>
      <w:r w:rsidR="00C71E0F">
        <w:rPr>
          <w:szCs w:val="24"/>
        </w:rPr>
        <w:t>rence</w:t>
      </w:r>
      <w:r w:rsidRPr="005A0678">
        <w:rPr>
          <w:szCs w:val="24"/>
        </w:rPr>
        <w:t xml:space="preserve"> doit atteindre le niveau 3 si l’essai est effectué conformément à la norme ASTM D3359</w:t>
      </w:r>
      <w:r>
        <w:rPr>
          <w:szCs w:val="24"/>
        </w:rPr>
        <w:t> ;</w:t>
      </w:r>
    </w:p>
    <w:p w:rsidR="00E92373" w:rsidRPr="005A0678" w:rsidRDefault="00E92373" w:rsidP="00E92373">
      <w:pPr>
        <w:pStyle w:val="SingleTxtG"/>
        <w:ind w:left="2835" w:hanging="567"/>
        <w:rPr>
          <w:szCs w:val="24"/>
        </w:rPr>
      </w:pPr>
      <w:r w:rsidRPr="005A0678">
        <w:rPr>
          <w:szCs w:val="24"/>
        </w:rPr>
        <w:t>g)</w:t>
      </w:r>
      <w:r w:rsidRPr="005A0678">
        <w:rPr>
          <w:szCs w:val="24"/>
        </w:rPr>
        <w:tab/>
        <w:t>Essai de résistance à l’écaillage à température ambiante, con</w:t>
      </w:r>
      <w:r w:rsidR="00C71E0F">
        <w:rPr>
          <w:szCs w:val="24"/>
        </w:rPr>
        <w:t>formément à la norme ASTM D3170</w:t>
      </w:r>
      <w:r w:rsidRPr="005A0678">
        <w:rPr>
          <w:szCs w:val="24"/>
        </w:rPr>
        <w:t>. Le revêtement doit atteindre le niveau 7A ou plus et il ne doit y avoir aucune exposition du substrat.</w:t>
      </w:r>
    </w:p>
    <w:p w:rsidR="00E92373" w:rsidRPr="005A0678" w:rsidRDefault="00E92373" w:rsidP="00E92373">
      <w:pPr>
        <w:pStyle w:val="SingleTxtG"/>
        <w:keepNext/>
        <w:ind w:left="2268" w:hanging="1134"/>
        <w:rPr>
          <w:szCs w:val="24"/>
        </w:rPr>
      </w:pPr>
      <w:r w:rsidRPr="005A0678">
        <w:rPr>
          <w:szCs w:val="24"/>
        </w:rPr>
        <w:t>A.9.2</w:t>
      </w:r>
      <w:r w:rsidRPr="005A0678">
        <w:rPr>
          <w:szCs w:val="24"/>
        </w:rPr>
        <w:tab/>
        <w:t>Essais par lots d</w:t>
      </w:r>
      <w:r>
        <w:rPr>
          <w:szCs w:val="24"/>
        </w:rPr>
        <w:t>u</w:t>
      </w:r>
      <w:r w:rsidRPr="005A0678">
        <w:rPr>
          <w:szCs w:val="24"/>
        </w:rPr>
        <w:t xml:space="preserve"> revêtement </w:t>
      </w:r>
    </w:p>
    <w:p w:rsidR="00E92373" w:rsidRPr="005A0678" w:rsidRDefault="00E92373" w:rsidP="00E92373">
      <w:pPr>
        <w:pStyle w:val="SingleTxtG"/>
        <w:keepNext/>
        <w:ind w:left="2835" w:hanging="567"/>
        <w:rPr>
          <w:szCs w:val="24"/>
        </w:rPr>
      </w:pPr>
      <w:r w:rsidRPr="005A0678">
        <w:rPr>
          <w:szCs w:val="24"/>
        </w:rPr>
        <w:t>a)</w:t>
      </w:r>
      <w:r w:rsidRPr="005A0678">
        <w:rPr>
          <w:szCs w:val="24"/>
        </w:rPr>
        <w:tab/>
        <w:t>Épaisseur du revêtement</w:t>
      </w:r>
    </w:p>
    <w:p w:rsidR="00E92373" w:rsidRPr="005A0678" w:rsidRDefault="00E92373" w:rsidP="00E92373">
      <w:pPr>
        <w:pStyle w:val="SingleTxtG"/>
        <w:ind w:left="2835"/>
        <w:rPr>
          <w:szCs w:val="24"/>
        </w:rPr>
      </w:pPr>
      <w:r w:rsidRPr="005A0678">
        <w:rPr>
          <w:szCs w:val="24"/>
        </w:rPr>
        <w:tab/>
        <w:t>L’épaisseur du revêtement doit satisfaire aux prescriptions de la conception lorsque l’essai est effectué conformément à la norme ISO</w:t>
      </w:r>
      <w:r w:rsidR="007030EA">
        <w:rPr>
          <w:szCs w:val="24"/>
        </w:rPr>
        <w:t> </w:t>
      </w:r>
      <w:r w:rsidRPr="005A0678">
        <w:rPr>
          <w:szCs w:val="24"/>
        </w:rPr>
        <w:t>2808</w:t>
      </w:r>
      <w:r>
        <w:rPr>
          <w:szCs w:val="24"/>
        </w:rPr>
        <w:t> ;</w:t>
      </w:r>
    </w:p>
    <w:p w:rsidR="00E92373" w:rsidRPr="005A0678" w:rsidRDefault="00E92373" w:rsidP="00E92373">
      <w:pPr>
        <w:pStyle w:val="SingleTxtG"/>
        <w:ind w:left="2835" w:hanging="567"/>
        <w:rPr>
          <w:szCs w:val="24"/>
        </w:rPr>
      </w:pPr>
      <w:r w:rsidRPr="005A0678">
        <w:rPr>
          <w:szCs w:val="24"/>
        </w:rPr>
        <w:t>b)</w:t>
      </w:r>
      <w:r w:rsidRPr="005A0678">
        <w:rPr>
          <w:szCs w:val="24"/>
        </w:rPr>
        <w:tab/>
        <w:t>Adhé</w:t>
      </w:r>
      <w:r w:rsidR="00C71E0F">
        <w:rPr>
          <w:szCs w:val="24"/>
        </w:rPr>
        <w:t>rence</w:t>
      </w:r>
      <w:r w:rsidRPr="005A0678">
        <w:rPr>
          <w:szCs w:val="24"/>
        </w:rPr>
        <w:t xml:space="preserve"> du revêtement</w:t>
      </w:r>
    </w:p>
    <w:p w:rsidR="00E92373" w:rsidRDefault="00E92373" w:rsidP="00E92373">
      <w:pPr>
        <w:pStyle w:val="SingleTxtG"/>
        <w:ind w:left="2835"/>
        <w:rPr>
          <w:szCs w:val="24"/>
        </w:rPr>
      </w:pPr>
      <w:r w:rsidRPr="005A0678">
        <w:rPr>
          <w:szCs w:val="24"/>
        </w:rPr>
        <w:tab/>
        <w:t xml:space="preserve">Le pouvoir adhésif du revêtement doit être mesuré conformément à la norme </w:t>
      </w:r>
      <w:r w:rsidRPr="005A0678">
        <w:rPr>
          <w:b/>
          <w:szCs w:val="24"/>
        </w:rPr>
        <w:t>ASTM 3359</w:t>
      </w:r>
      <w:r w:rsidR="00C71E0F" w:rsidRPr="00C71E0F">
        <w:rPr>
          <w:szCs w:val="24"/>
        </w:rPr>
        <w:t xml:space="preserve"> </w:t>
      </w:r>
      <w:r w:rsidRPr="005A0678">
        <w:rPr>
          <w:szCs w:val="24"/>
        </w:rPr>
        <w:t>et doit atteindre le niveau 4 au minimum s’il est mesuré en appliquant la méthode A ou B selon le cas.</w:t>
      </w:r>
    </w:p>
    <w:p w:rsidR="00E92373" w:rsidRPr="00192245" w:rsidRDefault="00E92373" w:rsidP="00E92373">
      <w:pPr>
        <w:pStyle w:val="SingleTxtG"/>
        <w:ind w:left="2268" w:hanging="1134"/>
        <w:rPr>
          <w:szCs w:val="24"/>
        </w:rPr>
      </w:pPr>
      <w:r w:rsidRPr="00192245">
        <w:rPr>
          <w:szCs w:val="24"/>
        </w:rPr>
        <w:t>A.10</w:t>
      </w:r>
      <w:r w:rsidRPr="00192245">
        <w:rPr>
          <w:szCs w:val="24"/>
        </w:rPr>
        <w:tab/>
        <w:t>Essai d’étanchéité</w:t>
      </w:r>
    </w:p>
    <w:p w:rsidR="00E92373" w:rsidRDefault="00E92373" w:rsidP="00E92373">
      <w:pPr>
        <w:pStyle w:val="SingleTxtG"/>
        <w:ind w:left="2268" w:hanging="1134"/>
        <w:rPr>
          <w:szCs w:val="24"/>
        </w:rPr>
      </w:pPr>
      <w:r w:rsidRPr="00192245">
        <w:rPr>
          <w:szCs w:val="24"/>
        </w:rPr>
        <w:tab/>
        <w:t>Les bouteilles de type GNC-4 doivent subir un essai d’étanchéité selon la procédure suivante (ou toute autre procédure acceptable)</w:t>
      </w:r>
      <w:r>
        <w:rPr>
          <w:szCs w:val="24"/>
        </w:rPr>
        <w:t> :</w:t>
      </w:r>
    </w:p>
    <w:p w:rsidR="00E92373" w:rsidRPr="007B08B1" w:rsidRDefault="00E92373" w:rsidP="00E92373">
      <w:pPr>
        <w:pStyle w:val="SingleTxtG"/>
        <w:ind w:left="2835" w:hanging="567"/>
        <w:rPr>
          <w:szCs w:val="24"/>
        </w:rPr>
      </w:pPr>
      <w:r w:rsidRPr="007B08B1">
        <w:rPr>
          <w:szCs w:val="24"/>
        </w:rPr>
        <w:t>a)</w:t>
      </w:r>
      <w:r w:rsidRPr="007B08B1">
        <w:rPr>
          <w:szCs w:val="24"/>
        </w:rPr>
        <w:tab/>
        <w:t>Les bouteilles doivent être minutieusement séchées, puis mises sous pression, à la pression maximale de fonctionnement, avec de l’air sec ou de l’azote, et elles doivent contenir un gaz détectable tel que l’hélium</w:t>
      </w:r>
      <w:r>
        <w:rPr>
          <w:szCs w:val="24"/>
        </w:rPr>
        <w:t> ;</w:t>
      </w:r>
    </w:p>
    <w:p w:rsidR="00E92373" w:rsidRPr="0076307D" w:rsidRDefault="00E92373" w:rsidP="00E92373">
      <w:pPr>
        <w:pStyle w:val="SingleTxtG"/>
        <w:ind w:left="2835" w:hanging="567"/>
        <w:rPr>
          <w:szCs w:val="24"/>
        </w:rPr>
      </w:pPr>
      <w:r w:rsidRPr="007B08B1">
        <w:rPr>
          <w:szCs w:val="24"/>
        </w:rPr>
        <w:t>b)</w:t>
      </w:r>
      <w:r w:rsidRPr="007B08B1">
        <w:rPr>
          <w:szCs w:val="24"/>
        </w:rPr>
        <w:tab/>
        <w:t>Toute fuite</w:t>
      </w:r>
      <w:r>
        <w:rPr>
          <w:szCs w:val="24"/>
        </w:rPr>
        <w:t xml:space="preserve"> </w:t>
      </w:r>
      <w:r w:rsidRPr="007B08B1">
        <w:rPr>
          <w:b/>
          <w:szCs w:val="24"/>
        </w:rPr>
        <w:t>détectée</w:t>
      </w:r>
      <w:r w:rsidRPr="007B08B1">
        <w:rPr>
          <w:szCs w:val="24"/>
        </w:rPr>
        <w:t xml:space="preserve"> doit entraîner la mise au rebut.</w:t>
      </w:r>
      <w:r>
        <w:rPr>
          <w:szCs w:val="24"/>
        </w:rPr>
        <w:t xml:space="preserve"> </w:t>
      </w:r>
      <w:r w:rsidRPr="007B08B1">
        <w:rPr>
          <w:b/>
          <w:szCs w:val="24"/>
        </w:rPr>
        <w:t>Une fuite est un rejet de gaz par une fissure,</w:t>
      </w:r>
      <w:r>
        <w:rPr>
          <w:b/>
          <w:szCs w:val="24"/>
        </w:rPr>
        <w:t xml:space="preserve"> un pore, ou toute autre défaut similaire. </w:t>
      </w:r>
      <w:r w:rsidRPr="0076307D">
        <w:rPr>
          <w:b/>
          <w:szCs w:val="24"/>
        </w:rPr>
        <w:t>L</w:t>
      </w:r>
      <w:r>
        <w:rPr>
          <w:b/>
          <w:szCs w:val="24"/>
        </w:rPr>
        <w:t xml:space="preserve">a perméabilité </w:t>
      </w:r>
      <w:r w:rsidRPr="0076307D">
        <w:rPr>
          <w:b/>
          <w:szCs w:val="24"/>
        </w:rPr>
        <w:t xml:space="preserve">à travers la paroi </w:t>
      </w:r>
      <w:r>
        <w:rPr>
          <w:b/>
          <w:szCs w:val="24"/>
        </w:rPr>
        <w:t xml:space="preserve">conformément au </w:t>
      </w:r>
      <w:r w:rsidRPr="0076307D">
        <w:rPr>
          <w:b/>
          <w:szCs w:val="24"/>
        </w:rPr>
        <w:t>paragraphe A.21 n’est pas con</w:t>
      </w:r>
      <w:r>
        <w:rPr>
          <w:b/>
          <w:szCs w:val="24"/>
        </w:rPr>
        <w:t>s</w:t>
      </w:r>
      <w:r w:rsidRPr="0076307D">
        <w:rPr>
          <w:b/>
          <w:szCs w:val="24"/>
        </w:rPr>
        <w:t>idérée comme une fuite.</w:t>
      </w:r>
      <w:r>
        <w:rPr>
          <w:szCs w:val="24"/>
        </w:rPr>
        <w:t> ».</w:t>
      </w:r>
    </w:p>
    <w:p w:rsidR="00E92373" w:rsidRPr="00753CE5" w:rsidRDefault="00E92373" w:rsidP="00E92373">
      <w:pPr>
        <w:pStyle w:val="SingleTxtG"/>
      </w:pPr>
      <w:r w:rsidRPr="00E023A2">
        <w:rPr>
          <w:i/>
        </w:rPr>
        <w:t>Paragraphes A.12 à A.14</w:t>
      </w:r>
      <w:r w:rsidRPr="00753CE5">
        <w:t>, modifier comme suit</w:t>
      </w:r>
      <w:r>
        <w:t> :</w:t>
      </w:r>
    </w:p>
    <w:p w:rsidR="00E92373" w:rsidRPr="0076307D" w:rsidRDefault="00E92373" w:rsidP="00E92373">
      <w:pPr>
        <w:pStyle w:val="SingleTxtG"/>
        <w:ind w:left="2268" w:hanging="1134"/>
        <w:rPr>
          <w:szCs w:val="24"/>
        </w:rPr>
      </w:pPr>
      <w:r>
        <w:rPr>
          <w:szCs w:val="24"/>
        </w:rPr>
        <w:t>« </w:t>
      </w:r>
      <w:r w:rsidRPr="0076307D">
        <w:rPr>
          <w:szCs w:val="24"/>
        </w:rPr>
        <w:t>A.12</w:t>
      </w:r>
      <w:r w:rsidRPr="0076307D">
        <w:rPr>
          <w:szCs w:val="24"/>
        </w:rPr>
        <w:tab/>
        <w:t>Essai d’éclatement à la pression hydrostatique</w:t>
      </w:r>
    </w:p>
    <w:p w:rsidR="00E92373" w:rsidRPr="0076307D" w:rsidRDefault="00E92373" w:rsidP="00E92373">
      <w:pPr>
        <w:pStyle w:val="SingleTxtG"/>
        <w:ind w:left="2835" w:hanging="567"/>
        <w:rPr>
          <w:szCs w:val="24"/>
        </w:rPr>
      </w:pPr>
      <w:r w:rsidRPr="0076307D">
        <w:rPr>
          <w:szCs w:val="24"/>
        </w:rPr>
        <w:t>a)</w:t>
      </w:r>
      <w:r w:rsidRPr="0076307D">
        <w:rPr>
          <w:szCs w:val="24"/>
        </w:rPr>
        <w:tab/>
        <w:t>La mise sous pression ne doit pas se faire à plus de 1,4</w:t>
      </w:r>
      <w:r>
        <w:rPr>
          <w:szCs w:val="24"/>
        </w:rPr>
        <w:t> MPa</w:t>
      </w:r>
      <w:r w:rsidRPr="0076307D">
        <w:rPr>
          <w:szCs w:val="24"/>
        </w:rPr>
        <w:t xml:space="preserve"> par seconde aux pressions dépassant de 80</w:t>
      </w:r>
      <w:r>
        <w:rPr>
          <w:szCs w:val="24"/>
        </w:rPr>
        <w:t> %</w:t>
      </w:r>
      <w:r w:rsidRPr="0076307D">
        <w:rPr>
          <w:szCs w:val="24"/>
        </w:rPr>
        <w:t xml:space="preserve"> la pression d’éclatement nominale. Si la mise sous pression, aux pressions dépassant de 80</w:t>
      </w:r>
      <w:r>
        <w:rPr>
          <w:szCs w:val="24"/>
        </w:rPr>
        <w:t> %</w:t>
      </w:r>
      <w:r w:rsidRPr="0076307D">
        <w:rPr>
          <w:szCs w:val="24"/>
        </w:rPr>
        <w:t xml:space="preserve"> la pression d’éclatement nominale, dépasse 350</w:t>
      </w:r>
      <w:r>
        <w:rPr>
          <w:szCs w:val="24"/>
        </w:rPr>
        <w:t> </w:t>
      </w:r>
      <w:r w:rsidR="00C71E0F">
        <w:rPr>
          <w:szCs w:val="24"/>
        </w:rPr>
        <w:t>kPa/s</w:t>
      </w:r>
      <w:r w:rsidRPr="0076307D">
        <w:rPr>
          <w:szCs w:val="24"/>
        </w:rPr>
        <w:t>, il faut placer la bouteille schématiquement entre la source de pression et le dispositif de mesurage de la pression, ou bien laisser s’écouler 5 s à la pression d’éclatement minimale nominale</w:t>
      </w:r>
      <w:r>
        <w:rPr>
          <w:szCs w:val="24"/>
        </w:rPr>
        <w:t> ;</w:t>
      </w:r>
    </w:p>
    <w:p w:rsidR="00E92373" w:rsidRPr="00ED26F8" w:rsidRDefault="00E92373" w:rsidP="00E92373">
      <w:pPr>
        <w:pStyle w:val="SingleTxtG"/>
        <w:ind w:left="2835" w:hanging="567"/>
        <w:rPr>
          <w:szCs w:val="24"/>
        </w:rPr>
      </w:pPr>
      <w:r w:rsidRPr="0076307D">
        <w:rPr>
          <w:szCs w:val="24"/>
        </w:rPr>
        <w:t>b)</w:t>
      </w:r>
      <w:r w:rsidRPr="0076307D">
        <w:rPr>
          <w:szCs w:val="24"/>
        </w:rPr>
        <w:tab/>
        <w:t xml:space="preserve">La pression d’éclatement minimale requise (calculée) doit être d’au moins </w:t>
      </w:r>
      <w:r w:rsidRPr="0076307D">
        <w:rPr>
          <w:b/>
          <w:szCs w:val="24"/>
        </w:rPr>
        <w:t>la pression minimale d’éclatement</w:t>
      </w:r>
      <w:r>
        <w:rPr>
          <w:b/>
          <w:szCs w:val="24"/>
        </w:rPr>
        <w:t xml:space="preserve"> </w:t>
      </w:r>
      <w:r w:rsidRPr="006F0FC8">
        <w:rPr>
          <w:b/>
          <w:szCs w:val="24"/>
        </w:rPr>
        <w:t>spécifiée pour la conception</w:t>
      </w:r>
      <w:r w:rsidRPr="0076307D">
        <w:rPr>
          <w:szCs w:val="24"/>
        </w:rPr>
        <w:t xml:space="preserve"> et ne doit en aucun cas être inférieure à la valeur nécessaire pour respecter les prescriptions relatives au rapport de contraintes. La pression d’éclatement effective doit être enregistrée. La rupture peut se produire soit dans le cylindre, soit dans la partie conique de la bouteille.</w:t>
      </w:r>
      <w:r w:rsidRPr="00ED26F8">
        <w:rPr>
          <w:szCs w:val="24"/>
        </w:rPr>
        <w:tab/>
      </w:r>
    </w:p>
    <w:p w:rsidR="00E92373" w:rsidRDefault="00E92373" w:rsidP="00E92373">
      <w:pPr>
        <w:pStyle w:val="SingleTxtG"/>
        <w:ind w:left="2268" w:hanging="1134"/>
        <w:rPr>
          <w:szCs w:val="24"/>
        </w:rPr>
      </w:pPr>
      <w:r w:rsidRPr="006F0FC8">
        <w:rPr>
          <w:szCs w:val="24"/>
        </w:rPr>
        <w:t>A.13</w:t>
      </w:r>
      <w:r w:rsidRPr="006F0FC8">
        <w:rPr>
          <w:szCs w:val="24"/>
        </w:rPr>
        <w:tab/>
        <w:t>Cyclage en pression à température ambiante</w:t>
      </w:r>
    </w:p>
    <w:p w:rsidR="00E92373" w:rsidRPr="006F0FC8" w:rsidRDefault="00E92373" w:rsidP="00E92373">
      <w:pPr>
        <w:pStyle w:val="SingleTxtG"/>
        <w:ind w:left="2268"/>
        <w:rPr>
          <w:szCs w:val="24"/>
        </w:rPr>
      </w:pPr>
      <w:r w:rsidRPr="006F0FC8">
        <w:rPr>
          <w:szCs w:val="24"/>
        </w:rPr>
        <w:tab/>
        <w:t>Le cyclage en pression doit être effectué conformément à la procédure suivante</w:t>
      </w:r>
      <w:r>
        <w:rPr>
          <w:szCs w:val="24"/>
        </w:rPr>
        <w:t> :</w:t>
      </w:r>
    </w:p>
    <w:p w:rsidR="00E92373" w:rsidRPr="006F0FC8" w:rsidRDefault="00E92373" w:rsidP="00E92373">
      <w:pPr>
        <w:pStyle w:val="SingleTxtG"/>
        <w:ind w:left="2835" w:hanging="567"/>
        <w:rPr>
          <w:szCs w:val="24"/>
        </w:rPr>
      </w:pPr>
      <w:r w:rsidRPr="006F0FC8">
        <w:rPr>
          <w:szCs w:val="24"/>
        </w:rPr>
        <w:t>a)</w:t>
      </w:r>
      <w:r w:rsidRPr="006F0FC8">
        <w:rPr>
          <w:szCs w:val="24"/>
        </w:rPr>
        <w:tab/>
        <w:t>Remplir la bouteille devant faire l’objet de l’essai avec un liquide non corrosif tel que de l’huile, de l’eau inhibée ou du glycol</w:t>
      </w:r>
      <w:r>
        <w:rPr>
          <w:szCs w:val="24"/>
        </w:rPr>
        <w:t> ;</w:t>
      </w:r>
    </w:p>
    <w:p w:rsidR="00E92373" w:rsidRPr="00ED26F8" w:rsidRDefault="00E92373" w:rsidP="00E92373">
      <w:pPr>
        <w:pStyle w:val="SingleTxtG"/>
        <w:ind w:left="2835" w:hanging="567"/>
        <w:rPr>
          <w:szCs w:val="24"/>
        </w:rPr>
      </w:pPr>
      <w:r w:rsidRPr="006F0FC8">
        <w:rPr>
          <w:szCs w:val="24"/>
        </w:rPr>
        <w:t>b)</w:t>
      </w:r>
      <w:r w:rsidRPr="006F0FC8">
        <w:rPr>
          <w:szCs w:val="24"/>
        </w:rPr>
        <w:tab/>
        <w:t>Soumettre la bouteille au cyclage entre une pression de 2</w:t>
      </w:r>
      <w:r>
        <w:rPr>
          <w:szCs w:val="24"/>
        </w:rPr>
        <w:t> MPa</w:t>
      </w:r>
      <w:r w:rsidRPr="006F0FC8">
        <w:rPr>
          <w:szCs w:val="24"/>
        </w:rPr>
        <w:t xml:space="preserve"> au plus et </w:t>
      </w:r>
      <w:r w:rsidRPr="00B01C4C">
        <w:rPr>
          <w:b/>
          <w:szCs w:val="24"/>
        </w:rPr>
        <w:t>1,3 fois la pression maximale de fonctionnement</w:t>
      </w:r>
      <w:r w:rsidRPr="006F0FC8">
        <w:rPr>
          <w:szCs w:val="24"/>
        </w:rPr>
        <w:t xml:space="preserve"> au moins, à une cadence ne dépassant pas 10 cycles par minute.</w:t>
      </w:r>
      <w:r w:rsidRPr="006F0FC8">
        <w:rPr>
          <w:szCs w:val="24"/>
        </w:rPr>
        <w:tab/>
      </w:r>
    </w:p>
    <w:p w:rsidR="00E92373" w:rsidRPr="006F0FC8" w:rsidRDefault="00E92373" w:rsidP="00E92373">
      <w:pPr>
        <w:pStyle w:val="SingleTxtG"/>
        <w:ind w:left="2268"/>
        <w:rPr>
          <w:szCs w:val="24"/>
        </w:rPr>
      </w:pPr>
      <w:r w:rsidRPr="00ED26F8">
        <w:rPr>
          <w:szCs w:val="24"/>
        </w:rPr>
        <w:tab/>
      </w:r>
      <w:r w:rsidRPr="006F0FC8">
        <w:rPr>
          <w:szCs w:val="24"/>
        </w:rPr>
        <w:t>Le nombre de cycles jusqu’à la défaillance ainsi que l’emplacement et la description de la défaillance doivent être consignés.</w:t>
      </w:r>
    </w:p>
    <w:p w:rsidR="00E92373" w:rsidRPr="006F0FC8" w:rsidRDefault="00E92373" w:rsidP="00E92373">
      <w:pPr>
        <w:pStyle w:val="SingleTxtG"/>
        <w:ind w:left="2268" w:hanging="1134"/>
        <w:rPr>
          <w:szCs w:val="24"/>
        </w:rPr>
      </w:pPr>
      <w:r w:rsidRPr="006F0FC8">
        <w:rPr>
          <w:szCs w:val="24"/>
        </w:rPr>
        <w:t>A.14</w:t>
      </w:r>
      <w:r w:rsidRPr="006F0FC8">
        <w:rPr>
          <w:szCs w:val="24"/>
        </w:rPr>
        <w:tab/>
      </w:r>
      <w:r w:rsidRPr="00B276A6">
        <w:rPr>
          <w:szCs w:val="24"/>
        </w:rPr>
        <w:t xml:space="preserve">Essai </w:t>
      </w:r>
      <w:r w:rsidRPr="00B276A6">
        <w:rPr>
          <w:b/>
          <w:szCs w:val="24"/>
        </w:rPr>
        <w:t>d’</w:t>
      </w:r>
      <w:r w:rsidRPr="00B276A6">
        <w:rPr>
          <w:szCs w:val="24"/>
        </w:rPr>
        <w:t>environnement</w:t>
      </w:r>
    </w:p>
    <w:p w:rsidR="00E92373" w:rsidRPr="008C2530" w:rsidRDefault="00E92373" w:rsidP="00C71E0F">
      <w:pPr>
        <w:pStyle w:val="SingleTxtG"/>
        <w:ind w:left="2268"/>
        <w:rPr>
          <w:b/>
          <w:szCs w:val="24"/>
        </w:rPr>
      </w:pPr>
      <w:r w:rsidRPr="006F0FC8">
        <w:rPr>
          <w:szCs w:val="24"/>
        </w:rPr>
        <w:tab/>
      </w:r>
      <w:r w:rsidRPr="008C2530">
        <w:rPr>
          <w:b/>
          <w:szCs w:val="24"/>
        </w:rPr>
        <w:t xml:space="preserve">L’essai d’environnement doit satisfaire aux dispositions de </w:t>
      </w:r>
      <w:r>
        <w:rPr>
          <w:b/>
          <w:szCs w:val="24"/>
        </w:rPr>
        <w:t>l</w:t>
      </w:r>
      <w:r w:rsidRPr="008C2530">
        <w:rPr>
          <w:b/>
          <w:szCs w:val="24"/>
        </w:rPr>
        <w:t>’</w:t>
      </w:r>
      <w:r>
        <w:rPr>
          <w:b/>
          <w:szCs w:val="24"/>
        </w:rPr>
        <w:t>appendice H de l</w:t>
      </w:r>
      <w:r w:rsidRPr="008C2530">
        <w:rPr>
          <w:b/>
          <w:szCs w:val="24"/>
        </w:rPr>
        <w:t>’</w:t>
      </w:r>
      <w:r>
        <w:rPr>
          <w:b/>
          <w:szCs w:val="24"/>
        </w:rPr>
        <w:t>annexe 3A. </w:t>
      </w:r>
      <w:r w:rsidRPr="008C1581">
        <w:rPr>
          <w:szCs w:val="24"/>
        </w:rPr>
        <w:t>».</w:t>
      </w:r>
    </w:p>
    <w:p w:rsidR="00E92373" w:rsidRPr="00753CE5" w:rsidRDefault="00E92373" w:rsidP="00E92373">
      <w:pPr>
        <w:pStyle w:val="SingleTxtG"/>
      </w:pPr>
      <w:r w:rsidRPr="00753CE5">
        <w:rPr>
          <w:i/>
        </w:rPr>
        <w:t>Paragraphe A.15.5</w:t>
      </w:r>
      <w:r w:rsidRPr="00D96F0B">
        <w:t>,</w:t>
      </w:r>
      <w:r w:rsidRPr="00753CE5">
        <w:t xml:space="preserve"> modifier comme suit</w:t>
      </w:r>
      <w:r>
        <w:t> :</w:t>
      </w:r>
    </w:p>
    <w:p w:rsidR="00E92373" w:rsidRPr="00C30878" w:rsidRDefault="00E92373" w:rsidP="00E92373">
      <w:pPr>
        <w:pStyle w:val="SingleTxtG"/>
        <w:ind w:left="2268" w:hanging="1134"/>
        <w:rPr>
          <w:szCs w:val="24"/>
        </w:rPr>
      </w:pPr>
      <w:r>
        <w:rPr>
          <w:szCs w:val="24"/>
        </w:rPr>
        <w:t>« </w:t>
      </w:r>
      <w:r w:rsidRPr="00C30878">
        <w:rPr>
          <w:szCs w:val="24"/>
        </w:rPr>
        <w:t>A.15.5</w:t>
      </w:r>
      <w:r w:rsidRPr="00C30878">
        <w:rPr>
          <w:szCs w:val="24"/>
        </w:rPr>
        <w:tab/>
        <w:t>Prescriptions générales relatives aux essais</w:t>
      </w:r>
    </w:p>
    <w:p w:rsidR="00E92373" w:rsidRPr="00C30878" w:rsidRDefault="00E92373" w:rsidP="00E92373">
      <w:pPr>
        <w:pStyle w:val="SingleTxtG"/>
        <w:ind w:left="2268"/>
        <w:rPr>
          <w:szCs w:val="24"/>
        </w:rPr>
      </w:pPr>
      <w:r w:rsidRPr="00C30878">
        <w:rPr>
          <w:szCs w:val="24"/>
        </w:rPr>
        <w:tab/>
        <w:t>Les bouteilles doivent être mises sous pression avec du gaz naturel et mises à l’essai en position horizontale</w:t>
      </w:r>
      <w:r>
        <w:rPr>
          <w:szCs w:val="24"/>
        </w:rPr>
        <w:t> :</w:t>
      </w:r>
    </w:p>
    <w:p w:rsidR="00E92373" w:rsidRPr="00C30878" w:rsidRDefault="00E92373" w:rsidP="00E92373">
      <w:pPr>
        <w:pStyle w:val="SingleTxtG"/>
        <w:ind w:left="2835" w:hanging="567"/>
        <w:rPr>
          <w:szCs w:val="24"/>
        </w:rPr>
      </w:pPr>
      <w:r w:rsidRPr="00C30878">
        <w:rPr>
          <w:szCs w:val="24"/>
        </w:rPr>
        <w:t>a)</w:t>
      </w:r>
      <w:r w:rsidRPr="00C30878">
        <w:rPr>
          <w:szCs w:val="24"/>
        </w:rPr>
        <w:tab/>
        <w:t>À la pression maximale de fonctionnement</w:t>
      </w:r>
      <w:r>
        <w:rPr>
          <w:szCs w:val="24"/>
        </w:rPr>
        <w:t> ;</w:t>
      </w:r>
    </w:p>
    <w:p w:rsidR="00E92373" w:rsidRPr="00EB2CE2" w:rsidRDefault="00E92373" w:rsidP="00E92373">
      <w:pPr>
        <w:pStyle w:val="SingleTxtG"/>
        <w:ind w:left="2835" w:hanging="567"/>
        <w:rPr>
          <w:szCs w:val="24"/>
        </w:rPr>
      </w:pPr>
      <w:r w:rsidRPr="00C30878">
        <w:rPr>
          <w:szCs w:val="24"/>
        </w:rPr>
        <w:t>b)</w:t>
      </w:r>
      <w:r w:rsidRPr="00C30878">
        <w:rPr>
          <w:szCs w:val="24"/>
        </w:rPr>
        <w:tab/>
        <w:t>À 25</w:t>
      </w:r>
      <w:r>
        <w:rPr>
          <w:szCs w:val="24"/>
        </w:rPr>
        <w:t> %</w:t>
      </w:r>
      <w:r w:rsidRPr="00C30878">
        <w:rPr>
          <w:szCs w:val="24"/>
        </w:rPr>
        <w:t xml:space="preserve"> de la pression maximale de fonctionnement</w:t>
      </w:r>
      <w:r>
        <w:rPr>
          <w:szCs w:val="24"/>
        </w:rPr>
        <w:t xml:space="preserve"> </w:t>
      </w:r>
      <w:r w:rsidRPr="00EB2CE2">
        <w:rPr>
          <w:b/>
          <w:szCs w:val="24"/>
        </w:rPr>
        <w:t>(seulement si la conception ne comporte pas de dispositif de décompression thermocommandé)</w:t>
      </w:r>
      <w:r w:rsidRPr="00EB2CE2">
        <w:rPr>
          <w:szCs w:val="24"/>
        </w:rPr>
        <w:t>.</w:t>
      </w:r>
    </w:p>
    <w:p w:rsidR="00E92373" w:rsidRDefault="00E92373" w:rsidP="00E92373">
      <w:pPr>
        <w:pStyle w:val="SingleTxtG"/>
        <w:ind w:left="2268"/>
        <w:rPr>
          <w:szCs w:val="24"/>
        </w:rPr>
      </w:pPr>
      <w:r w:rsidRPr="00EB2CE2">
        <w:rPr>
          <w:szCs w:val="24"/>
        </w:rPr>
        <w:tab/>
      </w:r>
      <w:r w:rsidRPr="00156FE3">
        <w:rPr>
          <w:szCs w:val="24"/>
        </w:rPr>
        <w:t>Juste après l’allumage, le feu doit entrer en contact avec la surface de la bouteille sur toute sa longueur (1,65</w:t>
      </w:r>
      <w:r>
        <w:rPr>
          <w:szCs w:val="24"/>
        </w:rPr>
        <w:t> m)</w:t>
      </w:r>
      <w:r w:rsidRPr="00156FE3">
        <w:rPr>
          <w:szCs w:val="24"/>
        </w:rPr>
        <w:t xml:space="preserve"> ainsi que sur le diamètre de celle-ci. Dans les 5</w:t>
      </w:r>
      <w:r>
        <w:rPr>
          <w:szCs w:val="24"/>
        </w:rPr>
        <w:t> min</w:t>
      </w:r>
      <w:r w:rsidRPr="00156FE3">
        <w:rPr>
          <w:szCs w:val="24"/>
        </w:rPr>
        <w:t xml:space="preserve"> suivant l’allumage, un thermocouple au moins doit indiquer une température de 590</w:t>
      </w:r>
      <w:r>
        <w:rPr>
          <w:szCs w:val="24"/>
        </w:rPr>
        <w:t> °C</w:t>
      </w:r>
      <w:r w:rsidRPr="00156FE3">
        <w:rPr>
          <w:szCs w:val="24"/>
        </w:rPr>
        <w:t xml:space="preserve"> au minimum.</w:t>
      </w:r>
    </w:p>
    <w:p w:rsidR="00E92373" w:rsidRDefault="00E92373" w:rsidP="00E92373">
      <w:pPr>
        <w:pStyle w:val="SingleTxtG"/>
        <w:ind w:left="2268"/>
        <w:rPr>
          <w:szCs w:val="24"/>
        </w:rPr>
      </w:pPr>
      <w:r>
        <w:rPr>
          <w:szCs w:val="24"/>
        </w:rPr>
        <w:tab/>
      </w:r>
      <w:r w:rsidRPr="00156FE3">
        <w:rPr>
          <w:szCs w:val="24"/>
        </w:rPr>
        <w:t>Cette température minimale doit être maintenue jusqu’à la fin de l’essai.</w:t>
      </w:r>
      <w:r>
        <w:rPr>
          <w:szCs w:val="24"/>
        </w:rPr>
        <w:t> ».</w:t>
      </w:r>
    </w:p>
    <w:p w:rsidR="00E92373" w:rsidRPr="00753CE5" w:rsidRDefault="00E92373" w:rsidP="00E92373">
      <w:pPr>
        <w:pStyle w:val="SingleTxtG"/>
      </w:pPr>
      <w:r w:rsidRPr="00E023A2">
        <w:rPr>
          <w:i/>
        </w:rPr>
        <w:t>Paragraphes A.16 à</w:t>
      </w:r>
      <w:r>
        <w:rPr>
          <w:i/>
        </w:rPr>
        <w:t xml:space="preserve"> </w:t>
      </w:r>
      <w:r w:rsidRPr="00E023A2">
        <w:rPr>
          <w:i/>
        </w:rPr>
        <w:t>A.2</w:t>
      </w:r>
      <w:r w:rsidR="00673958">
        <w:rPr>
          <w:i/>
        </w:rPr>
        <w:t>7</w:t>
      </w:r>
      <w:r w:rsidRPr="00753CE5">
        <w:t>, modifier comme suit</w:t>
      </w:r>
      <w:r>
        <w:t> :</w:t>
      </w:r>
    </w:p>
    <w:p w:rsidR="00E92373" w:rsidRPr="00ED26F8" w:rsidRDefault="00E92373" w:rsidP="00E92373">
      <w:pPr>
        <w:pStyle w:val="SingleTxtG"/>
        <w:ind w:left="2268" w:hanging="1134"/>
        <w:rPr>
          <w:szCs w:val="24"/>
        </w:rPr>
      </w:pPr>
      <w:r>
        <w:rPr>
          <w:szCs w:val="24"/>
        </w:rPr>
        <w:t>« </w:t>
      </w:r>
      <w:r w:rsidRPr="00ED26F8">
        <w:rPr>
          <w:szCs w:val="24"/>
        </w:rPr>
        <w:t>A.16</w:t>
      </w:r>
      <w:r w:rsidRPr="00ED26F8">
        <w:rPr>
          <w:szCs w:val="24"/>
        </w:rPr>
        <w:tab/>
        <w:t>Essai de pénétration</w:t>
      </w:r>
    </w:p>
    <w:p w:rsidR="00E92373" w:rsidRPr="00ED26F8" w:rsidRDefault="00E92373" w:rsidP="00E92373">
      <w:pPr>
        <w:pStyle w:val="SingleTxtG"/>
        <w:ind w:left="2268"/>
        <w:rPr>
          <w:szCs w:val="24"/>
        </w:rPr>
      </w:pPr>
      <w:r w:rsidRPr="00ED26F8">
        <w:rPr>
          <w:szCs w:val="24"/>
        </w:rPr>
        <w:tab/>
        <w:t xml:space="preserve">Une bouteille mise sous pression à </w:t>
      </w:r>
      <w:r w:rsidRPr="00ED26F8">
        <w:rPr>
          <w:b/>
          <w:szCs w:val="24"/>
        </w:rPr>
        <w:t>la pression maximale de fonctionnement</w:t>
      </w:r>
      <w:r w:rsidRPr="00ED26F8">
        <w:rPr>
          <w:szCs w:val="24"/>
        </w:rPr>
        <w:t xml:space="preserve"> </w:t>
      </w:r>
      <w:r w:rsidRPr="006C59F1">
        <w:sym w:font="Symbol" w:char="F0B1"/>
      </w:r>
      <w:r w:rsidRPr="00ED26F8">
        <w:rPr>
          <w:szCs w:val="24"/>
        </w:rPr>
        <w:t xml:space="preserve"> 1</w:t>
      </w:r>
      <w:r>
        <w:rPr>
          <w:szCs w:val="24"/>
        </w:rPr>
        <w:t> MPa</w:t>
      </w:r>
      <w:r w:rsidRPr="00ED26F8">
        <w:rPr>
          <w:szCs w:val="24"/>
        </w:rPr>
        <w:t xml:space="preserve"> avec du gaz comprimé doit être pénétrée par une balle perforante ayant un diamètre de 7,62</w:t>
      </w:r>
      <w:r>
        <w:rPr>
          <w:szCs w:val="24"/>
        </w:rPr>
        <w:t> mm</w:t>
      </w:r>
      <w:r w:rsidRPr="00ED26F8">
        <w:rPr>
          <w:szCs w:val="24"/>
        </w:rPr>
        <w:t xml:space="preserve"> ou plus. La balle doit complètement pénétrer au moins une des parois latérales de la bouteille. </w:t>
      </w:r>
      <w:r w:rsidRPr="00ED26F8">
        <w:rPr>
          <w:b/>
          <w:szCs w:val="24"/>
        </w:rPr>
        <w:t xml:space="preserve">Pour les bouteilles de type GNC-1, le projectile doit atteindre la paroi latérale selon un angle </w:t>
      </w:r>
      <w:r>
        <w:rPr>
          <w:b/>
          <w:szCs w:val="24"/>
        </w:rPr>
        <w:t>de 90</w:t>
      </w:r>
      <w:r w:rsidRPr="00ED26F8">
        <w:rPr>
          <w:b/>
          <w:szCs w:val="24"/>
        </w:rPr>
        <w:t>°.</w:t>
      </w:r>
      <w:r w:rsidRPr="00ED26F8">
        <w:rPr>
          <w:szCs w:val="24"/>
        </w:rPr>
        <w:t xml:space="preserve"> Pour les bouteilles de type GNC-2, GNC-3 et GNC4, le projectile doit atteindre la paroi latérale selon un angle d’environ 45°. La bouteille ne doit comporter aucune trace de défaut dû à une fragmentation. La perte de petites pièces de matériau ne pesant pas plus de 45 g chacune ne doit pas constituer une cause d’échec à l’essai. La taille approximative des orifices d’entrée et de sortie ainsi que leur emplacement doivent être consignés.</w:t>
      </w:r>
    </w:p>
    <w:p w:rsidR="00E92373" w:rsidRPr="00ED26F8" w:rsidRDefault="00E92373" w:rsidP="00E92373">
      <w:pPr>
        <w:pStyle w:val="SingleTxtG"/>
        <w:keepNext/>
        <w:ind w:left="2268" w:hanging="1134"/>
        <w:rPr>
          <w:szCs w:val="24"/>
        </w:rPr>
      </w:pPr>
      <w:r w:rsidRPr="00ED26F8">
        <w:rPr>
          <w:szCs w:val="24"/>
        </w:rPr>
        <w:t>A.17</w:t>
      </w:r>
      <w:r w:rsidRPr="00ED26F8">
        <w:rPr>
          <w:szCs w:val="24"/>
        </w:rPr>
        <w:tab/>
        <w:t>Essai de résistance à l’entaille dans le composite</w:t>
      </w:r>
    </w:p>
    <w:p w:rsidR="00E92373" w:rsidRPr="004261E6" w:rsidRDefault="00E92373" w:rsidP="00E92373">
      <w:pPr>
        <w:pStyle w:val="SingleTxtG"/>
        <w:keepNext/>
        <w:ind w:left="2268"/>
        <w:rPr>
          <w:b/>
          <w:szCs w:val="24"/>
        </w:rPr>
      </w:pPr>
      <w:r w:rsidRPr="00ED26F8">
        <w:rPr>
          <w:szCs w:val="24"/>
        </w:rPr>
        <w:tab/>
        <w:t xml:space="preserve">Pour les bouteilles de type GNC-2, GNC-3 et GNC-4 uniquement, des entailles doivent être pratiquées dans la direction longitudinale du matériau composite d’une bouteille finie équipée d’un revêtement de protection. Les entailles doivent dépasser les limites de l’inspection visuelle telles qu’elles sont </w:t>
      </w:r>
      <w:r w:rsidR="00673958">
        <w:rPr>
          <w:szCs w:val="24"/>
        </w:rPr>
        <w:t>défini</w:t>
      </w:r>
      <w:r w:rsidRPr="00ED26F8">
        <w:rPr>
          <w:szCs w:val="24"/>
        </w:rPr>
        <w:t>es par le fabricant.</w:t>
      </w:r>
      <w:r>
        <w:rPr>
          <w:szCs w:val="24"/>
        </w:rPr>
        <w:t xml:space="preserve"> </w:t>
      </w:r>
      <w:r w:rsidRPr="004261E6">
        <w:rPr>
          <w:b/>
          <w:szCs w:val="24"/>
        </w:rPr>
        <w:t>Il faut au moins</w:t>
      </w:r>
      <w:r>
        <w:rPr>
          <w:szCs w:val="24"/>
        </w:rPr>
        <w:t xml:space="preserve"> </w:t>
      </w:r>
      <w:r w:rsidRPr="004261E6">
        <w:rPr>
          <w:b/>
          <w:szCs w:val="24"/>
        </w:rPr>
        <w:t>une</w:t>
      </w:r>
      <w:r w:rsidRPr="00ED26F8">
        <w:rPr>
          <w:b/>
          <w:szCs w:val="24"/>
        </w:rPr>
        <w:t xml:space="preserve"> entaille d</w:t>
      </w:r>
      <w:r>
        <w:rPr>
          <w:b/>
          <w:szCs w:val="24"/>
        </w:rPr>
        <w:t xml:space="preserve">e 25 mm de long pour une </w:t>
      </w:r>
      <w:r w:rsidRPr="00ED26F8">
        <w:rPr>
          <w:b/>
          <w:szCs w:val="24"/>
        </w:rPr>
        <w:t>profond</w:t>
      </w:r>
      <w:r>
        <w:rPr>
          <w:b/>
          <w:szCs w:val="24"/>
        </w:rPr>
        <w:t>eur</w:t>
      </w:r>
      <w:r w:rsidRPr="00ED26F8">
        <w:rPr>
          <w:b/>
          <w:szCs w:val="24"/>
        </w:rPr>
        <w:t xml:space="preserve"> de 1,25</w:t>
      </w:r>
      <w:r>
        <w:rPr>
          <w:b/>
          <w:szCs w:val="24"/>
        </w:rPr>
        <w:t> mm</w:t>
      </w:r>
      <w:r w:rsidRPr="00ED26F8">
        <w:rPr>
          <w:b/>
          <w:szCs w:val="24"/>
        </w:rPr>
        <w:t xml:space="preserve"> </w:t>
      </w:r>
      <w:r>
        <w:rPr>
          <w:b/>
          <w:szCs w:val="24"/>
        </w:rPr>
        <w:t xml:space="preserve">et une de </w:t>
      </w:r>
      <w:r w:rsidRPr="004261E6">
        <w:rPr>
          <w:b/>
          <w:szCs w:val="24"/>
        </w:rPr>
        <w:t>200</w:t>
      </w:r>
      <w:r>
        <w:rPr>
          <w:b/>
          <w:szCs w:val="24"/>
        </w:rPr>
        <w:t> mm</w:t>
      </w:r>
      <w:r w:rsidRPr="004261E6">
        <w:rPr>
          <w:b/>
          <w:szCs w:val="24"/>
        </w:rPr>
        <w:t xml:space="preserve"> </w:t>
      </w:r>
      <w:r>
        <w:rPr>
          <w:b/>
          <w:szCs w:val="24"/>
        </w:rPr>
        <w:t xml:space="preserve">de long </w:t>
      </w:r>
      <w:r w:rsidRPr="004261E6">
        <w:rPr>
          <w:b/>
          <w:szCs w:val="24"/>
        </w:rPr>
        <w:t>pour une profondeur de 0,75</w:t>
      </w:r>
      <w:r>
        <w:rPr>
          <w:b/>
          <w:szCs w:val="24"/>
        </w:rPr>
        <w:t> mm</w:t>
      </w:r>
      <w:r w:rsidRPr="004261E6">
        <w:rPr>
          <w:b/>
          <w:szCs w:val="24"/>
        </w:rPr>
        <w:t xml:space="preserve"> </w:t>
      </w:r>
      <w:r>
        <w:rPr>
          <w:b/>
          <w:szCs w:val="24"/>
        </w:rPr>
        <w:t>pratiquées dans la direction longitudinale paroi latérale de la bouteille</w:t>
      </w:r>
      <w:r w:rsidRPr="004261E6">
        <w:rPr>
          <w:b/>
          <w:szCs w:val="24"/>
        </w:rPr>
        <w:t>.</w:t>
      </w:r>
    </w:p>
    <w:p w:rsidR="00E92373" w:rsidRPr="006B0B4C" w:rsidRDefault="00E92373" w:rsidP="00E92373">
      <w:pPr>
        <w:pStyle w:val="SingleTxtG"/>
        <w:ind w:left="2268"/>
        <w:rPr>
          <w:szCs w:val="24"/>
        </w:rPr>
      </w:pPr>
      <w:r w:rsidRPr="004261E6">
        <w:rPr>
          <w:szCs w:val="24"/>
        </w:rPr>
        <w:tab/>
        <w:t>La bouteille entaillée doit alors être soumise à un cyclage entre une pression de 2</w:t>
      </w:r>
      <w:r>
        <w:rPr>
          <w:szCs w:val="24"/>
        </w:rPr>
        <w:t> MPa</w:t>
      </w:r>
      <w:r w:rsidRPr="004261E6">
        <w:rPr>
          <w:szCs w:val="24"/>
        </w:rPr>
        <w:t xml:space="preserve"> au plus et </w:t>
      </w:r>
      <w:r w:rsidRPr="00B01C4C">
        <w:rPr>
          <w:b/>
          <w:szCs w:val="24"/>
        </w:rPr>
        <w:t>1,3 fois la pression maximale de fonctionnement</w:t>
      </w:r>
      <w:r>
        <w:rPr>
          <w:b/>
          <w:szCs w:val="24"/>
        </w:rPr>
        <w:t xml:space="preserve"> </w:t>
      </w:r>
      <w:r w:rsidRPr="004261E6">
        <w:rPr>
          <w:szCs w:val="24"/>
        </w:rPr>
        <w:t>au moins pendant 3</w:t>
      </w:r>
      <w:r>
        <w:rPr>
          <w:szCs w:val="24"/>
        </w:rPr>
        <w:t> </w:t>
      </w:r>
      <w:r w:rsidRPr="004261E6">
        <w:rPr>
          <w:szCs w:val="24"/>
        </w:rPr>
        <w:t xml:space="preserve">000 cycles à température ambiante. La bouteille ne doit pas fuir ni </w:t>
      </w:r>
      <w:r>
        <w:rPr>
          <w:szCs w:val="24"/>
        </w:rPr>
        <w:t xml:space="preserve">éclater </w:t>
      </w:r>
      <w:r w:rsidRPr="004261E6">
        <w:rPr>
          <w:szCs w:val="24"/>
        </w:rPr>
        <w:t>pendant les 3</w:t>
      </w:r>
      <w:r>
        <w:rPr>
          <w:szCs w:val="24"/>
        </w:rPr>
        <w:t> </w:t>
      </w:r>
      <w:r w:rsidRPr="004261E6">
        <w:rPr>
          <w:szCs w:val="24"/>
        </w:rPr>
        <w:t xml:space="preserve">000 premiers cycles, mais elle peut présenter une fuite au cours </w:t>
      </w:r>
      <w:r w:rsidRPr="006B0B4C">
        <w:rPr>
          <w:b/>
          <w:szCs w:val="24"/>
        </w:rPr>
        <w:t>de sa durée de vie ultérieure exprimée en années multipliée par 1</w:t>
      </w:r>
      <w:r>
        <w:rPr>
          <w:b/>
          <w:szCs w:val="24"/>
        </w:rPr>
        <w:t> </w:t>
      </w:r>
      <w:r w:rsidRPr="006B0B4C">
        <w:rPr>
          <w:b/>
          <w:szCs w:val="24"/>
        </w:rPr>
        <w:t>000 cycles (moins les 3</w:t>
      </w:r>
      <w:r>
        <w:rPr>
          <w:b/>
          <w:szCs w:val="24"/>
        </w:rPr>
        <w:t> </w:t>
      </w:r>
      <w:r w:rsidRPr="006B0B4C">
        <w:rPr>
          <w:b/>
          <w:szCs w:val="24"/>
        </w:rPr>
        <w:t>000 cycles déjà accomplis)</w:t>
      </w:r>
      <w:r>
        <w:rPr>
          <w:szCs w:val="24"/>
        </w:rPr>
        <w:t xml:space="preserve">. </w:t>
      </w:r>
      <w:r w:rsidRPr="006B0B4C">
        <w:rPr>
          <w:szCs w:val="24"/>
        </w:rPr>
        <w:t>Toutes les bouteilles soumises à cet essai doivent être détruites.</w:t>
      </w:r>
    </w:p>
    <w:p w:rsidR="00E92373" w:rsidRPr="006B0B4C" w:rsidRDefault="00E92373" w:rsidP="00E92373">
      <w:pPr>
        <w:pStyle w:val="SingleTxtG"/>
        <w:ind w:left="2268" w:hanging="1134"/>
        <w:rPr>
          <w:szCs w:val="24"/>
        </w:rPr>
      </w:pPr>
      <w:r w:rsidRPr="006B0B4C">
        <w:rPr>
          <w:szCs w:val="24"/>
        </w:rPr>
        <w:t>A.18</w:t>
      </w:r>
      <w:r w:rsidRPr="006B0B4C">
        <w:rPr>
          <w:szCs w:val="24"/>
        </w:rPr>
        <w:tab/>
        <w:t>Essai de fluage à température élevée</w:t>
      </w:r>
    </w:p>
    <w:p w:rsidR="00E92373" w:rsidRPr="006B0B4C" w:rsidRDefault="00E92373" w:rsidP="00E92373">
      <w:pPr>
        <w:pStyle w:val="SingleTxtG"/>
        <w:ind w:left="2268"/>
        <w:rPr>
          <w:szCs w:val="24"/>
        </w:rPr>
      </w:pPr>
      <w:r w:rsidRPr="006B0B4C">
        <w:rPr>
          <w:szCs w:val="24"/>
        </w:rPr>
        <w:tab/>
        <w:t>Cet essai doit être réalisé pour toutes les bouteilles de type GNC-4 et toutes les bouteilles de type GNC-2 et GNC-3 pour lesquelles la température de transition vitreuse de la matrice en résine ne dépasse pas la température maximale nominale de la matière indiquée au paragraphe 4.4.2 de l’annexe</w:t>
      </w:r>
      <w:r w:rsidR="007030EA">
        <w:rPr>
          <w:szCs w:val="24"/>
        </w:rPr>
        <w:t> </w:t>
      </w:r>
      <w:r w:rsidRPr="006B0B4C">
        <w:rPr>
          <w:szCs w:val="24"/>
        </w:rPr>
        <w:t>3A d’au moins 20</w:t>
      </w:r>
      <w:r>
        <w:rPr>
          <w:szCs w:val="24"/>
        </w:rPr>
        <w:t> °C</w:t>
      </w:r>
      <w:r w:rsidRPr="006B0B4C">
        <w:rPr>
          <w:szCs w:val="24"/>
        </w:rPr>
        <w:t>. Une bouteille finie doit être soumise à l’essai comme suit</w:t>
      </w:r>
      <w:r>
        <w:rPr>
          <w:szCs w:val="24"/>
        </w:rPr>
        <w:t> :</w:t>
      </w:r>
    </w:p>
    <w:p w:rsidR="00E92373" w:rsidRPr="006B0B4C" w:rsidRDefault="00E92373" w:rsidP="00E92373">
      <w:pPr>
        <w:pStyle w:val="SingleTxtG"/>
        <w:ind w:left="2835" w:hanging="567"/>
        <w:rPr>
          <w:szCs w:val="24"/>
        </w:rPr>
      </w:pPr>
      <w:r w:rsidRPr="006B0B4C">
        <w:rPr>
          <w:szCs w:val="24"/>
        </w:rPr>
        <w:t>a)</w:t>
      </w:r>
      <w:r w:rsidRPr="006B0B4C">
        <w:rPr>
          <w:szCs w:val="24"/>
        </w:rPr>
        <w:tab/>
        <w:t xml:space="preserve">La bouteille doit être mise sous pression à </w:t>
      </w:r>
      <w:r w:rsidRPr="00B01C4C">
        <w:rPr>
          <w:b/>
          <w:szCs w:val="24"/>
        </w:rPr>
        <w:t>1,3 fois la pression maximale de fonctionnement</w:t>
      </w:r>
      <w:r>
        <w:rPr>
          <w:b/>
          <w:szCs w:val="24"/>
        </w:rPr>
        <w:t xml:space="preserve"> </w:t>
      </w:r>
      <w:r w:rsidRPr="006B0B4C">
        <w:rPr>
          <w:szCs w:val="24"/>
        </w:rPr>
        <w:t>et maintenue à une température de 100</w:t>
      </w:r>
      <w:r>
        <w:rPr>
          <w:szCs w:val="24"/>
        </w:rPr>
        <w:t> °C</w:t>
      </w:r>
      <w:r w:rsidRPr="006B0B4C">
        <w:rPr>
          <w:szCs w:val="24"/>
        </w:rPr>
        <w:t xml:space="preserve"> pendant 200</w:t>
      </w:r>
      <w:r>
        <w:rPr>
          <w:szCs w:val="24"/>
        </w:rPr>
        <w:t xml:space="preserve"> h </w:t>
      </w:r>
      <w:r w:rsidRPr="006B0B4C">
        <w:rPr>
          <w:szCs w:val="24"/>
        </w:rPr>
        <w:t>au minimum</w:t>
      </w:r>
      <w:r>
        <w:rPr>
          <w:szCs w:val="24"/>
        </w:rPr>
        <w:t> ;</w:t>
      </w:r>
    </w:p>
    <w:p w:rsidR="00E92373" w:rsidRPr="003E5900" w:rsidRDefault="00E92373" w:rsidP="00E92373">
      <w:pPr>
        <w:pStyle w:val="SingleTxtG"/>
        <w:ind w:left="2835" w:hanging="567"/>
        <w:rPr>
          <w:szCs w:val="24"/>
        </w:rPr>
      </w:pPr>
      <w:r w:rsidRPr="003E5900">
        <w:rPr>
          <w:szCs w:val="24"/>
        </w:rPr>
        <w:t>b)</w:t>
      </w:r>
      <w:r w:rsidRPr="003E5900">
        <w:rPr>
          <w:szCs w:val="24"/>
        </w:rPr>
        <w:tab/>
        <w:t xml:space="preserve">Après l’essai, la bouteille doit répondre aux prescriptions des paragraphes A.11 (essai hydraulique), A.10 (essai d’étanchéité) </w:t>
      </w:r>
      <w:r w:rsidRPr="003E5900">
        <w:rPr>
          <w:b/>
          <w:szCs w:val="24"/>
        </w:rPr>
        <w:t>(pour les bouteilles de type GNC-4 seulement)</w:t>
      </w:r>
      <w:r w:rsidRPr="003E5900">
        <w:rPr>
          <w:szCs w:val="24"/>
        </w:rPr>
        <w:t xml:space="preserve"> et A.12 (essai d’éclatement à la pression hydrostatique) ci-dessus.</w:t>
      </w:r>
    </w:p>
    <w:p w:rsidR="00E92373" w:rsidRPr="003E5900" w:rsidRDefault="00E92373" w:rsidP="00E92373">
      <w:pPr>
        <w:pStyle w:val="SingleTxtG"/>
        <w:ind w:left="2268" w:hanging="1134"/>
        <w:rPr>
          <w:szCs w:val="24"/>
        </w:rPr>
      </w:pPr>
      <w:r w:rsidRPr="003E5900">
        <w:rPr>
          <w:szCs w:val="24"/>
        </w:rPr>
        <w:t>A.19</w:t>
      </w:r>
      <w:r w:rsidRPr="003E5900">
        <w:rPr>
          <w:szCs w:val="24"/>
        </w:rPr>
        <w:tab/>
        <w:t xml:space="preserve">Essai de fluage accéléré </w:t>
      </w:r>
    </w:p>
    <w:p w:rsidR="00E92373" w:rsidRPr="0069786E" w:rsidRDefault="00E92373" w:rsidP="00E92373">
      <w:pPr>
        <w:pStyle w:val="SingleTxtG"/>
        <w:ind w:left="2268"/>
        <w:rPr>
          <w:spacing w:val="-2"/>
          <w:szCs w:val="24"/>
        </w:rPr>
      </w:pPr>
      <w:r w:rsidRPr="0069786E">
        <w:rPr>
          <w:spacing w:val="-2"/>
          <w:szCs w:val="24"/>
        </w:rPr>
        <w:tab/>
        <w:t xml:space="preserve">Pour les bouteilles de type GNC-2, GNC-3 et GNC-4 uniquement, une bouteille ne comportant aucun revêtement de protection ne doit être immergée dans de l’eau à 65 °C et mise sous pression hydrostatique à </w:t>
      </w:r>
      <w:r w:rsidRPr="0069786E">
        <w:rPr>
          <w:b/>
          <w:spacing w:val="-2"/>
          <w:szCs w:val="24"/>
        </w:rPr>
        <w:t>1,3 fois la pression maximale de fonctionnement.</w:t>
      </w:r>
      <w:r w:rsidRPr="0069786E">
        <w:rPr>
          <w:spacing w:val="-2"/>
          <w:szCs w:val="24"/>
        </w:rPr>
        <w:t xml:space="preserve"> La bouteille doit être maintenue à cette pression et à cette température pendant 1 000 h. La bouteille doit alors être mise sous pression pour éclater conformément à la procédure définie au paragraphe A.12 ci-dessus, sauf que la pression d’éclatement doit dépasser de 85 % la pression d’éclatement minimale nominale.</w:t>
      </w:r>
    </w:p>
    <w:p w:rsidR="00E92373" w:rsidRPr="003E5900" w:rsidRDefault="00E92373" w:rsidP="00E92373">
      <w:pPr>
        <w:pStyle w:val="SingleTxtG"/>
        <w:ind w:left="2268" w:hanging="1134"/>
        <w:rPr>
          <w:szCs w:val="24"/>
        </w:rPr>
      </w:pPr>
      <w:r w:rsidRPr="003E5900">
        <w:rPr>
          <w:szCs w:val="24"/>
        </w:rPr>
        <w:t>A.20</w:t>
      </w:r>
      <w:r w:rsidRPr="003E5900">
        <w:rPr>
          <w:szCs w:val="24"/>
        </w:rPr>
        <w:tab/>
        <w:t>Essai de choc</w:t>
      </w:r>
    </w:p>
    <w:p w:rsidR="00E92373" w:rsidRDefault="00E92373" w:rsidP="00E92373">
      <w:pPr>
        <w:pStyle w:val="SingleTxtG"/>
        <w:ind w:left="2268"/>
        <w:rPr>
          <w:szCs w:val="24"/>
        </w:rPr>
      </w:pPr>
      <w:r w:rsidRPr="003E5900">
        <w:rPr>
          <w:szCs w:val="24"/>
        </w:rPr>
        <w:tab/>
        <w:t>Une ou plusieurs bouteilles finies doivent être soumises à un essai de chute à température ambiante, sans mise sous pression interne et sans robinets attachés. La surface sur laquelle les bouteilles sont lâchées doit être horizontale et bétonnée. Une bouteille doit être lâchée en position horizontale, le fond étant à 1,8</w:t>
      </w:r>
      <w:r>
        <w:rPr>
          <w:szCs w:val="24"/>
        </w:rPr>
        <w:t xml:space="preserve"> m </w:t>
      </w:r>
      <w:r w:rsidRPr="003E5900">
        <w:rPr>
          <w:szCs w:val="24"/>
        </w:rPr>
        <w:t>au-dessus de la surface sur laquelle se produit la chute. Une bouteille doit être lâchée verticalement sur chaque extrémité, à une hauteur suffisante au-dessus du sol ou du plan pour que l’énergie potentielle soit de 488 J</w:t>
      </w:r>
      <w:r>
        <w:rPr>
          <w:szCs w:val="24"/>
        </w:rPr>
        <w:t> ;</w:t>
      </w:r>
      <w:r w:rsidRPr="003E5900">
        <w:rPr>
          <w:szCs w:val="24"/>
        </w:rPr>
        <w:t xml:space="preserve"> en aucun cas, cependant, la hauteur de l’extrémité inférieure ne doit dépasser 1,8</w:t>
      </w:r>
      <w:r>
        <w:rPr>
          <w:szCs w:val="24"/>
        </w:rPr>
        <w:t> m.</w:t>
      </w:r>
      <w:r w:rsidRPr="003E5900">
        <w:rPr>
          <w:szCs w:val="24"/>
        </w:rPr>
        <w:t xml:space="preserve"> Une bouteille doit être lâchée sur une ogive à un angle de 45° et d’une hauteur telle que le centre de gravité soit à 1,8 m</w:t>
      </w:r>
      <w:r>
        <w:rPr>
          <w:szCs w:val="24"/>
        </w:rPr>
        <w:t> ;</w:t>
      </w:r>
      <w:r w:rsidRPr="003E5900">
        <w:rPr>
          <w:szCs w:val="24"/>
        </w:rPr>
        <w:t xml:space="preserve"> toutefois, si l’extrémité inférieure se trouve à moins de 0,6</w:t>
      </w:r>
      <w:r>
        <w:rPr>
          <w:szCs w:val="24"/>
        </w:rPr>
        <w:t xml:space="preserve"> m </w:t>
      </w:r>
      <w:r w:rsidRPr="003E5900">
        <w:rPr>
          <w:szCs w:val="24"/>
        </w:rPr>
        <w:t>du sol, l’angle du lâcher doit être modifié de façon à maintenir une hauteur minimale de 0,6</w:t>
      </w:r>
      <w:r>
        <w:rPr>
          <w:szCs w:val="24"/>
        </w:rPr>
        <w:t xml:space="preserve"> m </w:t>
      </w:r>
      <w:r w:rsidRPr="003E5900">
        <w:rPr>
          <w:szCs w:val="24"/>
        </w:rPr>
        <w:t>et un centre de gravité de 1,8</w:t>
      </w:r>
      <w:r>
        <w:rPr>
          <w:szCs w:val="24"/>
        </w:rPr>
        <w:t> m.</w:t>
      </w:r>
    </w:p>
    <w:p w:rsidR="00E92373" w:rsidRPr="00EB6211" w:rsidRDefault="00E92373" w:rsidP="00E92373">
      <w:pPr>
        <w:pStyle w:val="SingleTxtG"/>
        <w:ind w:left="2268"/>
        <w:rPr>
          <w:b/>
          <w:szCs w:val="24"/>
        </w:rPr>
      </w:pPr>
      <w:r w:rsidRPr="00753CE5">
        <w:rPr>
          <w:b/>
          <w:szCs w:val="24"/>
          <w:lang w:val="en-GB"/>
        </w:rPr>
        <w:tab/>
      </w:r>
      <w:r w:rsidRPr="00EB6211">
        <w:rPr>
          <w:b/>
          <w:szCs w:val="24"/>
        </w:rPr>
        <w:t xml:space="preserve">Les bouteilles doivent pouvoir rebondir sur le </w:t>
      </w:r>
      <w:r>
        <w:rPr>
          <w:b/>
          <w:szCs w:val="24"/>
        </w:rPr>
        <w:t xml:space="preserve">plancher ou le socle en </w:t>
      </w:r>
      <w:r w:rsidRPr="00EB6211">
        <w:rPr>
          <w:b/>
          <w:szCs w:val="24"/>
        </w:rPr>
        <w:t>béton</w:t>
      </w:r>
      <w:r>
        <w:rPr>
          <w:b/>
          <w:szCs w:val="24"/>
        </w:rPr>
        <w:t xml:space="preserve"> après le choc initial. </w:t>
      </w:r>
      <w:r w:rsidRPr="00EB6211">
        <w:rPr>
          <w:b/>
          <w:szCs w:val="24"/>
        </w:rPr>
        <w:t xml:space="preserve">Aucune mesure ne doit être prise pour empêcher les </w:t>
      </w:r>
      <w:r>
        <w:rPr>
          <w:b/>
          <w:szCs w:val="24"/>
        </w:rPr>
        <w:t xml:space="preserve">bouteilles </w:t>
      </w:r>
      <w:r w:rsidRPr="00EB6211">
        <w:rPr>
          <w:b/>
          <w:szCs w:val="24"/>
        </w:rPr>
        <w:t>de rebondir, mais on peut les empêcher de se renverser lors de l’essai de chute verticale décrit ci-dessus</w:t>
      </w:r>
      <w:r>
        <w:rPr>
          <w:b/>
          <w:szCs w:val="24"/>
        </w:rPr>
        <w:t>.</w:t>
      </w:r>
    </w:p>
    <w:p w:rsidR="00E92373" w:rsidRPr="00353F91" w:rsidRDefault="00E92373" w:rsidP="00E92373">
      <w:pPr>
        <w:pStyle w:val="SingleTxtG"/>
        <w:ind w:left="2268"/>
        <w:rPr>
          <w:szCs w:val="24"/>
        </w:rPr>
      </w:pPr>
      <w:r w:rsidRPr="005F5631">
        <w:rPr>
          <w:szCs w:val="24"/>
        </w:rPr>
        <w:tab/>
      </w:r>
      <w:r w:rsidRPr="00EB6211">
        <w:rPr>
          <w:szCs w:val="24"/>
        </w:rPr>
        <w:t>Après le choc dû à la chute, les bouteilles doivent être soumises à un cyclage entre une pression de 2</w:t>
      </w:r>
      <w:r>
        <w:rPr>
          <w:szCs w:val="24"/>
        </w:rPr>
        <w:t> MPa</w:t>
      </w:r>
      <w:r w:rsidRPr="00EB6211">
        <w:rPr>
          <w:szCs w:val="24"/>
        </w:rPr>
        <w:t xml:space="preserve"> au plus et </w:t>
      </w:r>
      <w:r w:rsidRPr="00B01C4C">
        <w:rPr>
          <w:b/>
          <w:szCs w:val="24"/>
        </w:rPr>
        <w:t>1,3 fois la pression maximale de fonctionnement</w:t>
      </w:r>
      <w:r>
        <w:rPr>
          <w:b/>
          <w:szCs w:val="24"/>
        </w:rPr>
        <w:t xml:space="preserve"> à température ambiante </w:t>
      </w:r>
      <w:r w:rsidRPr="00EB6211">
        <w:rPr>
          <w:szCs w:val="24"/>
        </w:rPr>
        <w:t>au moins, 1</w:t>
      </w:r>
      <w:r>
        <w:rPr>
          <w:szCs w:val="24"/>
        </w:rPr>
        <w:t> </w:t>
      </w:r>
      <w:r w:rsidRPr="00EB6211">
        <w:rPr>
          <w:szCs w:val="24"/>
        </w:rPr>
        <w:t xml:space="preserve">000 fois par année de service spécifiée. Les bouteilles </w:t>
      </w:r>
      <w:r w:rsidRPr="00353F91">
        <w:rPr>
          <w:b/>
          <w:szCs w:val="24"/>
        </w:rPr>
        <w:t>ne doivent ni</w:t>
      </w:r>
      <w:r>
        <w:rPr>
          <w:szCs w:val="24"/>
        </w:rPr>
        <w:t xml:space="preserve"> </w:t>
      </w:r>
      <w:r w:rsidRPr="00EB6211">
        <w:rPr>
          <w:szCs w:val="24"/>
        </w:rPr>
        <w:t xml:space="preserve">fuir </w:t>
      </w:r>
      <w:r w:rsidRPr="00353F91">
        <w:rPr>
          <w:b/>
          <w:szCs w:val="24"/>
        </w:rPr>
        <w:t>ni</w:t>
      </w:r>
      <w:r>
        <w:rPr>
          <w:szCs w:val="24"/>
        </w:rPr>
        <w:t xml:space="preserve"> se </w:t>
      </w:r>
      <w:r w:rsidRPr="00EB6211">
        <w:rPr>
          <w:szCs w:val="24"/>
        </w:rPr>
        <w:t>rompre</w:t>
      </w:r>
      <w:r>
        <w:rPr>
          <w:szCs w:val="24"/>
        </w:rPr>
        <w:t xml:space="preserve"> </w:t>
      </w:r>
      <w:r w:rsidRPr="00250FC8">
        <w:rPr>
          <w:b/>
          <w:szCs w:val="24"/>
        </w:rPr>
        <w:t>au cours des 3</w:t>
      </w:r>
      <w:r>
        <w:rPr>
          <w:b/>
          <w:szCs w:val="24"/>
        </w:rPr>
        <w:t> </w:t>
      </w:r>
      <w:r w:rsidRPr="00250FC8">
        <w:rPr>
          <w:b/>
          <w:szCs w:val="24"/>
        </w:rPr>
        <w:t xml:space="preserve">000 premiers cycles mais elles peuvent </w:t>
      </w:r>
      <w:r w:rsidR="00673958">
        <w:rPr>
          <w:b/>
          <w:szCs w:val="24"/>
        </w:rPr>
        <w:t>présenter une</w:t>
      </w:r>
      <w:r w:rsidRPr="00250FC8">
        <w:rPr>
          <w:b/>
          <w:szCs w:val="24"/>
        </w:rPr>
        <w:t xml:space="preserve"> fuite pendant leur durée de vie ultérieure exprimée en années multipliée par 1</w:t>
      </w:r>
      <w:r>
        <w:rPr>
          <w:b/>
          <w:szCs w:val="24"/>
        </w:rPr>
        <w:t> </w:t>
      </w:r>
      <w:r w:rsidRPr="00250FC8">
        <w:rPr>
          <w:b/>
          <w:szCs w:val="24"/>
        </w:rPr>
        <w:t>000 cycles (moins les 3</w:t>
      </w:r>
      <w:r>
        <w:rPr>
          <w:b/>
          <w:szCs w:val="24"/>
        </w:rPr>
        <w:t> </w:t>
      </w:r>
      <w:r w:rsidRPr="00250FC8">
        <w:rPr>
          <w:b/>
          <w:szCs w:val="24"/>
        </w:rPr>
        <w:t>000 cycles déjà accomplis).</w:t>
      </w:r>
      <w:r w:rsidRPr="00250FC8">
        <w:rPr>
          <w:szCs w:val="24"/>
        </w:rPr>
        <w:t xml:space="preserve"> </w:t>
      </w:r>
      <w:r w:rsidRPr="00353F91">
        <w:rPr>
          <w:szCs w:val="24"/>
        </w:rPr>
        <w:t>Toutes les bouteilles soumises à l’essai de cyclage doivent être détruites.</w:t>
      </w:r>
    </w:p>
    <w:p w:rsidR="00E92373" w:rsidRPr="005F5631" w:rsidRDefault="00E92373" w:rsidP="00E92373">
      <w:pPr>
        <w:pStyle w:val="SingleTxtG"/>
        <w:ind w:left="2268" w:hanging="1134"/>
        <w:rPr>
          <w:szCs w:val="24"/>
        </w:rPr>
      </w:pPr>
      <w:r w:rsidRPr="005F5631">
        <w:rPr>
          <w:szCs w:val="24"/>
        </w:rPr>
        <w:t>A.21</w:t>
      </w:r>
      <w:r w:rsidRPr="005F5631">
        <w:rPr>
          <w:szCs w:val="24"/>
        </w:rPr>
        <w:tab/>
        <w:t>Essai de perméabilité</w:t>
      </w:r>
    </w:p>
    <w:p w:rsidR="00E92373" w:rsidRPr="0069786E" w:rsidRDefault="00E92373" w:rsidP="00E92373">
      <w:pPr>
        <w:pStyle w:val="SingleTxtG"/>
        <w:ind w:left="2268"/>
        <w:rPr>
          <w:spacing w:val="-2"/>
          <w:szCs w:val="24"/>
        </w:rPr>
      </w:pPr>
      <w:r w:rsidRPr="0069786E">
        <w:rPr>
          <w:spacing w:val="-2"/>
          <w:szCs w:val="24"/>
        </w:rPr>
        <w:tab/>
        <w:t xml:space="preserve">Cet essai n’est requis que pour les bouteilles de type GNC-4. Une bouteille finie doit être remplie avec du gaz naturel comprimé à la pression de service, placée dans une chambre fermée et scellée à température ambiante, et surveillée. La surveillance doit se faire pendant </w:t>
      </w:r>
      <w:r w:rsidRPr="0069786E">
        <w:rPr>
          <w:b/>
          <w:spacing w:val="-2"/>
          <w:szCs w:val="24"/>
        </w:rPr>
        <w:t xml:space="preserve">500 h </w:t>
      </w:r>
      <w:r w:rsidR="00673958">
        <w:rPr>
          <w:b/>
          <w:spacing w:val="-2"/>
          <w:szCs w:val="24"/>
        </w:rPr>
        <w:t xml:space="preserve">au maximum </w:t>
      </w:r>
      <w:r w:rsidRPr="0069786E">
        <w:rPr>
          <w:spacing w:val="-2"/>
          <w:szCs w:val="24"/>
        </w:rPr>
        <w:t>pour établir éventuellement un taux d’infiltration stable. Celui-ci doit être inférieur à 0,25 ml de gaz naturel par heure par litre (contenance en eau) de la bouteille.</w:t>
      </w:r>
    </w:p>
    <w:p w:rsidR="00E92373" w:rsidRPr="00BE5487" w:rsidRDefault="00E92373" w:rsidP="00E92373">
      <w:pPr>
        <w:pStyle w:val="SingleTxtG"/>
        <w:ind w:left="2268" w:hanging="1134"/>
        <w:rPr>
          <w:szCs w:val="24"/>
        </w:rPr>
      </w:pPr>
      <w:r w:rsidRPr="005F5631">
        <w:rPr>
          <w:szCs w:val="24"/>
        </w:rPr>
        <w:t>A.22</w:t>
      </w:r>
      <w:r w:rsidRPr="005F5631">
        <w:rPr>
          <w:szCs w:val="24"/>
        </w:rPr>
        <w:tab/>
        <w:t>Propriétés en traction des plastiques</w:t>
      </w:r>
      <w:r w:rsidRPr="00BE5487">
        <w:rPr>
          <w:szCs w:val="24"/>
        </w:rPr>
        <w:t xml:space="preserve"> </w:t>
      </w:r>
    </w:p>
    <w:p w:rsidR="00E92373" w:rsidRDefault="00E92373" w:rsidP="00E92373">
      <w:pPr>
        <w:pStyle w:val="SingleTxtG"/>
        <w:ind w:left="2268"/>
        <w:rPr>
          <w:szCs w:val="24"/>
        </w:rPr>
      </w:pPr>
      <w:r w:rsidRPr="00BE5487">
        <w:rPr>
          <w:szCs w:val="24"/>
        </w:rPr>
        <w:tab/>
        <w:t>La limite apparente d’élasticité et l’allongement à la rupture du matériau des liners en plastique doivent être déterminés à -50</w:t>
      </w:r>
      <w:r>
        <w:rPr>
          <w:szCs w:val="24"/>
        </w:rPr>
        <w:t> °C</w:t>
      </w:r>
      <w:r w:rsidRPr="00BE5487">
        <w:rPr>
          <w:szCs w:val="24"/>
        </w:rPr>
        <w:t xml:space="preserve"> en appliquant la norme ISO </w:t>
      </w:r>
      <w:r w:rsidRPr="00BE5487">
        <w:rPr>
          <w:b/>
          <w:szCs w:val="24"/>
        </w:rPr>
        <w:t>527-2</w:t>
      </w:r>
      <w:r w:rsidRPr="00BE5487">
        <w:rPr>
          <w:szCs w:val="24"/>
        </w:rPr>
        <w:t xml:space="preserve"> </w:t>
      </w:r>
      <w:r w:rsidR="00673958">
        <w:rPr>
          <w:szCs w:val="24"/>
        </w:rPr>
        <w:t>e</w:t>
      </w:r>
      <w:r w:rsidRPr="00BE5487">
        <w:rPr>
          <w:szCs w:val="24"/>
        </w:rPr>
        <w:t>t doivent satisfaire aux prescriptions du paragraphe 6.3.6 de l’annexe 3A.</w:t>
      </w:r>
    </w:p>
    <w:p w:rsidR="00E92373" w:rsidRPr="00753CE5" w:rsidRDefault="00E92373" w:rsidP="00E92373">
      <w:pPr>
        <w:pStyle w:val="SingleTxtG"/>
        <w:ind w:left="2268" w:hanging="1134"/>
        <w:rPr>
          <w:szCs w:val="24"/>
          <w:lang w:val="en-GB"/>
        </w:rPr>
      </w:pPr>
      <w:r w:rsidRPr="00753CE5">
        <w:rPr>
          <w:szCs w:val="24"/>
          <w:lang w:val="en-GB"/>
        </w:rPr>
        <w:t>A.23</w:t>
      </w:r>
      <w:r w:rsidRPr="00753CE5">
        <w:rPr>
          <w:szCs w:val="24"/>
          <w:lang w:val="en-GB"/>
        </w:rPr>
        <w:tab/>
      </w:r>
      <w:r w:rsidRPr="00FD163B">
        <w:rPr>
          <w:szCs w:val="24"/>
          <w:lang w:val="en-GB"/>
        </w:rPr>
        <w:t xml:space="preserve">Température de </w:t>
      </w:r>
      <w:r w:rsidRPr="00FD163B">
        <w:rPr>
          <w:b/>
          <w:szCs w:val="24"/>
          <w:lang w:val="en-GB"/>
        </w:rPr>
        <w:t>ramollissement</w:t>
      </w:r>
      <w:r>
        <w:rPr>
          <w:szCs w:val="24"/>
          <w:lang w:val="en-GB"/>
        </w:rPr>
        <w:t xml:space="preserve"> </w:t>
      </w:r>
      <w:r w:rsidRPr="00FD163B">
        <w:rPr>
          <w:szCs w:val="24"/>
          <w:lang w:val="en-GB"/>
        </w:rPr>
        <w:t>des plastiques</w:t>
      </w:r>
      <w:r>
        <w:rPr>
          <w:szCs w:val="24"/>
          <w:lang w:val="en-GB"/>
        </w:rPr>
        <w:t xml:space="preserve"> </w:t>
      </w:r>
    </w:p>
    <w:p w:rsidR="00E92373" w:rsidRPr="00FD163B" w:rsidRDefault="00E92373" w:rsidP="00E92373">
      <w:pPr>
        <w:pStyle w:val="SingleTxtG"/>
        <w:ind w:left="2268"/>
        <w:rPr>
          <w:szCs w:val="24"/>
        </w:rPr>
      </w:pPr>
      <w:r w:rsidRPr="00753CE5">
        <w:rPr>
          <w:szCs w:val="24"/>
          <w:lang w:val="en-GB"/>
        </w:rPr>
        <w:tab/>
      </w:r>
      <w:r w:rsidRPr="00FD163B">
        <w:rPr>
          <w:szCs w:val="24"/>
        </w:rPr>
        <w:t>Les polymères provenant des liners finis doivent faire l’objet d’essais conformément à la méthode décrite dans la norme ISO 306</w:t>
      </w:r>
      <w:r>
        <w:rPr>
          <w:szCs w:val="24"/>
        </w:rPr>
        <w:t xml:space="preserve">. </w:t>
      </w:r>
      <w:r w:rsidRPr="00FD163B">
        <w:rPr>
          <w:b/>
          <w:szCs w:val="24"/>
        </w:rPr>
        <w:t xml:space="preserve">La température de ramollissement doit être </w:t>
      </w:r>
      <w:r>
        <w:rPr>
          <w:b/>
          <w:szCs w:val="24"/>
        </w:rPr>
        <w:t>d</w:t>
      </w:r>
      <w:r w:rsidRPr="005F5631">
        <w:rPr>
          <w:b/>
          <w:szCs w:val="24"/>
        </w:rPr>
        <w:t>’</w:t>
      </w:r>
      <w:r w:rsidRPr="00FD163B">
        <w:rPr>
          <w:b/>
          <w:szCs w:val="24"/>
        </w:rPr>
        <w:t xml:space="preserve">au </w:t>
      </w:r>
      <w:r>
        <w:rPr>
          <w:b/>
          <w:szCs w:val="24"/>
        </w:rPr>
        <w:t>moins</w:t>
      </w:r>
      <w:r w:rsidRPr="00FD163B">
        <w:rPr>
          <w:b/>
          <w:szCs w:val="24"/>
        </w:rPr>
        <w:t xml:space="preserve"> 100</w:t>
      </w:r>
      <w:r>
        <w:rPr>
          <w:b/>
          <w:szCs w:val="24"/>
        </w:rPr>
        <w:t> °C</w:t>
      </w:r>
      <w:r w:rsidR="00673958">
        <w:rPr>
          <w:szCs w:val="24"/>
        </w:rPr>
        <w:t> </w:t>
      </w:r>
      <w:r>
        <w:rPr>
          <w:szCs w:val="24"/>
        </w:rPr>
        <w:t>».</w:t>
      </w:r>
    </w:p>
    <w:p w:rsidR="00E92373" w:rsidRPr="00FD163B" w:rsidRDefault="00E92373" w:rsidP="00E92373">
      <w:pPr>
        <w:pStyle w:val="SingleTxtG"/>
        <w:ind w:left="2268" w:hanging="1134"/>
        <w:rPr>
          <w:strike/>
          <w:szCs w:val="24"/>
        </w:rPr>
      </w:pPr>
      <w:r w:rsidRPr="00FD163B">
        <w:rPr>
          <w:szCs w:val="24"/>
        </w:rPr>
        <w:t>A.24</w:t>
      </w:r>
      <w:r w:rsidRPr="00FD163B">
        <w:rPr>
          <w:szCs w:val="24"/>
        </w:rPr>
        <w:tab/>
        <w:t>Prescriptions relatives aux dispositifs de surpression</w:t>
      </w:r>
      <w:r w:rsidR="00673958">
        <w:rPr>
          <w:szCs w:val="24"/>
        </w:rPr>
        <w:t>. Les dispositifs de surpression</w:t>
      </w:r>
      <w:r>
        <w:rPr>
          <w:szCs w:val="24"/>
        </w:rPr>
        <w:t xml:space="preserve"> </w:t>
      </w:r>
      <w:r w:rsidRPr="00FD163B">
        <w:rPr>
          <w:b/>
          <w:szCs w:val="24"/>
        </w:rPr>
        <w:t>doivent satisfaire aux prescriptions de la norme ISO 15500</w:t>
      </w:r>
      <w:r w:rsidR="00673958">
        <w:rPr>
          <w:b/>
          <w:szCs w:val="24"/>
        </w:rPr>
        <w:noBreakHyphen/>
      </w:r>
      <w:r w:rsidRPr="00FD163B">
        <w:rPr>
          <w:b/>
          <w:szCs w:val="24"/>
        </w:rPr>
        <w:t>13</w:t>
      </w:r>
      <w:r w:rsidRPr="00FD163B">
        <w:rPr>
          <w:szCs w:val="24"/>
        </w:rPr>
        <w:t>.</w:t>
      </w:r>
    </w:p>
    <w:p w:rsidR="00E92373" w:rsidRDefault="00E92373" w:rsidP="00E92373">
      <w:pPr>
        <w:pStyle w:val="SingleTxtG"/>
        <w:ind w:left="2268" w:hanging="1134"/>
        <w:rPr>
          <w:szCs w:val="24"/>
        </w:rPr>
      </w:pPr>
      <w:r w:rsidRPr="00FD163B">
        <w:rPr>
          <w:szCs w:val="24"/>
        </w:rPr>
        <w:t>A.</w:t>
      </w:r>
      <w:r w:rsidR="00673958">
        <w:rPr>
          <w:szCs w:val="24"/>
        </w:rPr>
        <w:t>25</w:t>
      </w:r>
      <w:r w:rsidR="00673958">
        <w:rPr>
          <w:szCs w:val="24"/>
        </w:rPr>
        <w:tab/>
        <w:t>Essai de torsion sur l’ogive</w:t>
      </w:r>
    </w:p>
    <w:p w:rsidR="00E92373" w:rsidRDefault="00E92373" w:rsidP="00E92373">
      <w:pPr>
        <w:pStyle w:val="SingleTxtG"/>
        <w:ind w:left="2268"/>
        <w:rPr>
          <w:szCs w:val="24"/>
        </w:rPr>
      </w:pPr>
      <w:r w:rsidRPr="00FD163B">
        <w:rPr>
          <w:szCs w:val="24"/>
        </w:rPr>
        <w:tab/>
        <w:t xml:space="preserve">Le corps d’une bouteille doit être retenu contre toute rotation et un couple de </w:t>
      </w:r>
      <w:r w:rsidRPr="00FD163B">
        <w:rPr>
          <w:b/>
          <w:szCs w:val="24"/>
        </w:rPr>
        <w:t>150</w:t>
      </w:r>
      <w:r>
        <w:rPr>
          <w:b/>
          <w:szCs w:val="24"/>
        </w:rPr>
        <w:t> %</w:t>
      </w:r>
      <w:r w:rsidRPr="00FD163B">
        <w:rPr>
          <w:b/>
          <w:szCs w:val="24"/>
        </w:rPr>
        <w:t xml:space="preserve"> d</w:t>
      </w:r>
      <w:r>
        <w:rPr>
          <w:b/>
          <w:szCs w:val="24"/>
        </w:rPr>
        <w:t xml:space="preserve">u </w:t>
      </w:r>
      <w:r w:rsidRPr="007629A7">
        <w:rPr>
          <w:b/>
          <w:szCs w:val="24"/>
        </w:rPr>
        <w:t>couple recommandé</w:t>
      </w:r>
      <w:r>
        <w:rPr>
          <w:b/>
          <w:szCs w:val="24"/>
        </w:rPr>
        <w:t xml:space="preserve"> </w:t>
      </w:r>
      <w:r w:rsidRPr="007629A7">
        <w:rPr>
          <w:b/>
          <w:szCs w:val="24"/>
        </w:rPr>
        <w:t xml:space="preserve">par le fabricant </w:t>
      </w:r>
      <w:r w:rsidRPr="00FD163B">
        <w:rPr>
          <w:szCs w:val="24"/>
        </w:rPr>
        <w:t>doit être appliqué à chaque extrémité de la bouteille, tout d’abord dans le sens de vissage de la connexion filetée, puis dans l’autre sens et finalement de nouveau dans le sens de vissage.</w:t>
      </w:r>
    </w:p>
    <w:p w:rsidR="00E92373" w:rsidRPr="007629A7" w:rsidRDefault="00E92373" w:rsidP="00E92373">
      <w:pPr>
        <w:pStyle w:val="SingleTxtG"/>
        <w:ind w:left="2268" w:hanging="1134"/>
        <w:rPr>
          <w:szCs w:val="24"/>
        </w:rPr>
      </w:pPr>
      <w:r w:rsidRPr="007629A7">
        <w:rPr>
          <w:szCs w:val="24"/>
        </w:rPr>
        <w:t>A.26</w:t>
      </w:r>
      <w:r w:rsidRPr="007629A7">
        <w:rPr>
          <w:szCs w:val="24"/>
        </w:rPr>
        <w:tab/>
        <w:t>Résistance au cisaillement de la résine</w:t>
      </w:r>
    </w:p>
    <w:p w:rsidR="00E92373" w:rsidRDefault="00E92373" w:rsidP="00E92373">
      <w:pPr>
        <w:pStyle w:val="SingleTxtG"/>
        <w:ind w:left="2268"/>
        <w:rPr>
          <w:szCs w:val="24"/>
        </w:rPr>
      </w:pPr>
      <w:r w:rsidRPr="007629A7">
        <w:rPr>
          <w:szCs w:val="24"/>
        </w:rPr>
        <w:tab/>
        <w:t xml:space="preserve">Les résines doivent faire l’objet d’un essai sur un coupon représentatif du bobinage conformément à la norme </w:t>
      </w:r>
      <w:r w:rsidRPr="007629A7">
        <w:rPr>
          <w:b/>
          <w:szCs w:val="24"/>
        </w:rPr>
        <w:t xml:space="preserve">ISO 14130 </w:t>
      </w:r>
      <w:r w:rsidRPr="007629A7">
        <w:rPr>
          <w:szCs w:val="24"/>
        </w:rPr>
        <w:t>ou à une forme nationale équivalente. Après avoir bouilli dans de l’eau pendant 24</w:t>
      </w:r>
      <w:r>
        <w:rPr>
          <w:szCs w:val="24"/>
        </w:rPr>
        <w:t> h,</w:t>
      </w:r>
      <w:r w:rsidRPr="007629A7">
        <w:rPr>
          <w:szCs w:val="24"/>
        </w:rPr>
        <w:t xml:space="preserve"> le composite doit avoir une résistance minimale au cisaillement de 13,8</w:t>
      </w:r>
      <w:r>
        <w:rPr>
          <w:szCs w:val="24"/>
        </w:rPr>
        <w:t> MPa</w:t>
      </w:r>
      <w:r w:rsidRPr="007629A7">
        <w:rPr>
          <w:szCs w:val="24"/>
        </w:rPr>
        <w:t>.</w:t>
      </w:r>
    </w:p>
    <w:p w:rsidR="00E92373" w:rsidRPr="007629A7" w:rsidRDefault="00E92373" w:rsidP="00E92373">
      <w:pPr>
        <w:pStyle w:val="SingleTxtG"/>
        <w:ind w:left="2268" w:hanging="1134"/>
        <w:rPr>
          <w:szCs w:val="24"/>
        </w:rPr>
      </w:pPr>
      <w:r w:rsidRPr="007629A7">
        <w:rPr>
          <w:szCs w:val="24"/>
        </w:rPr>
        <w:t>A.27</w:t>
      </w:r>
      <w:r w:rsidRPr="007629A7">
        <w:rPr>
          <w:szCs w:val="24"/>
        </w:rPr>
        <w:tab/>
        <w:t>Essai de cyclage au gaz naturel</w:t>
      </w:r>
    </w:p>
    <w:p w:rsidR="00E92373" w:rsidRPr="00013AA2" w:rsidRDefault="00E92373" w:rsidP="00E92373">
      <w:pPr>
        <w:pStyle w:val="SingleTxtG"/>
        <w:ind w:left="2268"/>
        <w:rPr>
          <w:szCs w:val="24"/>
        </w:rPr>
      </w:pPr>
      <w:r w:rsidRPr="007629A7">
        <w:rPr>
          <w:szCs w:val="24"/>
        </w:rPr>
        <w:tab/>
      </w:r>
      <w:r w:rsidRPr="00013AA2">
        <w:rPr>
          <w:szCs w:val="24"/>
        </w:rPr>
        <w:t>Une bouteille finie doit être cyclée en pression avec du gaz naturel comprimé entre moins de 2</w:t>
      </w:r>
      <w:r>
        <w:rPr>
          <w:szCs w:val="24"/>
        </w:rPr>
        <w:t> MPa</w:t>
      </w:r>
      <w:r w:rsidRPr="00013AA2">
        <w:rPr>
          <w:szCs w:val="24"/>
        </w:rPr>
        <w:t xml:space="preserve"> et la pression maximale de fonctionnement pendant </w:t>
      </w:r>
      <w:r w:rsidRPr="00013AA2">
        <w:rPr>
          <w:b/>
          <w:szCs w:val="24"/>
        </w:rPr>
        <w:t>1</w:t>
      </w:r>
      <w:r>
        <w:rPr>
          <w:b/>
          <w:szCs w:val="24"/>
        </w:rPr>
        <w:t> </w:t>
      </w:r>
      <w:r w:rsidRPr="00013AA2">
        <w:rPr>
          <w:b/>
          <w:szCs w:val="24"/>
        </w:rPr>
        <w:t>000</w:t>
      </w:r>
      <w:r>
        <w:rPr>
          <w:szCs w:val="24"/>
        </w:rPr>
        <w:t xml:space="preserve"> </w:t>
      </w:r>
      <w:r w:rsidRPr="00013AA2">
        <w:rPr>
          <w:szCs w:val="24"/>
        </w:rPr>
        <w:t>cycles. Chaque cycle, qui consiste à …</w:t>
      </w:r>
    </w:p>
    <w:p w:rsidR="00E92373" w:rsidRPr="00013AA2" w:rsidRDefault="00E92373" w:rsidP="00E92373">
      <w:pPr>
        <w:pStyle w:val="SingleTxtG"/>
        <w:ind w:left="2268"/>
        <w:rPr>
          <w:szCs w:val="24"/>
        </w:rPr>
      </w:pPr>
      <w:r w:rsidRPr="00013AA2">
        <w:rPr>
          <w:i/>
          <w:szCs w:val="24"/>
        </w:rPr>
        <w:tab/>
        <w:t>…</w:t>
      </w:r>
      <w:r>
        <w:rPr>
          <w:szCs w:val="24"/>
        </w:rPr>
        <w:t> »</w:t>
      </w:r>
      <w:r w:rsidRPr="00013AA2">
        <w:rPr>
          <w:szCs w:val="24"/>
        </w:rPr>
        <w:t>.</w:t>
      </w:r>
    </w:p>
    <w:p w:rsidR="00E92373" w:rsidRPr="00013AA2" w:rsidRDefault="00E92373" w:rsidP="00E92373">
      <w:pPr>
        <w:pStyle w:val="SingleTxtG"/>
      </w:pPr>
      <w:r w:rsidRPr="003E018C">
        <w:rPr>
          <w:i/>
        </w:rPr>
        <w:t xml:space="preserve">Annexe 3A </w:t>
      </w:r>
      <w:r>
        <w:rPr>
          <w:i/>
        </w:rPr>
        <w:t>−</w:t>
      </w:r>
      <w:r w:rsidRPr="003E018C">
        <w:rPr>
          <w:i/>
        </w:rPr>
        <w:t xml:space="preserve"> appendice F</w:t>
      </w:r>
      <w:r w:rsidRPr="00013AA2">
        <w:t>, remplacer par</w:t>
      </w:r>
      <w:r>
        <w:t> :</w:t>
      </w:r>
    </w:p>
    <w:p w:rsidR="00E92373" w:rsidRPr="00413763" w:rsidRDefault="00E92373" w:rsidP="00E92373">
      <w:pPr>
        <w:pStyle w:val="HChG"/>
      </w:pPr>
      <w:r w:rsidRPr="003E018C">
        <w:rPr>
          <w:b w:val="0"/>
          <w:sz w:val="20"/>
        </w:rPr>
        <w:t>«</w:t>
      </w:r>
      <w:r w:rsidRPr="003E018C">
        <w:rPr>
          <w:sz w:val="20"/>
        </w:rPr>
        <w:t> </w:t>
      </w:r>
      <w:r w:rsidRPr="00413763">
        <w:t xml:space="preserve">Annexe 3A </w:t>
      </w:r>
      <w:r>
        <w:t>−</w:t>
      </w:r>
      <w:r w:rsidRPr="00413763">
        <w:t xml:space="preserve"> </w:t>
      </w:r>
      <w:r>
        <w:t>A</w:t>
      </w:r>
      <w:r w:rsidRPr="00413763">
        <w:t>ppendice F</w:t>
      </w:r>
    </w:p>
    <w:p w:rsidR="00E92373" w:rsidRPr="00673958" w:rsidRDefault="00E92373" w:rsidP="00E92373">
      <w:pPr>
        <w:pStyle w:val="HChG"/>
        <w:rPr>
          <w:b w:val="0"/>
        </w:rPr>
      </w:pPr>
      <w:r w:rsidRPr="00413763">
        <w:tab/>
      </w:r>
      <w:r w:rsidRPr="00413763">
        <w:tab/>
      </w:r>
      <w:r>
        <w:t>D</w:t>
      </w:r>
      <w:r w:rsidRPr="00413763">
        <w:t>imensions des défauts pour le contrôle non destructi</w:t>
      </w:r>
      <w:r>
        <w:t>f</w:t>
      </w:r>
      <w:r w:rsidR="00673958" w:rsidRPr="007030EA">
        <w:t xml:space="preserve"> (CND)</w:t>
      </w:r>
    </w:p>
    <w:p w:rsidR="00E92373" w:rsidRDefault="00E92373" w:rsidP="00E92373">
      <w:pPr>
        <w:pStyle w:val="SingleTxtG"/>
      </w:pPr>
      <w:r w:rsidRPr="00013AA2">
        <w:t>Pour les bouteilles de type GNC-1, GNC-2 et GNC-3, trois bouteilles présentant des entailles artificielles dépassant la capacité de détection de longueur et de profondeur de la méthode d’inspection CND requise au paragraphe 6.15 de l’annexe 3</w:t>
      </w:r>
      <w:r>
        <w:t>A</w:t>
      </w:r>
      <w:r w:rsidRPr="00013AA2">
        <w:t xml:space="preserve"> doivent être cyclées en pression jusqu’à rupture conformément à la méthode d’essai prévue au paragraphe 13 de l’appendice A à la présente annexe.</w:t>
      </w:r>
      <w:r>
        <w:t xml:space="preserve"> </w:t>
      </w:r>
      <w:r w:rsidRPr="00013AA2">
        <w:t>Pour les bouteilles de type GNC-1 ayant un emplacement sensible à la fatigue dans la partie cylindrique, les entailles externes doivent être introduites sur la paroi latérale.</w:t>
      </w:r>
      <w:r>
        <w:t xml:space="preserve"> </w:t>
      </w:r>
      <w:r w:rsidRPr="00013AA2">
        <w:t>Pour les bouteilles de type GNC-1 ayant un emplacement sensible à la fatigue à l’extérieur de la paroi latérale et pour les bouteilles de type GNC-2 et GNC-3, des entailles internes doivent être introduites.</w:t>
      </w:r>
      <w:r>
        <w:t xml:space="preserve"> </w:t>
      </w:r>
      <w:r w:rsidRPr="00013AA2">
        <w:t>Les entailles internes peuvent être usinées avant le traitement à chaud et la fermeture de l’extrémité de la bouteille.</w:t>
      </w:r>
    </w:p>
    <w:p w:rsidR="00E92373" w:rsidRPr="00013AA2" w:rsidRDefault="00E92373" w:rsidP="00E92373">
      <w:pPr>
        <w:pStyle w:val="SingleTxtG"/>
      </w:pPr>
      <w:r w:rsidRPr="00013AA2">
        <w:t xml:space="preserve">Les bouteilles ne doivent </w:t>
      </w:r>
      <w:r w:rsidR="00673958">
        <w:t>ni</w:t>
      </w:r>
      <w:r w:rsidRPr="00013AA2">
        <w:t xml:space="preserve"> fuir ni rompre avant 15</w:t>
      </w:r>
      <w:r>
        <w:t> </w:t>
      </w:r>
      <w:r w:rsidRPr="00013AA2">
        <w:t>000 cycles.</w:t>
      </w:r>
      <w:r>
        <w:t xml:space="preserve"> </w:t>
      </w:r>
      <w:r w:rsidRPr="00013AA2">
        <w:t>Les dimensions autorisées d’une entaille pour le CND doivent être inférieures ou égales aux dimensions de l’entaille artificielle à cet emplacement.</w:t>
      </w:r>
      <w:r>
        <w:t> ».</w:t>
      </w:r>
    </w:p>
    <w:p w:rsidR="00E92373" w:rsidRPr="00753CE5" w:rsidRDefault="00E92373" w:rsidP="00E92373">
      <w:pPr>
        <w:pStyle w:val="SingleTxtG"/>
      </w:pPr>
      <w:r w:rsidRPr="003E018C">
        <w:rPr>
          <w:i/>
        </w:rPr>
        <w:t xml:space="preserve">Annexe 3A </w:t>
      </w:r>
      <w:r>
        <w:rPr>
          <w:i/>
        </w:rPr>
        <w:t>−</w:t>
      </w:r>
      <w:r w:rsidRPr="003E018C">
        <w:rPr>
          <w:i/>
        </w:rPr>
        <w:t xml:space="preserve"> appendice H</w:t>
      </w:r>
      <w:r w:rsidRPr="00753CE5">
        <w:t>, modifier comme suit</w:t>
      </w:r>
      <w:r>
        <w:t> :</w:t>
      </w:r>
    </w:p>
    <w:p w:rsidR="00E92373" w:rsidRPr="007E0C46" w:rsidRDefault="00E92373" w:rsidP="00E92373">
      <w:pPr>
        <w:pStyle w:val="HChG"/>
      </w:pPr>
      <w:r w:rsidRPr="003E018C">
        <w:rPr>
          <w:b w:val="0"/>
          <w:sz w:val="20"/>
        </w:rPr>
        <w:t>«</w:t>
      </w:r>
      <w:r>
        <w:rPr>
          <w:b w:val="0"/>
        </w:rPr>
        <w:t> </w:t>
      </w:r>
      <w:r w:rsidRPr="007E0C46">
        <w:t xml:space="preserve">Annexe 3A </w:t>
      </w:r>
      <w:r>
        <w:t>−</w:t>
      </w:r>
      <w:r w:rsidRPr="007E0C46">
        <w:t xml:space="preserve"> </w:t>
      </w:r>
      <w:r>
        <w:t>A</w:t>
      </w:r>
      <w:r w:rsidRPr="007E0C46">
        <w:t>ppendi</w:t>
      </w:r>
      <w:r>
        <w:t>ce</w:t>
      </w:r>
      <w:r w:rsidRPr="007E0C46">
        <w:t xml:space="preserve"> H</w:t>
      </w:r>
    </w:p>
    <w:p w:rsidR="00E92373" w:rsidRPr="00413763" w:rsidRDefault="00E92373" w:rsidP="00E92373">
      <w:pPr>
        <w:pStyle w:val="HChG"/>
      </w:pPr>
      <w:r w:rsidRPr="007E0C46">
        <w:tab/>
      </w:r>
      <w:r w:rsidRPr="007E0C46">
        <w:tab/>
      </w:r>
      <w:r w:rsidRPr="00413763">
        <w:t>Essai d’environnement</w:t>
      </w:r>
    </w:p>
    <w:p w:rsidR="00E92373" w:rsidRPr="00753CE5" w:rsidRDefault="00E92373" w:rsidP="00E92373">
      <w:pPr>
        <w:pStyle w:val="SingleTxtG"/>
        <w:ind w:left="2268" w:hanging="1134"/>
        <w:rPr>
          <w:lang w:val="en-GB"/>
        </w:rPr>
      </w:pPr>
      <w:r w:rsidRPr="00753CE5">
        <w:rPr>
          <w:lang w:val="en-GB"/>
        </w:rPr>
        <w:t>H.1</w:t>
      </w:r>
      <w:r w:rsidRPr="00753CE5">
        <w:rPr>
          <w:lang w:val="en-GB"/>
        </w:rPr>
        <w:tab/>
      </w:r>
      <w:r w:rsidRPr="005F5631">
        <w:rPr>
          <w:lang w:val="en-GB"/>
        </w:rPr>
        <w:t>Objet</w:t>
      </w:r>
    </w:p>
    <w:p w:rsidR="00E92373" w:rsidRPr="00510B51" w:rsidRDefault="00E92373" w:rsidP="00E92373">
      <w:pPr>
        <w:pStyle w:val="SingleTxtG"/>
        <w:ind w:left="2268"/>
        <w:rPr>
          <w:b/>
          <w:strike/>
          <w:szCs w:val="24"/>
        </w:rPr>
      </w:pPr>
      <w:r w:rsidRPr="00510B51">
        <w:rPr>
          <w:b/>
          <w:szCs w:val="24"/>
        </w:rPr>
        <w:t xml:space="preserve">Cet essai </w:t>
      </w:r>
      <w:r>
        <w:rPr>
          <w:b/>
          <w:szCs w:val="24"/>
        </w:rPr>
        <w:t>ne s</w:t>
      </w:r>
      <w:r w:rsidRPr="00510B51">
        <w:rPr>
          <w:b/>
          <w:szCs w:val="24"/>
        </w:rPr>
        <w:t>’</w:t>
      </w:r>
      <w:r>
        <w:rPr>
          <w:b/>
          <w:szCs w:val="24"/>
        </w:rPr>
        <w:t>applique qu</w:t>
      </w:r>
      <w:r w:rsidRPr="00510B51">
        <w:rPr>
          <w:b/>
          <w:szCs w:val="24"/>
        </w:rPr>
        <w:t>’</w:t>
      </w:r>
      <w:r>
        <w:rPr>
          <w:b/>
          <w:szCs w:val="24"/>
        </w:rPr>
        <w:t xml:space="preserve">aux bouteilles de </w:t>
      </w:r>
      <w:r w:rsidRPr="00510B51">
        <w:rPr>
          <w:b/>
          <w:szCs w:val="24"/>
        </w:rPr>
        <w:t>type</w:t>
      </w:r>
      <w:r>
        <w:rPr>
          <w:b/>
          <w:szCs w:val="24"/>
        </w:rPr>
        <w:t>s</w:t>
      </w:r>
      <w:r w:rsidRPr="00510B51">
        <w:rPr>
          <w:b/>
          <w:szCs w:val="24"/>
        </w:rPr>
        <w:t xml:space="preserve"> GNC-2, GNC-3 et</w:t>
      </w:r>
      <w:r w:rsidR="00673958">
        <w:rPr>
          <w:b/>
          <w:szCs w:val="24"/>
        </w:rPr>
        <w:t> </w:t>
      </w:r>
      <w:r w:rsidRPr="00510B51">
        <w:rPr>
          <w:b/>
          <w:szCs w:val="24"/>
        </w:rPr>
        <w:t>GNC-4.</w:t>
      </w:r>
    </w:p>
    <w:p w:rsidR="00E92373" w:rsidRPr="00510B51" w:rsidRDefault="00E92373" w:rsidP="00E92373">
      <w:pPr>
        <w:pStyle w:val="SingleTxtG"/>
        <w:ind w:left="2268" w:hanging="1134"/>
        <w:rPr>
          <w:szCs w:val="24"/>
        </w:rPr>
      </w:pPr>
      <w:r w:rsidRPr="00510B51">
        <w:rPr>
          <w:szCs w:val="24"/>
        </w:rPr>
        <w:t>H.2</w:t>
      </w:r>
      <w:r w:rsidRPr="00510B51">
        <w:rPr>
          <w:szCs w:val="24"/>
        </w:rPr>
        <w:tab/>
        <w:t>Résumé de la méthode d’essai</w:t>
      </w:r>
    </w:p>
    <w:p w:rsidR="00E92373" w:rsidRDefault="00E92373" w:rsidP="00E92373">
      <w:pPr>
        <w:pStyle w:val="SingleTxtG"/>
        <w:ind w:left="2268"/>
        <w:rPr>
          <w:szCs w:val="24"/>
        </w:rPr>
      </w:pPr>
      <w:r w:rsidRPr="00510B51">
        <w:rPr>
          <w:szCs w:val="24"/>
        </w:rPr>
        <w:t>Une bouteille est préconditionnée par de</w:t>
      </w:r>
      <w:r w:rsidRPr="00510B51">
        <w:rPr>
          <w:b/>
          <w:szCs w:val="24"/>
        </w:rPr>
        <w:t>s</w:t>
      </w:r>
      <w:r w:rsidRPr="00510B51">
        <w:rPr>
          <w:szCs w:val="24"/>
        </w:rPr>
        <w:t xml:space="preserve"> chocs dus à un pendule pour simuler les conditions potentielles sous la caisse du véhicule.</w:t>
      </w:r>
      <w:r>
        <w:rPr>
          <w:szCs w:val="24"/>
        </w:rPr>
        <w:t xml:space="preserve"> Elle </w:t>
      </w:r>
      <w:r w:rsidRPr="00510B51">
        <w:rPr>
          <w:szCs w:val="24"/>
        </w:rPr>
        <w:t xml:space="preserve">est ensuite soumise à une </w:t>
      </w:r>
      <w:r w:rsidRPr="00BC55FD">
        <w:rPr>
          <w:b/>
          <w:szCs w:val="24"/>
        </w:rPr>
        <w:t>exposition à d</w:t>
      </w:r>
      <w:r w:rsidR="00673958" w:rsidRPr="00BC55FD">
        <w:rPr>
          <w:b/>
          <w:szCs w:val="24"/>
        </w:rPr>
        <w:t xml:space="preserve">es </w:t>
      </w:r>
      <w:r w:rsidRPr="00BC55FD">
        <w:rPr>
          <w:b/>
          <w:szCs w:val="24"/>
        </w:rPr>
        <w:t xml:space="preserve">liquides, </w:t>
      </w:r>
      <w:r w:rsidRPr="00510B51">
        <w:rPr>
          <w:b/>
          <w:szCs w:val="24"/>
        </w:rPr>
        <w:t>ainsi qu’à des</w:t>
      </w:r>
      <w:r w:rsidRPr="00BC55FD">
        <w:rPr>
          <w:b/>
          <w:szCs w:val="24"/>
        </w:rPr>
        <w:t xml:space="preserve"> cycles de pression</w:t>
      </w:r>
      <w:r w:rsidR="00BC55FD">
        <w:rPr>
          <w:szCs w:val="24"/>
        </w:rPr>
        <w:t>.</w:t>
      </w:r>
      <w:r w:rsidRPr="00510B51">
        <w:rPr>
          <w:szCs w:val="24"/>
        </w:rPr>
        <w:t xml:space="preserve"> À la fin de cette séquence d’essai, la bouteille est mise sous pression hydrostatique jusqu’à destruction.</w:t>
      </w:r>
      <w:r>
        <w:rPr>
          <w:szCs w:val="24"/>
        </w:rPr>
        <w:t xml:space="preserve"> </w:t>
      </w:r>
      <w:r w:rsidRPr="00510B51">
        <w:rPr>
          <w:szCs w:val="24"/>
        </w:rPr>
        <w:t xml:space="preserve">La force d’éclatement résiduelle restante de la bouteille ne doit pas être inférieure à </w:t>
      </w:r>
      <w:r w:rsidRPr="00510B51">
        <w:rPr>
          <w:b/>
          <w:szCs w:val="24"/>
        </w:rPr>
        <w:t>80</w:t>
      </w:r>
      <w:r>
        <w:rPr>
          <w:szCs w:val="24"/>
        </w:rPr>
        <w:t> %</w:t>
      </w:r>
      <w:r w:rsidRPr="00510B51">
        <w:rPr>
          <w:szCs w:val="24"/>
        </w:rPr>
        <w:t xml:space="preserve"> de la force d’éclatement minimale selon la conception.</w:t>
      </w:r>
    </w:p>
    <w:p w:rsidR="00E92373" w:rsidRPr="00510B51" w:rsidRDefault="00E92373" w:rsidP="00E92373">
      <w:pPr>
        <w:pStyle w:val="SingleTxtG"/>
        <w:ind w:left="2268" w:hanging="1134"/>
        <w:rPr>
          <w:szCs w:val="24"/>
        </w:rPr>
      </w:pPr>
      <w:r w:rsidRPr="00510B51">
        <w:rPr>
          <w:szCs w:val="24"/>
        </w:rPr>
        <w:t>H.3</w:t>
      </w:r>
      <w:r w:rsidRPr="00510B51">
        <w:rPr>
          <w:szCs w:val="24"/>
        </w:rPr>
        <w:tab/>
        <w:t>Installation et préparation de la bouteille</w:t>
      </w:r>
    </w:p>
    <w:p w:rsidR="00E92373" w:rsidRDefault="00E92373" w:rsidP="00E92373">
      <w:pPr>
        <w:pStyle w:val="SingleTxtG"/>
        <w:ind w:left="2268"/>
        <w:rPr>
          <w:szCs w:val="24"/>
        </w:rPr>
      </w:pPr>
      <w:r w:rsidRPr="00667E51">
        <w:rPr>
          <w:szCs w:val="24"/>
        </w:rPr>
        <w:t>La bouteille doit faire l’objet d’un essai dans des conditions représentatives de la géométrie installée, y compris le revêtement (s’il y a lieu), les supports et leurs garnitures, ainsi que les raccords, en utilisant la même configuration d’étanchéité (</w:t>
      </w:r>
      <w:r w:rsidR="00BC55FD">
        <w:rPr>
          <w:szCs w:val="24"/>
        </w:rPr>
        <w:t>c’est-à-dire d</w:t>
      </w:r>
      <w:r w:rsidRPr="00667E51">
        <w:rPr>
          <w:szCs w:val="24"/>
        </w:rPr>
        <w:t>es joints toriques) que celle utilisée en service.</w:t>
      </w:r>
      <w:r w:rsidR="00BC55FD">
        <w:rPr>
          <w:szCs w:val="24"/>
        </w:rPr>
        <w:t xml:space="preserve"> Les supports peuvent être peints ou revêtus avant l’essai d’immersion s’ils sont peints ou revêtus avant d’être installés dans le véhicule.</w:t>
      </w:r>
    </w:p>
    <w:p w:rsidR="00E92373" w:rsidRDefault="00E92373" w:rsidP="00E92373">
      <w:pPr>
        <w:pStyle w:val="SingleTxtG"/>
        <w:ind w:left="2268"/>
        <w:rPr>
          <w:szCs w:val="24"/>
        </w:rPr>
      </w:pPr>
      <w:r w:rsidRPr="007E0C46">
        <w:rPr>
          <w:szCs w:val="24"/>
        </w:rPr>
        <w:t>La partie supérieure est divisée en cinq zones distinctes marquées pour le préconditionnement et l’exposition aux liquides</w:t>
      </w:r>
      <w:r w:rsidR="00BC55FD">
        <w:rPr>
          <w:szCs w:val="24"/>
        </w:rPr>
        <w:t xml:space="preserve"> </w:t>
      </w:r>
      <w:r w:rsidR="00BC55FD" w:rsidRPr="00BC55FD">
        <w:rPr>
          <w:b/>
          <w:szCs w:val="24"/>
        </w:rPr>
        <w:t>(voir fig. H.1)</w:t>
      </w:r>
      <w:r w:rsidRPr="007E0C46">
        <w:rPr>
          <w:szCs w:val="24"/>
        </w:rPr>
        <w:t>. Les zones ont théoriquement un diamètre de 100</w:t>
      </w:r>
      <w:r>
        <w:rPr>
          <w:szCs w:val="24"/>
        </w:rPr>
        <w:t> mm</w:t>
      </w:r>
      <w:r w:rsidRPr="007E0C46">
        <w:rPr>
          <w:szCs w:val="24"/>
        </w:rPr>
        <w:t>. Elles ne doivent pas se chevaucher sur la surface du cylindre. Même si cela est plus commode pour les essais, il n’est pas nécessaire que ces zones soient alignées</w:t>
      </w:r>
      <w:r>
        <w:rPr>
          <w:szCs w:val="24"/>
        </w:rPr>
        <w:t> ;</w:t>
      </w:r>
      <w:r w:rsidRPr="007E0C46">
        <w:rPr>
          <w:szCs w:val="24"/>
        </w:rPr>
        <w:t xml:space="preserve"> néanmoins, elles ne doivent pas déborder sur la partie immergée du cylindre.</w:t>
      </w:r>
    </w:p>
    <w:p w:rsidR="00E92373" w:rsidRDefault="00E92373" w:rsidP="00E92373">
      <w:pPr>
        <w:pStyle w:val="SingleTxtG"/>
        <w:ind w:left="2268"/>
        <w:rPr>
          <w:szCs w:val="24"/>
        </w:rPr>
      </w:pPr>
      <w:r w:rsidRPr="007E0C46">
        <w:rPr>
          <w:szCs w:val="24"/>
        </w:rPr>
        <w:t>Même si le préconditionnement et l’exposition aux liquides sont effectués sur la partie cylindrique de la bouteille, l’ensemble de la bouteille, y compris les parties en forme d’ogive, doit être aussi résistant aux environnements d’exposition que les zones exposées.</w:t>
      </w:r>
    </w:p>
    <w:p w:rsidR="00E92373" w:rsidRDefault="00E92373" w:rsidP="00E92373">
      <w:pPr>
        <w:pStyle w:val="Heading1"/>
        <w:spacing w:after="240"/>
        <w:rPr>
          <w:b/>
          <w:szCs w:val="24"/>
        </w:rPr>
      </w:pPr>
      <w:r w:rsidRPr="007E0C46">
        <w:t>Figure H.1</w:t>
      </w:r>
      <w:r>
        <w:t xml:space="preserve"> </w:t>
      </w:r>
      <w:r>
        <w:br/>
      </w:r>
      <w:r w:rsidRPr="007E0C46">
        <w:rPr>
          <w:b/>
          <w:szCs w:val="24"/>
        </w:rPr>
        <w:t>Orientation de la bouteille et disposition des parties exposées</w:t>
      </w:r>
    </w:p>
    <w:p w:rsidR="00255507" w:rsidRDefault="00255507" w:rsidP="00255507">
      <w:pPr>
        <w:pStyle w:val="SingleTxtGR"/>
        <w:jc w:val="center"/>
        <w:rPr>
          <w:lang w:eastAsia="ru-RU"/>
        </w:rPr>
      </w:pPr>
      <w:r w:rsidRPr="00564C65">
        <w:rPr>
          <w:noProof/>
          <w:spacing w:val="0"/>
          <w:w w:val="100"/>
          <w:kern w:val="0"/>
          <w:lang w:val="en-GB" w:eastAsia="en-GB"/>
        </w:rPr>
        <w:drawing>
          <wp:inline distT="0" distB="0" distL="0" distR="0" wp14:anchorId="61F33C3F" wp14:editId="4B5B2EC8">
            <wp:extent cx="3763645" cy="1153160"/>
            <wp:effectExtent l="0" t="0" r="8255" b="889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1153160"/>
                    </a:xfrm>
                    <a:prstGeom prst="rect">
                      <a:avLst/>
                    </a:prstGeom>
                    <a:noFill/>
                    <a:ln>
                      <a:noFill/>
                    </a:ln>
                  </pic:spPr>
                </pic:pic>
              </a:graphicData>
            </a:graphic>
          </wp:inline>
        </w:drawing>
      </w:r>
    </w:p>
    <w:p w:rsidR="00E92373" w:rsidRPr="007E0C46" w:rsidRDefault="00E92373" w:rsidP="00BC55FD">
      <w:pPr>
        <w:pStyle w:val="SingleTxtG"/>
        <w:spacing w:before="240"/>
        <w:ind w:left="2268" w:hanging="1134"/>
        <w:rPr>
          <w:b/>
          <w:szCs w:val="24"/>
        </w:rPr>
      </w:pPr>
      <w:r w:rsidRPr="007E0C46">
        <w:rPr>
          <w:szCs w:val="24"/>
        </w:rPr>
        <w:t>H.4</w:t>
      </w:r>
      <w:r w:rsidRPr="007E0C46">
        <w:rPr>
          <w:szCs w:val="24"/>
        </w:rPr>
        <w:tab/>
      </w:r>
      <w:r w:rsidRPr="007E0C46">
        <w:rPr>
          <w:b/>
          <w:szCs w:val="24"/>
        </w:rPr>
        <w:t>Préconditionnement au</w:t>
      </w:r>
      <w:r>
        <w:rPr>
          <w:szCs w:val="24"/>
        </w:rPr>
        <w:t xml:space="preserve"> </w:t>
      </w:r>
      <w:r w:rsidRPr="007E0C46">
        <w:rPr>
          <w:szCs w:val="24"/>
        </w:rPr>
        <w:t>pendule</w:t>
      </w:r>
    </w:p>
    <w:p w:rsidR="00E92373" w:rsidRDefault="00E92373" w:rsidP="00E92373">
      <w:pPr>
        <w:pStyle w:val="SingleTxtG"/>
        <w:ind w:left="2268"/>
        <w:rPr>
          <w:szCs w:val="24"/>
        </w:rPr>
      </w:pPr>
      <w:r w:rsidRPr="007E0C46">
        <w:rPr>
          <w:szCs w:val="24"/>
        </w:rPr>
        <w:tab/>
        <w:t>Le corps de choc doit être en acier et doit avoir la forme d’une pyramide ayant des faces triangulaires équilatérales et une base carrée, le sommet et les arêtes étant arrondis à un rayon de 3</w:t>
      </w:r>
      <w:r>
        <w:rPr>
          <w:szCs w:val="24"/>
        </w:rPr>
        <w:t> mm</w:t>
      </w:r>
      <w:r w:rsidRPr="007E0C46">
        <w:rPr>
          <w:szCs w:val="24"/>
        </w:rPr>
        <w:t>. Le centre de percussion du pendule doit coïncider avec le centre de gravité de la pyramide</w:t>
      </w:r>
      <w:r>
        <w:rPr>
          <w:szCs w:val="24"/>
        </w:rPr>
        <w:t> ;</w:t>
      </w:r>
      <w:r w:rsidRPr="007E0C46">
        <w:rPr>
          <w:szCs w:val="24"/>
        </w:rPr>
        <w:t xml:space="preserve"> sa distance par rapport à l’axe de rotation du pendule doit être de 1</w:t>
      </w:r>
      <w:r>
        <w:rPr>
          <w:szCs w:val="24"/>
        </w:rPr>
        <w:t> m.</w:t>
      </w:r>
      <w:r w:rsidRPr="007E0C46">
        <w:rPr>
          <w:szCs w:val="24"/>
        </w:rPr>
        <w:t xml:space="preserve"> La masse totale du pendule par rapport à son centre de percussion doit être de 15</w:t>
      </w:r>
      <w:r>
        <w:rPr>
          <w:szCs w:val="24"/>
        </w:rPr>
        <w:t> kg</w:t>
      </w:r>
      <w:r w:rsidRPr="007E0C46">
        <w:rPr>
          <w:szCs w:val="24"/>
        </w:rPr>
        <w:t>. L’énergie du pendule au moment du choc ne doit pas être inférieure à 30</w:t>
      </w:r>
      <w:r>
        <w:rPr>
          <w:szCs w:val="24"/>
        </w:rPr>
        <w:t> Nm</w:t>
      </w:r>
      <w:r w:rsidRPr="007E0C46">
        <w:rPr>
          <w:szCs w:val="24"/>
        </w:rPr>
        <w:t xml:space="preserve"> et doit être aussi proche que possible de cette valeur.</w:t>
      </w:r>
    </w:p>
    <w:p w:rsidR="00E92373" w:rsidRPr="007E0C46" w:rsidRDefault="00E92373" w:rsidP="00E92373">
      <w:pPr>
        <w:pStyle w:val="SingleTxtG"/>
        <w:ind w:left="2268"/>
        <w:rPr>
          <w:b/>
          <w:szCs w:val="24"/>
        </w:rPr>
      </w:pPr>
      <w:r w:rsidRPr="00753CE5">
        <w:rPr>
          <w:lang w:val="en-GB"/>
        </w:rPr>
        <w:tab/>
      </w:r>
      <w:r w:rsidRPr="007E0C46">
        <w:rPr>
          <w:szCs w:val="24"/>
        </w:rPr>
        <w:t>Au cours de l’essai de choc avec un pendule, la bouteille doit être maintenue en position par les ogives des extrémités ou par des supports de montage prévus à cet effet.</w:t>
      </w:r>
      <w:r w:rsidRPr="007E0C46">
        <w:rPr>
          <w:b/>
          <w:szCs w:val="24"/>
        </w:rPr>
        <w:t xml:space="preserve"> La bouteille doit être exempte de pression au cours du préconditionnement.</w:t>
      </w:r>
    </w:p>
    <w:p w:rsidR="00E92373" w:rsidRPr="00753CE5" w:rsidRDefault="00E92373" w:rsidP="00371F25">
      <w:pPr>
        <w:pStyle w:val="SingleTxtG"/>
        <w:keepNext/>
        <w:spacing w:before="240"/>
        <w:ind w:left="2268" w:hanging="1134"/>
        <w:rPr>
          <w:szCs w:val="24"/>
        </w:rPr>
      </w:pPr>
      <w:r w:rsidRPr="00753CE5">
        <w:rPr>
          <w:szCs w:val="24"/>
        </w:rPr>
        <w:t>H.5</w:t>
      </w:r>
      <w:r w:rsidRPr="00753CE5">
        <w:rPr>
          <w:szCs w:val="24"/>
        </w:rPr>
        <w:tab/>
      </w:r>
      <w:r w:rsidR="00BC55FD" w:rsidRPr="00BC55FD">
        <w:rPr>
          <w:b/>
          <w:szCs w:val="24"/>
        </w:rPr>
        <w:t>Liquide</w:t>
      </w:r>
      <w:r w:rsidRPr="00BC55FD">
        <w:rPr>
          <w:b/>
          <w:szCs w:val="24"/>
        </w:rPr>
        <w:t xml:space="preserve"> d’exposition</w:t>
      </w:r>
    </w:p>
    <w:p w:rsidR="00E92373" w:rsidRDefault="00E92373" w:rsidP="00E92373">
      <w:pPr>
        <w:pStyle w:val="SingleTxtG"/>
        <w:ind w:left="2268"/>
        <w:rPr>
          <w:szCs w:val="24"/>
        </w:rPr>
      </w:pPr>
      <w:r w:rsidRPr="00753CE5">
        <w:rPr>
          <w:szCs w:val="24"/>
        </w:rPr>
        <w:tab/>
      </w:r>
      <w:r w:rsidRPr="00350088">
        <w:rPr>
          <w:b/>
          <w:szCs w:val="24"/>
        </w:rPr>
        <w:t>C</w:t>
      </w:r>
      <w:r w:rsidRPr="00350088">
        <w:rPr>
          <w:szCs w:val="24"/>
        </w:rPr>
        <w:t>haque zone marquée doit être exposée à l’une des cinq solutions suivantes pendant 30</w:t>
      </w:r>
      <w:r>
        <w:rPr>
          <w:szCs w:val="24"/>
        </w:rPr>
        <w:t> min</w:t>
      </w:r>
      <w:r w:rsidRPr="00350088">
        <w:rPr>
          <w:szCs w:val="24"/>
        </w:rPr>
        <w:t>. Le même environnement doit être utilisé pour chaque emplacement tout au long de l’essai. Les solutions sont les suivantes</w:t>
      </w:r>
      <w:r>
        <w:rPr>
          <w:szCs w:val="24"/>
        </w:rPr>
        <w:t> :</w:t>
      </w:r>
    </w:p>
    <w:p w:rsidR="00E92373" w:rsidRPr="00350088" w:rsidRDefault="00E92373" w:rsidP="00E92373">
      <w:pPr>
        <w:pStyle w:val="SingleTxtG"/>
        <w:tabs>
          <w:tab w:val="left" w:pos="4536"/>
        </w:tabs>
        <w:ind w:left="2268"/>
        <w:rPr>
          <w:szCs w:val="24"/>
        </w:rPr>
      </w:pPr>
      <w:r w:rsidRPr="00350088">
        <w:rPr>
          <w:szCs w:val="24"/>
        </w:rPr>
        <w:t>Acide sulfurique</w:t>
      </w:r>
      <w:r>
        <w:rPr>
          <w:szCs w:val="24"/>
        </w:rPr>
        <w:t> :</w:t>
      </w:r>
      <w:r>
        <w:rPr>
          <w:szCs w:val="24"/>
        </w:rPr>
        <w:tab/>
        <w:t>s</w:t>
      </w:r>
      <w:r w:rsidRPr="00350088">
        <w:rPr>
          <w:szCs w:val="24"/>
        </w:rPr>
        <w:t>olution à 19</w:t>
      </w:r>
      <w:r>
        <w:rPr>
          <w:szCs w:val="24"/>
        </w:rPr>
        <w:t> %</w:t>
      </w:r>
      <w:r w:rsidRPr="00350088">
        <w:rPr>
          <w:szCs w:val="24"/>
        </w:rPr>
        <w:t xml:space="preserve"> en volume dans l’eau</w:t>
      </w:r>
      <w:r>
        <w:rPr>
          <w:szCs w:val="24"/>
        </w:rPr>
        <w:t> ;</w:t>
      </w:r>
    </w:p>
    <w:p w:rsidR="00E92373" w:rsidRPr="00350088" w:rsidRDefault="00E92373" w:rsidP="00E92373">
      <w:pPr>
        <w:pStyle w:val="SingleTxtG"/>
        <w:tabs>
          <w:tab w:val="left" w:pos="4536"/>
        </w:tabs>
        <w:ind w:left="2268"/>
        <w:rPr>
          <w:szCs w:val="24"/>
        </w:rPr>
      </w:pPr>
      <w:r w:rsidRPr="00350088">
        <w:rPr>
          <w:szCs w:val="24"/>
        </w:rPr>
        <w:t>Hydroxyde de sodium</w:t>
      </w:r>
      <w:r>
        <w:rPr>
          <w:szCs w:val="24"/>
        </w:rPr>
        <w:t> :</w:t>
      </w:r>
      <w:r>
        <w:rPr>
          <w:szCs w:val="24"/>
        </w:rPr>
        <w:tab/>
        <w:t>s</w:t>
      </w:r>
      <w:r w:rsidRPr="00350088">
        <w:rPr>
          <w:szCs w:val="24"/>
        </w:rPr>
        <w:t>olution à 25</w:t>
      </w:r>
      <w:r>
        <w:rPr>
          <w:szCs w:val="24"/>
        </w:rPr>
        <w:t> %</w:t>
      </w:r>
      <w:r w:rsidRPr="00350088">
        <w:rPr>
          <w:szCs w:val="24"/>
        </w:rPr>
        <w:t xml:space="preserve"> en poids dans l’eau</w:t>
      </w:r>
      <w:r>
        <w:rPr>
          <w:szCs w:val="24"/>
        </w:rPr>
        <w:t> ;</w:t>
      </w:r>
    </w:p>
    <w:p w:rsidR="00E92373" w:rsidRPr="00350088" w:rsidRDefault="00E92373" w:rsidP="00E92373">
      <w:pPr>
        <w:pStyle w:val="SingleTxtG"/>
        <w:ind w:left="2268"/>
        <w:rPr>
          <w:szCs w:val="24"/>
        </w:rPr>
      </w:pPr>
      <w:r>
        <w:rPr>
          <w:szCs w:val="24"/>
        </w:rPr>
        <w:tab/>
      </w:r>
      <w:r w:rsidRPr="00350088">
        <w:rPr>
          <w:szCs w:val="24"/>
        </w:rPr>
        <w:t xml:space="preserve">Mélange </w:t>
      </w:r>
      <w:r w:rsidRPr="00251F6E">
        <w:rPr>
          <w:b/>
          <w:szCs w:val="24"/>
        </w:rPr>
        <w:t>5</w:t>
      </w:r>
      <w:r>
        <w:rPr>
          <w:b/>
          <w:szCs w:val="24"/>
        </w:rPr>
        <w:t> </w:t>
      </w:r>
      <w:r w:rsidRPr="00251F6E">
        <w:rPr>
          <w:b/>
          <w:szCs w:val="24"/>
        </w:rPr>
        <w:t>%</w:t>
      </w:r>
      <w:r>
        <w:rPr>
          <w:szCs w:val="24"/>
        </w:rPr>
        <w:t xml:space="preserve"> </w:t>
      </w:r>
      <w:r w:rsidRPr="00350088">
        <w:rPr>
          <w:szCs w:val="24"/>
        </w:rPr>
        <w:t>méthanol/</w:t>
      </w:r>
      <w:r w:rsidRPr="00251F6E">
        <w:rPr>
          <w:b/>
          <w:szCs w:val="24"/>
        </w:rPr>
        <w:t>95</w:t>
      </w:r>
      <w:r>
        <w:rPr>
          <w:b/>
          <w:szCs w:val="24"/>
        </w:rPr>
        <w:t> </w:t>
      </w:r>
      <w:r w:rsidRPr="00251F6E">
        <w:rPr>
          <w:b/>
          <w:szCs w:val="24"/>
        </w:rPr>
        <w:t>%</w:t>
      </w:r>
      <w:r>
        <w:rPr>
          <w:szCs w:val="24"/>
        </w:rPr>
        <w:t xml:space="preserve"> </w:t>
      </w:r>
      <w:r w:rsidRPr="00350088">
        <w:rPr>
          <w:szCs w:val="24"/>
        </w:rPr>
        <w:t>essence</w:t>
      </w:r>
      <w:r>
        <w:rPr>
          <w:szCs w:val="24"/>
        </w:rPr>
        <w:t> : concentration</w:t>
      </w:r>
      <w:r w:rsidRPr="00251F6E">
        <w:rPr>
          <w:b/>
          <w:szCs w:val="24"/>
        </w:rPr>
        <w:t xml:space="preserve"> d’essence dans le carburant M5 conforme à la norme ASTM D4814</w:t>
      </w:r>
      <w:r w:rsidR="00371F25" w:rsidRPr="00371F25">
        <w:rPr>
          <w:szCs w:val="24"/>
        </w:rPr>
        <w:t> ;</w:t>
      </w:r>
    </w:p>
    <w:p w:rsidR="00E92373" w:rsidRPr="00350088" w:rsidRDefault="00E92373" w:rsidP="00E92373">
      <w:pPr>
        <w:pStyle w:val="SingleTxtG"/>
        <w:tabs>
          <w:tab w:val="left" w:pos="4536"/>
        </w:tabs>
        <w:ind w:left="2268"/>
        <w:rPr>
          <w:szCs w:val="24"/>
        </w:rPr>
      </w:pPr>
      <w:r w:rsidRPr="00350088">
        <w:rPr>
          <w:szCs w:val="24"/>
        </w:rPr>
        <w:t>Nitrate d’ammonium</w:t>
      </w:r>
      <w:r>
        <w:rPr>
          <w:szCs w:val="24"/>
        </w:rPr>
        <w:t> :</w:t>
      </w:r>
      <w:r w:rsidRPr="00350088">
        <w:rPr>
          <w:szCs w:val="24"/>
        </w:rPr>
        <w:tab/>
      </w:r>
      <w:r>
        <w:rPr>
          <w:szCs w:val="24"/>
        </w:rPr>
        <w:t>s</w:t>
      </w:r>
      <w:r w:rsidRPr="00350088">
        <w:rPr>
          <w:szCs w:val="24"/>
        </w:rPr>
        <w:t>olution à 28</w:t>
      </w:r>
      <w:r>
        <w:rPr>
          <w:szCs w:val="24"/>
        </w:rPr>
        <w:t> %</w:t>
      </w:r>
      <w:r w:rsidRPr="00350088">
        <w:rPr>
          <w:szCs w:val="24"/>
        </w:rPr>
        <w:t xml:space="preserve"> en poids dans l’eau</w:t>
      </w:r>
      <w:r>
        <w:rPr>
          <w:szCs w:val="24"/>
        </w:rPr>
        <w:t> ;</w:t>
      </w:r>
    </w:p>
    <w:p w:rsidR="00E92373" w:rsidRPr="00724768" w:rsidRDefault="00E92373" w:rsidP="00E92373">
      <w:pPr>
        <w:pStyle w:val="SingleTxtG"/>
        <w:ind w:left="2268"/>
        <w:rPr>
          <w:b/>
          <w:szCs w:val="24"/>
        </w:rPr>
      </w:pPr>
      <w:r w:rsidRPr="00350088">
        <w:rPr>
          <w:szCs w:val="24"/>
        </w:rPr>
        <w:tab/>
      </w:r>
      <w:r w:rsidRPr="00724768">
        <w:rPr>
          <w:szCs w:val="24"/>
        </w:rPr>
        <w:t>Liquide lave-glace</w:t>
      </w:r>
      <w:r>
        <w:rPr>
          <w:szCs w:val="24"/>
        </w:rPr>
        <w:t xml:space="preserve"> </w:t>
      </w:r>
      <w:r w:rsidRPr="00724768">
        <w:rPr>
          <w:b/>
          <w:szCs w:val="24"/>
        </w:rPr>
        <w:t>(solution à 50</w:t>
      </w:r>
      <w:r>
        <w:rPr>
          <w:b/>
          <w:szCs w:val="24"/>
        </w:rPr>
        <w:t> %</w:t>
      </w:r>
      <w:r w:rsidRPr="00724768">
        <w:rPr>
          <w:b/>
          <w:szCs w:val="24"/>
        </w:rPr>
        <w:t xml:space="preserve"> en volume d’alcool méthylique et d’eau)</w:t>
      </w:r>
    </w:p>
    <w:p w:rsidR="00E92373" w:rsidRDefault="00E92373" w:rsidP="00E92373">
      <w:pPr>
        <w:pStyle w:val="SingleTxtG"/>
        <w:ind w:left="2268"/>
        <w:rPr>
          <w:szCs w:val="24"/>
        </w:rPr>
      </w:pPr>
      <w:r w:rsidRPr="00724768">
        <w:rPr>
          <w:szCs w:val="24"/>
        </w:rPr>
        <w:tab/>
        <w:t>Lors de l’exposition, l’échantillon doit être orienté avec la zone d’exposition au-dessus. Une couche de laine de verre (d’environ 0,5</w:t>
      </w:r>
      <w:r>
        <w:rPr>
          <w:szCs w:val="24"/>
        </w:rPr>
        <w:t xml:space="preserve"> mm </w:t>
      </w:r>
      <w:r w:rsidRPr="00724768">
        <w:rPr>
          <w:b/>
          <w:szCs w:val="24"/>
        </w:rPr>
        <w:t>d’épaisseur</w:t>
      </w:r>
      <w:r w:rsidR="00371F25" w:rsidRPr="00371F25">
        <w:rPr>
          <w:szCs w:val="24"/>
        </w:rPr>
        <w:t>)</w:t>
      </w:r>
      <w:r w:rsidRPr="00724768">
        <w:rPr>
          <w:szCs w:val="24"/>
        </w:rPr>
        <w:t xml:space="preserve"> </w:t>
      </w:r>
      <w:r w:rsidRPr="00724768">
        <w:rPr>
          <w:b/>
          <w:szCs w:val="24"/>
        </w:rPr>
        <w:t>et de diamètre compris entre 90 et 100</w:t>
      </w:r>
      <w:r>
        <w:rPr>
          <w:b/>
          <w:szCs w:val="24"/>
        </w:rPr>
        <w:t> mm</w:t>
      </w:r>
      <w:r>
        <w:rPr>
          <w:szCs w:val="24"/>
        </w:rPr>
        <w:t xml:space="preserve"> </w:t>
      </w:r>
      <w:r w:rsidRPr="00724768">
        <w:rPr>
          <w:szCs w:val="24"/>
        </w:rPr>
        <w:t xml:space="preserve">doit être placée sur la zone exposée. </w:t>
      </w:r>
      <w:r w:rsidRPr="00724768">
        <w:rPr>
          <w:b/>
          <w:szCs w:val="24"/>
        </w:rPr>
        <w:t xml:space="preserve">Verser sur la couche de laine de verre </w:t>
      </w:r>
      <w:r>
        <w:rPr>
          <w:b/>
          <w:szCs w:val="24"/>
        </w:rPr>
        <w:t xml:space="preserve">une quantité de </w:t>
      </w:r>
      <w:r w:rsidRPr="00724768">
        <w:rPr>
          <w:b/>
          <w:szCs w:val="24"/>
        </w:rPr>
        <w:t xml:space="preserve">liquide d’essai </w:t>
      </w:r>
      <w:r>
        <w:rPr>
          <w:b/>
          <w:szCs w:val="24"/>
        </w:rPr>
        <w:t xml:space="preserve">suffisante pour la mouiller de manière égale sur toute sa surface et toute son épaisseur et pour que la concentration du fluide reste constante </w:t>
      </w:r>
      <w:r w:rsidRPr="00047053">
        <w:rPr>
          <w:b/>
          <w:szCs w:val="24"/>
        </w:rPr>
        <w:t xml:space="preserve">pendant </w:t>
      </w:r>
      <w:r>
        <w:rPr>
          <w:b/>
          <w:szCs w:val="24"/>
        </w:rPr>
        <w:t xml:space="preserve">toute </w:t>
      </w:r>
      <w:r w:rsidRPr="00047053">
        <w:rPr>
          <w:b/>
          <w:szCs w:val="24"/>
        </w:rPr>
        <w:t>la durée de l’essai</w:t>
      </w:r>
      <w:r>
        <w:rPr>
          <w:b/>
          <w:szCs w:val="24"/>
        </w:rPr>
        <w:t>.</w:t>
      </w:r>
    </w:p>
    <w:p w:rsidR="00E92373" w:rsidRPr="00371F25" w:rsidRDefault="00E92373" w:rsidP="00371F25">
      <w:pPr>
        <w:pStyle w:val="SingleTxtG"/>
        <w:ind w:left="2268" w:hanging="1134"/>
        <w:rPr>
          <w:b/>
          <w:szCs w:val="24"/>
        </w:rPr>
      </w:pPr>
      <w:r w:rsidRPr="00047053">
        <w:rPr>
          <w:szCs w:val="24"/>
        </w:rPr>
        <w:t>H.6</w:t>
      </w:r>
      <w:r w:rsidRPr="00047053">
        <w:rPr>
          <w:szCs w:val="24"/>
        </w:rPr>
        <w:tab/>
      </w:r>
      <w:r w:rsidRPr="00371F25">
        <w:rPr>
          <w:b/>
          <w:szCs w:val="24"/>
        </w:rPr>
        <w:t>Cycle de pression</w:t>
      </w:r>
      <w:r w:rsidR="00371F25">
        <w:rPr>
          <w:b/>
          <w:szCs w:val="24"/>
        </w:rPr>
        <w:t xml:space="preserve"> et période de maintien en pression</w:t>
      </w:r>
    </w:p>
    <w:p w:rsidR="00371F25" w:rsidRDefault="00E92373" w:rsidP="00371F25">
      <w:pPr>
        <w:pStyle w:val="SingleTxtG"/>
        <w:ind w:left="2268"/>
        <w:rPr>
          <w:lang w:val="en-GB"/>
        </w:rPr>
      </w:pPr>
      <w:r w:rsidRPr="00047053">
        <w:rPr>
          <w:szCs w:val="24"/>
        </w:rPr>
        <w:tab/>
      </w:r>
      <w:r w:rsidRPr="00C94E24">
        <w:rPr>
          <w:b/>
          <w:szCs w:val="24"/>
        </w:rPr>
        <w:t>L</w:t>
      </w:r>
      <w:r w:rsidRPr="00047053">
        <w:rPr>
          <w:szCs w:val="24"/>
        </w:rPr>
        <w:t>a bouteille doit être soumise à un cyclage hydraulique entre une pression de 2</w:t>
      </w:r>
      <w:r>
        <w:rPr>
          <w:szCs w:val="24"/>
        </w:rPr>
        <w:t> MPa</w:t>
      </w:r>
      <w:r w:rsidRPr="00047053">
        <w:rPr>
          <w:szCs w:val="24"/>
        </w:rPr>
        <w:t xml:space="preserve"> au moins et </w:t>
      </w:r>
      <w:r w:rsidRPr="00047053">
        <w:rPr>
          <w:b/>
          <w:szCs w:val="24"/>
        </w:rPr>
        <w:t>125</w:t>
      </w:r>
      <w:r>
        <w:rPr>
          <w:b/>
          <w:szCs w:val="24"/>
        </w:rPr>
        <w:t> </w:t>
      </w:r>
      <w:r w:rsidRPr="00047053">
        <w:rPr>
          <w:b/>
          <w:szCs w:val="24"/>
        </w:rPr>
        <w:t>% de la pression maximale de fonctionnement</w:t>
      </w:r>
      <w:r w:rsidRPr="00047053">
        <w:rPr>
          <w:szCs w:val="24"/>
        </w:rPr>
        <w:t xml:space="preserve"> au plus</w:t>
      </w:r>
      <w:r>
        <w:rPr>
          <w:szCs w:val="24"/>
        </w:rPr>
        <w:t xml:space="preserve"> </w:t>
      </w:r>
      <w:r w:rsidRPr="00047053">
        <w:rPr>
          <w:b/>
          <w:szCs w:val="24"/>
        </w:rPr>
        <w:t>pendant 3</w:t>
      </w:r>
      <w:r>
        <w:rPr>
          <w:b/>
          <w:szCs w:val="24"/>
        </w:rPr>
        <w:t> </w:t>
      </w:r>
      <w:r w:rsidRPr="00047053">
        <w:rPr>
          <w:b/>
          <w:szCs w:val="24"/>
        </w:rPr>
        <w:t>000 cycles</w:t>
      </w:r>
      <w:r w:rsidRPr="00047053">
        <w:rPr>
          <w:szCs w:val="24"/>
        </w:rPr>
        <w:t xml:space="preserve">. </w:t>
      </w:r>
      <w:r w:rsidRPr="00B9082C">
        <w:rPr>
          <w:b/>
          <w:szCs w:val="24"/>
        </w:rPr>
        <w:t xml:space="preserve">La </w:t>
      </w:r>
      <w:r>
        <w:rPr>
          <w:b/>
          <w:szCs w:val="24"/>
        </w:rPr>
        <w:t xml:space="preserve">vitesse de mise en </w:t>
      </w:r>
      <w:r w:rsidRPr="00B9082C">
        <w:rPr>
          <w:b/>
          <w:szCs w:val="24"/>
        </w:rPr>
        <w:t xml:space="preserve">pression ne </w:t>
      </w:r>
      <w:r>
        <w:rPr>
          <w:b/>
          <w:szCs w:val="24"/>
        </w:rPr>
        <w:t xml:space="preserve">doit pas dépasser 2,75 MPa par seconde. Après le cyclage en pression la bouteille doit être soumise à une pression de </w:t>
      </w:r>
      <w:r w:rsidRPr="00EB3446">
        <w:rPr>
          <w:b/>
          <w:szCs w:val="24"/>
        </w:rPr>
        <w:t>125</w:t>
      </w:r>
      <w:r>
        <w:rPr>
          <w:b/>
          <w:szCs w:val="24"/>
        </w:rPr>
        <w:t> </w:t>
      </w:r>
      <w:r w:rsidRPr="00EB3446">
        <w:rPr>
          <w:b/>
          <w:szCs w:val="24"/>
        </w:rPr>
        <w:t>% de la pression maximale de fonctionnement</w:t>
      </w:r>
      <w:r>
        <w:rPr>
          <w:b/>
          <w:szCs w:val="24"/>
        </w:rPr>
        <w:t xml:space="preserve"> pendant une durée minimale de 24 h et jusqu</w:t>
      </w:r>
      <w:r w:rsidRPr="00EB3446">
        <w:rPr>
          <w:b/>
          <w:szCs w:val="24"/>
        </w:rPr>
        <w:t>’</w:t>
      </w:r>
      <w:r>
        <w:rPr>
          <w:b/>
          <w:szCs w:val="24"/>
        </w:rPr>
        <w:t>à ce que l</w:t>
      </w:r>
      <w:r w:rsidRPr="00EB3446">
        <w:rPr>
          <w:b/>
          <w:szCs w:val="24"/>
        </w:rPr>
        <w:t>a durée d</w:t>
      </w:r>
      <w:r>
        <w:rPr>
          <w:b/>
          <w:szCs w:val="24"/>
        </w:rPr>
        <w:t>’</w:t>
      </w:r>
      <w:r w:rsidRPr="00EB3446">
        <w:rPr>
          <w:b/>
          <w:szCs w:val="24"/>
        </w:rPr>
        <w:t>exposition (comprenant la période de cycles de pression et la période de maintien en pression) aux liquides d</w:t>
      </w:r>
      <w:r>
        <w:rPr>
          <w:b/>
          <w:szCs w:val="24"/>
        </w:rPr>
        <w:t>’</w:t>
      </w:r>
      <w:r w:rsidRPr="00EB3446">
        <w:rPr>
          <w:b/>
          <w:szCs w:val="24"/>
        </w:rPr>
        <w:t>épreuve soit d</w:t>
      </w:r>
      <w:r>
        <w:rPr>
          <w:b/>
          <w:szCs w:val="24"/>
        </w:rPr>
        <w:t>’</w:t>
      </w:r>
      <w:r w:rsidRPr="00EB3446">
        <w:rPr>
          <w:b/>
          <w:szCs w:val="24"/>
        </w:rPr>
        <w:t>au moins 48 heures.</w:t>
      </w:r>
      <w:r w:rsidR="007030EA">
        <w:rPr>
          <w:b/>
          <w:szCs w:val="24"/>
        </w:rPr>
        <w:t> ».</w:t>
      </w:r>
    </w:p>
    <w:p w:rsidR="00E92373" w:rsidRPr="00753CE5" w:rsidRDefault="00371F25" w:rsidP="00371F25">
      <w:pPr>
        <w:pStyle w:val="HChG"/>
        <w:rPr>
          <w:lang w:val="en-GB"/>
        </w:rPr>
      </w:pPr>
      <w:r>
        <w:rPr>
          <w:lang w:val="en-GB"/>
        </w:rPr>
        <w:tab/>
      </w:r>
      <w:r w:rsidR="00E92373" w:rsidRPr="00753CE5">
        <w:rPr>
          <w:lang w:val="en-GB"/>
        </w:rPr>
        <w:t>II.</w:t>
      </w:r>
      <w:r w:rsidR="00E92373" w:rsidRPr="00753CE5">
        <w:rPr>
          <w:lang w:val="en-GB"/>
        </w:rPr>
        <w:tab/>
        <w:t>Justification</w:t>
      </w:r>
    </w:p>
    <w:p w:rsidR="00F9573C" w:rsidRDefault="00371F25" w:rsidP="00371F25">
      <w:pPr>
        <w:pStyle w:val="SingleTxtG"/>
        <w:ind w:firstLine="567"/>
        <w:rPr>
          <w:lang w:eastAsia="ar-SA"/>
        </w:rPr>
      </w:pPr>
      <w:r>
        <w:t>On trouvera une justification des modifications proposées dans le document GRSG</w:t>
      </w:r>
      <w:r>
        <w:noBreakHyphen/>
        <w:t xml:space="preserve">111-02, qui peut être consulté à l’adresse suivante : </w:t>
      </w:r>
      <w:r w:rsidRPr="008E2BF2">
        <w:rPr>
          <w:lang w:eastAsia="ar-SA"/>
        </w:rPr>
        <w:t>www.unece.org/trans/main/</w:t>
      </w:r>
      <w:r>
        <w:rPr>
          <w:lang w:eastAsia="ar-SA"/>
        </w:rPr>
        <w:t xml:space="preserve"> </w:t>
      </w:r>
      <w:r w:rsidRPr="008E2BF2">
        <w:rPr>
          <w:lang w:eastAsia="ar-SA"/>
        </w:rPr>
        <w:t>wp29/wp29wgs/wp29grsg/grsginf11</w:t>
      </w:r>
      <w:r>
        <w:rPr>
          <w:lang w:eastAsia="ar-SA"/>
        </w:rPr>
        <w:t>1</w:t>
      </w:r>
      <w:r w:rsidRPr="008E2BF2">
        <w:rPr>
          <w:lang w:eastAsia="ar-SA"/>
        </w:rPr>
        <w:t>.html</w:t>
      </w:r>
      <w:r>
        <w:rPr>
          <w:lang w:eastAsia="ar-SA"/>
        </w:rPr>
        <w:t>.</w:t>
      </w:r>
    </w:p>
    <w:p w:rsidR="00371F25" w:rsidRPr="00371F25" w:rsidRDefault="00371F25" w:rsidP="00371F25">
      <w:pPr>
        <w:pStyle w:val="SingleTxtG"/>
        <w:spacing w:before="240" w:after="0"/>
        <w:jc w:val="center"/>
        <w:rPr>
          <w:u w:val="single"/>
        </w:rPr>
      </w:pPr>
      <w:r>
        <w:rPr>
          <w:u w:val="single"/>
        </w:rPr>
        <w:tab/>
      </w:r>
      <w:r>
        <w:rPr>
          <w:u w:val="single"/>
        </w:rPr>
        <w:tab/>
      </w:r>
      <w:r>
        <w:rPr>
          <w:u w:val="single"/>
        </w:rPr>
        <w:tab/>
      </w:r>
    </w:p>
    <w:sectPr w:rsidR="00371F25" w:rsidRPr="00371F25" w:rsidSect="00E9237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AD" w:rsidRDefault="001524AD" w:rsidP="00F95C08">
      <w:pPr>
        <w:spacing w:line="240" w:lineRule="auto"/>
      </w:pPr>
    </w:p>
  </w:endnote>
  <w:endnote w:type="continuationSeparator" w:id="0">
    <w:p w:rsidR="001524AD" w:rsidRPr="00AC3823" w:rsidRDefault="001524AD" w:rsidP="00AC3823">
      <w:pPr>
        <w:pStyle w:val="Footer"/>
      </w:pPr>
    </w:p>
  </w:endnote>
  <w:endnote w:type="continuationNotice" w:id="1">
    <w:p w:rsidR="001524AD" w:rsidRDefault="001524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D" w:rsidRPr="00E92373" w:rsidRDefault="001524AD" w:rsidP="00E92373">
    <w:pPr>
      <w:pStyle w:val="Footer"/>
      <w:tabs>
        <w:tab w:val="right" w:pos="9638"/>
      </w:tabs>
    </w:pPr>
    <w:r w:rsidRPr="00E92373">
      <w:rPr>
        <w:b/>
        <w:sz w:val="18"/>
      </w:rPr>
      <w:fldChar w:fldCharType="begin"/>
    </w:r>
    <w:r w:rsidRPr="00E92373">
      <w:rPr>
        <w:b/>
        <w:sz w:val="18"/>
      </w:rPr>
      <w:instrText xml:space="preserve"> PAGE  \* MERGEFORMAT </w:instrText>
    </w:r>
    <w:r w:rsidRPr="00E92373">
      <w:rPr>
        <w:b/>
        <w:sz w:val="18"/>
      </w:rPr>
      <w:fldChar w:fldCharType="separate"/>
    </w:r>
    <w:r w:rsidR="00771442">
      <w:rPr>
        <w:b/>
        <w:noProof/>
        <w:sz w:val="18"/>
      </w:rPr>
      <w:t>2</w:t>
    </w:r>
    <w:r w:rsidRPr="00E92373">
      <w:rPr>
        <w:b/>
        <w:sz w:val="18"/>
      </w:rPr>
      <w:fldChar w:fldCharType="end"/>
    </w:r>
    <w:r>
      <w:rPr>
        <w:b/>
        <w:sz w:val="18"/>
      </w:rPr>
      <w:tab/>
    </w:r>
    <w:r>
      <w:t>GE.16-13106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D" w:rsidRPr="00E92373" w:rsidRDefault="001524AD" w:rsidP="00E92373">
    <w:pPr>
      <w:pStyle w:val="Footer"/>
      <w:tabs>
        <w:tab w:val="right" w:pos="9638"/>
      </w:tabs>
      <w:rPr>
        <w:b/>
        <w:sz w:val="18"/>
      </w:rPr>
    </w:pPr>
    <w:r>
      <w:t>GE.16-13106</w:t>
    </w:r>
    <w:r>
      <w:tab/>
    </w:r>
    <w:r w:rsidRPr="00E92373">
      <w:rPr>
        <w:b/>
        <w:sz w:val="18"/>
      </w:rPr>
      <w:fldChar w:fldCharType="begin"/>
    </w:r>
    <w:r w:rsidRPr="00E92373">
      <w:rPr>
        <w:b/>
        <w:sz w:val="18"/>
      </w:rPr>
      <w:instrText xml:space="preserve"> PAGE  \* MERGEFORMAT </w:instrText>
    </w:r>
    <w:r w:rsidRPr="00E92373">
      <w:rPr>
        <w:b/>
        <w:sz w:val="18"/>
      </w:rPr>
      <w:fldChar w:fldCharType="separate"/>
    </w:r>
    <w:r w:rsidR="00771442">
      <w:rPr>
        <w:b/>
        <w:noProof/>
        <w:sz w:val="18"/>
      </w:rPr>
      <w:t>7</w:t>
    </w:r>
    <w:r w:rsidRPr="00E923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D" w:rsidRPr="00E92373" w:rsidRDefault="001524AD" w:rsidP="00E9237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1755E08" wp14:editId="6EA53BF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16-13106  (F)    291116    011216</w:t>
    </w:r>
    <w:r>
      <w:rPr>
        <w:sz w:val="20"/>
      </w:rPr>
      <w:br/>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sidRPr="00E9237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AD" w:rsidRPr="00AC3823" w:rsidRDefault="001524AD" w:rsidP="00AC3823">
      <w:pPr>
        <w:pStyle w:val="Footer"/>
        <w:tabs>
          <w:tab w:val="right" w:pos="2155"/>
        </w:tabs>
        <w:spacing w:after="80" w:line="240" w:lineRule="atLeast"/>
        <w:ind w:left="680"/>
        <w:rPr>
          <w:u w:val="single"/>
        </w:rPr>
      </w:pPr>
      <w:r>
        <w:rPr>
          <w:u w:val="single"/>
        </w:rPr>
        <w:tab/>
      </w:r>
    </w:p>
  </w:footnote>
  <w:footnote w:type="continuationSeparator" w:id="0">
    <w:p w:rsidR="001524AD" w:rsidRPr="00AC3823" w:rsidRDefault="001524AD" w:rsidP="00AC3823">
      <w:pPr>
        <w:pStyle w:val="Footer"/>
        <w:tabs>
          <w:tab w:val="right" w:pos="2155"/>
        </w:tabs>
        <w:spacing w:after="80" w:line="240" w:lineRule="atLeast"/>
        <w:ind w:left="680"/>
        <w:rPr>
          <w:u w:val="single"/>
        </w:rPr>
      </w:pPr>
      <w:r>
        <w:rPr>
          <w:u w:val="single"/>
        </w:rPr>
        <w:tab/>
      </w:r>
    </w:p>
  </w:footnote>
  <w:footnote w:type="continuationNotice" w:id="1">
    <w:p w:rsidR="001524AD" w:rsidRPr="00AC3823" w:rsidRDefault="001524AD">
      <w:pPr>
        <w:spacing w:line="240" w:lineRule="auto"/>
        <w:rPr>
          <w:sz w:val="2"/>
          <w:szCs w:val="2"/>
        </w:rPr>
      </w:pPr>
    </w:p>
  </w:footnote>
  <w:footnote w:id="2">
    <w:p w:rsidR="001524AD" w:rsidRPr="007636CC" w:rsidRDefault="001524AD" w:rsidP="00E92373">
      <w:pPr>
        <w:pStyle w:val="FootnoteText"/>
      </w:pPr>
      <w:r>
        <w:tab/>
      </w:r>
      <w:r w:rsidRPr="00365A42">
        <w:t>*</w:t>
      </w:r>
      <w:r w:rsidRPr="007636CC">
        <w:tab/>
        <w:t>Conformément au programme de travail du Comité des transports intérieurs pour la période 201</w:t>
      </w:r>
      <w:r>
        <w:t>6</w:t>
      </w:r>
      <w:r w:rsidRPr="007636CC">
        <w:t>-201</w:t>
      </w:r>
      <w:r>
        <w:t>7</w:t>
      </w:r>
      <w:r w:rsidRPr="007636CC">
        <w:t xml:space="preserve"> (ECE/TRANS/2</w:t>
      </w:r>
      <w:r>
        <w:t>54</w:t>
      </w:r>
      <w:r w:rsidRPr="007636CC">
        <w:t>, par.</w:t>
      </w:r>
      <w:r>
        <w:t> </w:t>
      </w:r>
      <w:r w:rsidRPr="007636CC">
        <w:t>15</w:t>
      </w:r>
      <w:r>
        <w:t>9</w:t>
      </w:r>
      <w:r w:rsidRPr="007636CC">
        <w:t>, et ECE/TRANS/201</w:t>
      </w:r>
      <w:r>
        <w:t>6</w:t>
      </w:r>
      <w:r w:rsidRPr="007636CC">
        <w:t>/2</w:t>
      </w:r>
      <w:r>
        <w:t>8/Add.1, activité 3</w:t>
      </w:r>
      <w:r w:rsidRPr="007636CC">
        <w:t>.</w:t>
      </w:r>
      <w:r>
        <w:t>1</w:t>
      </w:r>
      <w:r w:rsidRPr="007636CC">
        <w:t>), le Forum mondial élabore, harmonise et actualise les Règlements, afin d’améliorer les caractéristiques fonctionnelles des véhicules.</w:t>
      </w:r>
      <w:r>
        <w:t xml:space="preserve"> </w:t>
      </w:r>
      <w:r w:rsidRPr="007636CC">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D" w:rsidRPr="00E92373" w:rsidRDefault="001524AD">
    <w:pPr>
      <w:pStyle w:val="Header"/>
    </w:pPr>
    <w:r>
      <w:t>ECE/TRANS/WP.29/GRSG/2016/22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D" w:rsidRPr="00E92373" w:rsidRDefault="001524AD" w:rsidP="00E92373">
    <w:pPr>
      <w:pStyle w:val="Header"/>
      <w:jc w:val="right"/>
    </w:pPr>
    <w:r>
      <w:t>ECE/TRANS/WP.29/GRSG/2016/22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D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1E52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D5783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99"/>
    <w:rsid w:val="00017F94"/>
    <w:rsid w:val="00023842"/>
    <w:rsid w:val="000334F9"/>
    <w:rsid w:val="00071403"/>
    <w:rsid w:val="0007796D"/>
    <w:rsid w:val="000B7790"/>
    <w:rsid w:val="00106C00"/>
    <w:rsid w:val="00111F2F"/>
    <w:rsid w:val="0014365E"/>
    <w:rsid w:val="00143C66"/>
    <w:rsid w:val="001524AD"/>
    <w:rsid w:val="00176178"/>
    <w:rsid w:val="001F525A"/>
    <w:rsid w:val="00223272"/>
    <w:rsid w:val="0024779E"/>
    <w:rsid w:val="00255507"/>
    <w:rsid w:val="00257168"/>
    <w:rsid w:val="002744B8"/>
    <w:rsid w:val="002832AC"/>
    <w:rsid w:val="002D7C93"/>
    <w:rsid w:val="00305801"/>
    <w:rsid w:val="00371F25"/>
    <w:rsid w:val="003916DE"/>
    <w:rsid w:val="00441C3B"/>
    <w:rsid w:val="00446FE5"/>
    <w:rsid w:val="00452396"/>
    <w:rsid w:val="004837D8"/>
    <w:rsid w:val="004E468C"/>
    <w:rsid w:val="00510B99"/>
    <w:rsid w:val="005505B7"/>
    <w:rsid w:val="00573BE5"/>
    <w:rsid w:val="00586ED3"/>
    <w:rsid w:val="00596AA9"/>
    <w:rsid w:val="00655014"/>
    <w:rsid w:val="00673958"/>
    <w:rsid w:val="007030EA"/>
    <w:rsid w:val="0071601D"/>
    <w:rsid w:val="00771442"/>
    <w:rsid w:val="007A62E6"/>
    <w:rsid w:val="007F20FA"/>
    <w:rsid w:val="0080684C"/>
    <w:rsid w:val="00871C75"/>
    <w:rsid w:val="008776DC"/>
    <w:rsid w:val="008D3D9B"/>
    <w:rsid w:val="008E5EF6"/>
    <w:rsid w:val="009705C8"/>
    <w:rsid w:val="009A789A"/>
    <w:rsid w:val="009C1CF4"/>
    <w:rsid w:val="009F6B74"/>
    <w:rsid w:val="00A30353"/>
    <w:rsid w:val="00AC3823"/>
    <w:rsid w:val="00AE323C"/>
    <w:rsid w:val="00AF0CB5"/>
    <w:rsid w:val="00B00181"/>
    <w:rsid w:val="00B00B0D"/>
    <w:rsid w:val="00B765F7"/>
    <w:rsid w:val="00BA0CA9"/>
    <w:rsid w:val="00BC55FD"/>
    <w:rsid w:val="00C02897"/>
    <w:rsid w:val="00C71E0F"/>
    <w:rsid w:val="00D3439C"/>
    <w:rsid w:val="00DB1831"/>
    <w:rsid w:val="00DD3BFD"/>
    <w:rsid w:val="00DF6678"/>
    <w:rsid w:val="00E715D9"/>
    <w:rsid w:val="00E85C74"/>
    <w:rsid w:val="00E92373"/>
    <w:rsid w:val="00EA6547"/>
    <w:rsid w:val="00EF00A1"/>
    <w:rsid w:val="00EF2E22"/>
    <w:rsid w:val="00EF3CC5"/>
    <w:rsid w:val="00F35BAF"/>
    <w:rsid w:val="00F660DF"/>
    <w:rsid w:val="00F94664"/>
    <w:rsid w:val="00F9573C"/>
    <w:rsid w:val="00F95C08"/>
    <w:rsid w:val="00FB3F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C7A558-A3E7-4FDF-916B-C5B8FBA8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E92373"/>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92373"/>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255507"/>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4C76-62A9-4712-8AC2-90CF2121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6797</Words>
  <Characters>38743</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ECE/TRANS/WP.29/GRSG/2016/22</vt:lpstr>
      <vt:lpstr>ECE/TRANS/WP.29/GRSG/2016/22</vt:lpstr>
    </vt:vector>
  </TitlesOfParts>
  <Company>DCM</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ECE/TRANS/WP.29/GRSG/2016/22</dc:title>
  <dc:subject>Final</dc:subject>
  <dc:creator>Fabienne Crelier</dc:creator>
  <cp:lastModifiedBy>Lucille</cp:lastModifiedBy>
  <cp:revision>2</cp:revision>
  <cp:lastPrinted>2014-05-14T10:59:00Z</cp:lastPrinted>
  <dcterms:created xsi:type="dcterms:W3CDTF">2016-12-02T08:58:00Z</dcterms:created>
  <dcterms:modified xsi:type="dcterms:W3CDTF">2016-12-02T08:58:00Z</dcterms:modified>
</cp:coreProperties>
</file>