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14" w:rsidRPr="00064114" w:rsidRDefault="00064114" w:rsidP="002226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4114">
        <w:rPr>
          <w:b/>
          <w:sz w:val="28"/>
          <w:szCs w:val="28"/>
        </w:rPr>
        <w:t xml:space="preserve">Proposal for </w:t>
      </w:r>
      <w:r w:rsidR="00CD434E">
        <w:rPr>
          <w:b/>
          <w:sz w:val="28"/>
          <w:szCs w:val="28"/>
        </w:rPr>
        <w:t>Supple</w:t>
      </w:r>
      <w:r w:rsidR="000043FE">
        <w:rPr>
          <w:b/>
          <w:sz w:val="28"/>
          <w:szCs w:val="28"/>
        </w:rPr>
        <w:t>ment</w:t>
      </w:r>
      <w:r w:rsidR="00BF78B2">
        <w:rPr>
          <w:b/>
          <w:sz w:val="28"/>
          <w:szCs w:val="28"/>
        </w:rPr>
        <w:t xml:space="preserve"> </w:t>
      </w:r>
      <w:r w:rsidR="00DD7B58">
        <w:rPr>
          <w:b/>
          <w:sz w:val="28"/>
          <w:szCs w:val="28"/>
        </w:rPr>
        <w:t xml:space="preserve">3 </w:t>
      </w:r>
      <w:r w:rsidRPr="00064114">
        <w:rPr>
          <w:b/>
          <w:sz w:val="28"/>
          <w:szCs w:val="28"/>
        </w:rPr>
        <w:t>to</w:t>
      </w:r>
      <w:r w:rsidR="00D3044D">
        <w:rPr>
          <w:b/>
          <w:sz w:val="28"/>
          <w:szCs w:val="28"/>
        </w:rPr>
        <w:t xml:space="preserve"> the 02 </w:t>
      </w:r>
      <w:r w:rsidR="00DD7B58">
        <w:rPr>
          <w:b/>
          <w:sz w:val="28"/>
          <w:szCs w:val="28"/>
        </w:rPr>
        <w:t>s</w:t>
      </w:r>
      <w:r w:rsidR="00D3044D">
        <w:rPr>
          <w:b/>
          <w:sz w:val="28"/>
          <w:szCs w:val="28"/>
        </w:rPr>
        <w:t xml:space="preserve">eries of amendments </w:t>
      </w:r>
      <w:r w:rsidR="00DD7B58">
        <w:rPr>
          <w:b/>
          <w:sz w:val="28"/>
          <w:szCs w:val="28"/>
        </w:rPr>
        <w:t xml:space="preserve">and Supplement 1 </w:t>
      </w:r>
      <w:r w:rsidR="00DD7B58" w:rsidRPr="00064114">
        <w:rPr>
          <w:b/>
          <w:sz w:val="28"/>
          <w:szCs w:val="28"/>
        </w:rPr>
        <w:t>to</w:t>
      </w:r>
      <w:r w:rsidR="00DD7B58">
        <w:rPr>
          <w:b/>
          <w:sz w:val="28"/>
          <w:szCs w:val="28"/>
        </w:rPr>
        <w:t xml:space="preserve"> the 03 series of amendments </w:t>
      </w:r>
      <w:r w:rsidR="00D3044D">
        <w:rPr>
          <w:b/>
          <w:sz w:val="28"/>
          <w:szCs w:val="28"/>
        </w:rPr>
        <w:t>to</w:t>
      </w:r>
      <w:r w:rsidR="0015784F">
        <w:rPr>
          <w:b/>
          <w:sz w:val="28"/>
          <w:szCs w:val="28"/>
        </w:rPr>
        <w:t xml:space="preserve"> </w:t>
      </w:r>
      <w:r w:rsidRPr="00064114">
        <w:rPr>
          <w:b/>
          <w:sz w:val="28"/>
          <w:szCs w:val="28"/>
        </w:rPr>
        <w:t>Regulation No. 118 (</w:t>
      </w:r>
      <w:r w:rsidR="00BF78B2">
        <w:rPr>
          <w:b/>
          <w:sz w:val="28"/>
          <w:szCs w:val="28"/>
        </w:rPr>
        <w:t>Burning behaviour</w:t>
      </w:r>
      <w:r w:rsidRPr="00064114">
        <w:rPr>
          <w:b/>
          <w:sz w:val="28"/>
          <w:szCs w:val="28"/>
        </w:rPr>
        <w:t>)</w:t>
      </w:r>
    </w:p>
    <w:p w:rsidR="000043FE" w:rsidRDefault="000043FE" w:rsidP="00064114">
      <w:pPr>
        <w:rPr>
          <w:b/>
        </w:rPr>
      </w:pPr>
    </w:p>
    <w:p w:rsidR="00064114" w:rsidRPr="002226D3" w:rsidRDefault="00064114" w:rsidP="00064114">
      <w:pPr>
        <w:rPr>
          <w:b/>
        </w:rPr>
      </w:pPr>
      <w:r w:rsidRPr="002226D3">
        <w:rPr>
          <w:b/>
        </w:rPr>
        <w:t>I.</w:t>
      </w:r>
      <w:r w:rsidRPr="002226D3">
        <w:rPr>
          <w:b/>
        </w:rPr>
        <w:tab/>
        <w:t>Proposal</w:t>
      </w:r>
    </w:p>
    <w:p w:rsidR="002800D8" w:rsidRPr="002226D3" w:rsidRDefault="002800D8" w:rsidP="00064114"/>
    <w:p w:rsidR="00BA544A" w:rsidRPr="002226D3" w:rsidRDefault="00BA544A" w:rsidP="00BA544A">
      <w:r>
        <w:rPr>
          <w:i/>
        </w:rPr>
        <w:t>Annex 8</w:t>
      </w:r>
      <w:r w:rsidRPr="002226D3">
        <w:rPr>
          <w:i/>
        </w:rPr>
        <w:t>, p</w:t>
      </w:r>
      <w:r>
        <w:rPr>
          <w:i/>
        </w:rPr>
        <w:t>aragraph 2.3</w:t>
      </w:r>
      <w:r w:rsidRPr="002226D3">
        <w:t>.,</w:t>
      </w:r>
      <w:r>
        <w:t xml:space="preserve"> amend</w:t>
      </w:r>
      <w:r w:rsidRPr="002226D3">
        <w:t xml:space="preserve"> to read:</w:t>
      </w:r>
    </w:p>
    <w:p w:rsidR="00BA544A" w:rsidRDefault="00BA544A" w:rsidP="00BF78B2">
      <w:pPr>
        <w:rPr>
          <w:i/>
        </w:rPr>
      </w:pPr>
    </w:p>
    <w:p w:rsidR="00BA544A" w:rsidRPr="00BA544A" w:rsidRDefault="00B03461" w:rsidP="00B03461">
      <w:pPr>
        <w:ind w:left="709" w:hanging="709"/>
        <w:jc w:val="both"/>
      </w:pPr>
      <w:r>
        <w:t>"2.3.</w:t>
      </w:r>
      <w:r>
        <w:tab/>
      </w:r>
      <w:r w:rsidR="00BA544A" w:rsidRPr="00BA544A">
        <w:t xml:space="preserve">The test apparatus may be placed in a fume </w:t>
      </w:r>
      <w:r w:rsidR="00BA544A">
        <w:t xml:space="preserve">cupboard assembly </w:t>
      </w:r>
      <w:r w:rsidR="00BA544A" w:rsidRPr="00BA544A">
        <w:rPr>
          <w:strike/>
        </w:rPr>
        <w:t xml:space="preserve">provided that the internal volume is at least 20 times, but not more than 110 times, greater than the </w:t>
      </w:r>
      <w:r w:rsidR="00BA544A" w:rsidRPr="0045471F">
        <w:rPr>
          <w:strike/>
        </w:rPr>
        <w:t>volume of the test apparatus and provided that: no single height, width, or length dimension of the fume cupboard is greater than 2.5 times either of the other two dimensions</w:t>
      </w:r>
      <w:r w:rsidR="00BA544A" w:rsidRPr="00BA544A">
        <w:t xml:space="preserve">. </w:t>
      </w:r>
      <w:r w:rsidR="0045471F">
        <w:rPr>
          <w:b/>
        </w:rPr>
        <w:t>The s</w:t>
      </w:r>
      <w:r w:rsidR="0045471F" w:rsidRPr="0045471F">
        <w:rPr>
          <w:b/>
        </w:rPr>
        <w:t xml:space="preserve">ize </w:t>
      </w:r>
      <w:r w:rsidR="0045471F">
        <w:rPr>
          <w:b/>
        </w:rPr>
        <w:t xml:space="preserve">and shape </w:t>
      </w:r>
      <w:r w:rsidR="0045471F" w:rsidRPr="0045471F">
        <w:rPr>
          <w:b/>
        </w:rPr>
        <w:t>of</w:t>
      </w:r>
      <w:r w:rsidR="0045471F">
        <w:rPr>
          <w:b/>
        </w:rPr>
        <w:t xml:space="preserve"> </w:t>
      </w:r>
      <w:r w:rsidR="00D908E5">
        <w:rPr>
          <w:b/>
        </w:rPr>
        <w:t xml:space="preserve">the </w:t>
      </w:r>
      <w:r w:rsidR="0045471F">
        <w:rPr>
          <w:b/>
        </w:rPr>
        <w:t xml:space="preserve">fume cupboard </w:t>
      </w:r>
      <w:r w:rsidR="0045471F" w:rsidRPr="0045471F">
        <w:rPr>
          <w:b/>
        </w:rPr>
        <w:t xml:space="preserve">shall be </w:t>
      </w:r>
      <w:r w:rsidR="0045471F">
        <w:rPr>
          <w:b/>
        </w:rPr>
        <w:t xml:space="preserve">such that </w:t>
      </w:r>
      <w:r w:rsidR="00D908E5">
        <w:rPr>
          <w:b/>
        </w:rPr>
        <w:t xml:space="preserve">the </w:t>
      </w:r>
      <w:r w:rsidR="0045471F">
        <w:rPr>
          <w:b/>
        </w:rPr>
        <w:t>test results are not affected</w:t>
      </w:r>
      <w:r w:rsidR="0045471F" w:rsidRPr="0045471F">
        <w:rPr>
          <w:b/>
        </w:rPr>
        <w:t>.</w:t>
      </w:r>
      <w:r w:rsidR="0045471F">
        <w:t xml:space="preserve"> </w:t>
      </w:r>
      <w:r w:rsidR="00BA544A" w:rsidRPr="00BA544A">
        <w:t>Before the test, the v</w:t>
      </w:r>
      <w:r w:rsidR="00BA544A">
        <w:t xml:space="preserve">ertical velocity of </w:t>
      </w:r>
      <w:r w:rsidR="00BA544A" w:rsidRPr="00BA544A">
        <w:t xml:space="preserve">the air through the fume cupboard shall be </w:t>
      </w:r>
      <w:r w:rsidR="00BA544A">
        <w:t xml:space="preserve">measured 100 mm in front of and </w:t>
      </w:r>
      <w:r w:rsidR="00BA544A" w:rsidRPr="00BA544A">
        <w:t>behind the final position where the test apparat</w:t>
      </w:r>
      <w:r w:rsidR="00BA544A">
        <w:t xml:space="preserve">us will be located. It shall be </w:t>
      </w:r>
      <w:r w:rsidR="00BA544A" w:rsidRPr="00BA544A">
        <w:t>between 0.10 and 0.30 m/s in order t</w:t>
      </w:r>
      <w:r w:rsidR="00BA544A">
        <w:t xml:space="preserve">o avoid possible discomfort, by </w:t>
      </w:r>
      <w:r w:rsidR="00BA544A" w:rsidRPr="00BA544A">
        <w:t xml:space="preserve">combustion products, to the operator. It is </w:t>
      </w:r>
      <w:r w:rsidR="00BA544A">
        <w:t xml:space="preserve">possible to use a fume cupboard </w:t>
      </w:r>
      <w:r w:rsidR="00460BF7">
        <w:t xml:space="preserve">with a natural </w:t>
      </w:r>
      <w:r w:rsidR="00BA544A" w:rsidRPr="00BA544A">
        <w:t>ventilation and an appropriate air velocity.</w:t>
      </w:r>
      <w:r w:rsidR="0021783C">
        <w:t>"</w:t>
      </w:r>
    </w:p>
    <w:p w:rsidR="00BA544A" w:rsidRDefault="00BA544A" w:rsidP="00BF78B2">
      <w:pPr>
        <w:rPr>
          <w:i/>
        </w:rPr>
      </w:pPr>
    </w:p>
    <w:p w:rsidR="00064114" w:rsidRPr="002226D3" w:rsidRDefault="000043FE" w:rsidP="00BF78B2">
      <w:r>
        <w:rPr>
          <w:i/>
        </w:rPr>
        <w:t>Annex 8</w:t>
      </w:r>
      <w:r w:rsidR="00B95719" w:rsidRPr="002226D3">
        <w:rPr>
          <w:i/>
        </w:rPr>
        <w:t>, p</w:t>
      </w:r>
      <w:r>
        <w:rPr>
          <w:i/>
        </w:rPr>
        <w:t>aragraph 3.1</w:t>
      </w:r>
      <w:r w:rsidR="00BF78B2" w:rsidRPr="002226D3">
        <w:t>.,</w:t>
      </w:r>
      <w:r>
        <w:t xml:space="preserve"> amend</w:t>
      </w:r>
      <w:r w:rsidR="00064114" w:rsidRPr="002226D3">
        <w:t xml:space="preserve"> to read:</w:t>
      </w:r>
    </w:p>
    <w:p w:rsidR="00BF78B2" w:rsidRPr="002226D3" w:rsidRDefault="00BF78B2" w:rsidP="00BF78B2"/>
    <w:p w:rsidR="000043FE" w:rsidRDefault="00BF78B2" w:rsidP="00B03461">
      <w:pPr>
        <w:tabs>
          <w:tab w:val="left" w:pos="709"/>
        </w:tabs>
        <w:ind w:left="709" w:hanging="709"/>
        <w:jc w:val="both"/>
      </w:pPr>
      <w:r w:rsidRPr="002226D3">
        <w:t>"</w:t>
      </w:r>
      <w:r w:rsidR="00B03461">
        <w:t>3.1.</w:t>
      </w:r>
      <w:r w:rsidR="00B03461">
        <w:tab/>
      </w:r>
      <w:r w:rsidR="000043FE">
        <w:t>The samples dimensions are: 560 x 170 mm.</w:t>
      </w:r>
    </w:p>
    <w:p w:rsidR="000043FE" w:rsidRDefault="000043FE" w:rsidP="00B03461">
      <w:pPr>
        <w:tabs>
          <w:tab w:val="left" w:pos="709"/>
        </w:tabs>
        <w:ind w:left="709" w:hanging="709"/>
        <w:jc w:val="both"/>
      </w:pPr>
    </w:p>
    <w:p w:rsidR="00BF78B2" w:rsidRPr="002800D8" w:rsidRDefault="00B03461" w:rsidP="00B03461">
      <w:pPr>
        <w:tabs>
          <w:tab w:val="left" w:pos="709"/>
        </w:tabs>
        <w:ind w:left="709" w:hanging="709"/>
        <w:jc w:val="both"/>
        <w:rPr>
          <w:strike/>
        </w:rPr>
      </w:pPr>
      <w:r>
        <w:tab/>
      </w:r>
      <w:r w:rsidR="000043FE">
        <w:t>If the dimensions of a material do not permit taking a sample of the given dimensions the test shall be carried out</w:t>
      </w:r>
      <w:r w:rsidR="002800D8">
        <w:t xml:space="preserve"> </w:t>
      </w:r>
      <w:r w:rsidR="00A25253" w:rsidRPr="00A25253">
        <w:rPr>
          <w:b/>
        </w:rPr>
        <w:t xml:space="preserve">taking a sample </w:t>
      </w:r>
      <w:r w:rsidR="00A25253">
        <w:rPr>
          <w:b/>
        </w:rPr>
        <w:t xml:space="preserve">having the dimensions </w:t>
      </w:r>
      <w:r w:rsidR="000E25C4">
        <w:rPr>
          <w:b/>
        </w:rPr>
        <w:t>at least 375</w:t>
      </w:r>
      <w:r w:rsidR="00A25253" w:rsidRPr="00A25253">
        <w:rPr>
          <w:b/>
        </w:rPr>
        <w:t xml:space="preserve"> x 170 mm.</w:t>
      </w:r>
      <w:r w:rsidR="000E05E5">
        <w:rPr>
          <w:b/>
        </w:rPr>
        <w:t xml:space="preserve"> </w:t>
      </w:r>
      <w:r w:rsidR="000E05E5" w:rsidRPr="002800D8">
        <w:rPr>
          <w:b/>
        </w:rPr>
        <w:t xml:space="preserve">The size of the </w:t>
      </w:r>
      <w:r w:rsidR="000E05E5" w:rsidRPr="002800D8">
        <w:rPr>
          <w:b/>
          <w:strike/>
        </w:rPr>
        <w:t>s</w:t>
      </w:r>
      <w:r w:rsidR="000E05E5" w:rsidRPr="002800D8">
        <w:rPr>
          <w:b/>
        </w:rPr>
        <w:t>ample</w:t>
      </w:r>
      <w:r w:rsidR="002800D8">
        <w:rPr>
          <w:strike/>
        </w:rPr>
        <w:t xml:space="preserve">, </w:t>
      </w:r>
      <w:r w:rsidR="002800D8" w:rsidRPr="002800D8">
        <w:rPr>
          <w:strike/>
        </w:rPr>
        <w:t>i</w:t>
      </w:r>
      <w:r w:rsidR="002800D8">
        <w:rPr>
          <w:strike/>
        </w:rPr>
        <w:t xml:space="preserve">n accordance with the Technical </w:t>
      </w:r>
      <w:r w:rsidR="002800D8" w:rsidRPr="002800D8">
        <w:rPr>
          <w:strike/>
        </w:rPr>
        <w:t>Service, on the fi</w:t>
      </w:r>
      <w:r w:rsidR="002800D8">
        <w:rPr>
          <w:strike/>
        </w:rPr>
        <w:t>tted size of the material which</w:t>
      </w:r>
      <w:r w:rsidR="002800D8" w:rsidRPr="000E05E5">
        <w:t xml:space="preserve"> shall be mentioned in the test report.</w:t>
      </w:r>
      <w:r>
        <w:t>"</w:t>
      </w:r>
    </w:p>
    <w:p w:rsidR="00064114" w:rsidRPr="002226D3" w:rsidRDefault="00064114" w:rsidP="00064114">
      <w:pPr>
        <w:rPr>
          <w:b/>
        </w:rPr>
      </w:pPr>
    </w:p>
    <w:p w:rsidR="00064114" w:rsidRPr="002226D3" w:rsidRDefault="00F11BC8" w:rsidP="00064114">
      <w:pPr>
        <w:rPr>
          <w:b/>
        </w:rPr>
      </w:pPr>
      <w:r>
        <w:rPr>
          <w:b/>
        </w:rPr>
        <w:t>II.</w:t>
      </w:r>
      <w:r>
        <w:rPr>
          <w:b/>
        </w:rPr>
        <w:tab/>
      </w:r>
      <w:r w:rsidR="00064114" w:rsidRPr="002226D3">
        <w:rPr>
          <w:b/>
        </w:rPr>
        <w:t>Justification</w:t>
      </w:r>
    </w:p>
    <w:p w:rsidR="00D67406" w:rsidRDefault="00D67406" w:rsidP="00064114"/>
    <w:p w:rsidR="00460BF7" w:rsidRPr="0040534C" w:rsidRDefault="00B03461" w:rsidP="00B03461">
      <w:pPr>
        <w:autoSpaceDE w:val="0"/>
        <w:autoSpaceDN w:val="0"/>
        <w:adjustRightInd w:val="0"/>
        <w:jc w:val="both"/>
        <w:rPr>
          <w:lang w:eastAsia="fi-FI"/>
        </w:rPr>
      </w:pPr>
      <w:r>
        <w:t>1.</w:t>
      </w:r>
      <w:r>
        <w:tab/>
      </w:r>
      <w:r w:rsidR="00BA544A">
        <w:t xml:space="preserve">Annex 8 </w:t>
      </w:r>
      <w:r w:rsidR="00033514">
        <w:t>(</w:t>
      </w:r>
      <w:r w:rsidR="00033514" w:rsidRPr="00033514">
        <w:t>Test to determine the vertical burning rate of materials</w:t>
      </w:r>
      <w:r w:rsidR="00033514">
        <w:t xml:space="preserve">) </w:t>
      </w:r>
      <w:r w:rsidR="00BA544A">
        <w:t xml:space="preserve">limits the </w:t>
      </w:r>
      <w:r w:rsidR="00210872">
        <w:t xml:space="preserve">dimensions </w:t>
      </w:r>
      <w:r w:rsidR="00633C77">
        <w:t>and shape of the fume cupboard. The</w:t>
      </w:r>
      <w:r w:rsidR="000E05E5">
        <w:t>se</w:t>
      </w:r>
      <w:r w:rsidR="00210872">
        <w:t xml:space="preserve"> dimensions depend on the volume of the test apparatus. The</w:t>
      </w:r>
      <w:r w:rsidR="00BA544A">
        <w:t xml:space="preserve"> test </w:t>
      </w:r>
      <w:r w:rsidR="005E46D0">
        <w:t xml:space="preserve">apparatus on Annex 8 is not a box </w:t>
      </w:r>
      <w:r w:rsidR="00210872">
        <w:t xml:space="preserve">shaped </w:t>
      </w:r>
      <w:r w:rsidR="005E46D0">
        <w:t>as in Annex 6</w:t>
      </w:r>
      <w:r w:rsidR="00033514">
        <w:t xml:space="preserve"> (</w:t>
      </w:r>
      <w:r w:rsidR="00033514" w:rsidRPr="00033514">
        <w:t>Test to determine the horizontal burning rate of materials</w:t>
      </w:r>
      <w:r w:rsidR="00033514">
        <w:t>)</w:t>
      </w:r>
      <w:r w:rsidR="005E46D0">
        <w:t>. T</w:t>
      </w:r>
      <w:r w:rsidR="00E161B1">
        <w:t>hus</w:t>
      </w:r>
      <w:r w:rsidR="00BA544A">
        <w:t xml:space="preserve"> the volume of the test apparatus cannot be clearly defined. </w:t>
      </w:r>
      <w:r w:rsidR="00E161B1">
        <w:t>Nowadays</w:t>
      </w:r>
      <w:r w:rsidR="00033514">
        <w:t xml:space="preserve"> </w:t>
      </w:r>
      <w:r w:rsidR="00033514">
        <w:rPr>
          <w:lang w:eastAsia="fi-FI"/>
        </w:rPr>
        <w:t>the</w:t>
      </w:r>
      <w:r w:rsidR="00E161B1" w:rsidRPr="00E161B1">
        <w:rPr>
          <w:lang w:eastAsia="fi-FI"/>
        </w:rPr>
        <w:t xml:space="preserve"> test method</w:t>
      </w:r>
      <w:r w:rsidR="00033514">
        <w:rPr>
          <w:lang w:eastAsia="fi-FI"/>
        </w:rPr>
        <w:t xml:space="preserve"> of Annex 8</w:t>
      </w:r>
      <w:r w:rsidR="000E05E5">
        <w:rPr>
          <w:lang w:eastAsia="fi-FI"/>
        </w:rPr>
        <w:t xml:space="preserve">, which is based on standard EN ISO 6941 </w:t>
      </w:r>
      <w:r w:rsidR="0040534C">
        <w:rPr>
          <w:lang w:eastAsia="fi-FI"/>
        </w:rPr>
        <w:t xml:space="preserve">for measuring flame spread in textiles, </w:t>
      </w:r>
      <w:r w:rsidR="00E161B1" w:rsidRPr="00E161B1">
        <w:rPr>
          <w:lang w:eastAsia="fi-FI"/>
        </w:rPr>
        <w:t>is used for all kind</w:t>
      </w:r>
      <w:r w:rsidR="00033514">
        <w:rPr>
          <w:lang w:eastAsia="fi-FI"/>
        </w:rPr>
        <w:t>s of material</w:t>
      </w:r>
      <w:r w:rsidR="0040534C">
        <w:rPr>
          <w:lang w:eastAsia="fi-FI"/>
        </w:rPr>
        <w:t>s</w:t>
      </w:r>
      <w:r w:rsidR="00E161B1" w:rsidRPr="00E161B1">
        <w:rPr>
          <w:lang w:eastAsia="fi-FI"/>
        </w:rPr>
        <w:t xml:space="preserve">. </w:t>
      </w:r>
      <w:r w:rsidR="00460BF7" w:rsidRPr="00E161B1">
        <w:t>With many rubber and plastic materials</w:t>
      </w:r>
      <w:r w:rsidR="000E05E5">
        <w:t xml:space="preserve"> </w:t>
      </w:r>
      <w:r w:rsidR="00460BF7">
        <w:t>vertical b</w:t>
      </w:r>
      <w:r w:rsidR="00E161B1">
        <w:t>urning is</w:t>
      </w:r>
      <w:r w:rsidR="00460BF7">
        <w:t xml:space="preserve"> much more violent </w:t>
      </w:r>
      <w:r w:rsidR="005E46D0">
        <w:t xml:space="preserve">than with textiles. </w:t>
      </w:r>
      <w:r w:rsidR="00210872">
        <w:t xml:space="preserve">Location of </w:t>
      </w:r>
      <w:r w:rsidR="000E05E5">
        <w:t xml:space="preserve">the </w:t>
      </w:r>
      <w:r w:rsidR="00210872">
        <w:t>test apparatus should</w:t>
      </w:r>
      <w:r w:rsidR="005E46D0">
        <w:t xml:space="preserve"> be big enough for heat and smoke pro</w:t>
      </w:r>
      <w:r w:rsidR="00460BF7">
        <w:t xml:space="preserve">duction from </w:t>
      </w:r>
      <w:r w:rsidR="000E05E5">
        <w:t xml:space="preserve">the </w:t>
      </w:r>
      <w:r w:rsidR="00460BF7">
        <w:t xml:space="preserve">test samples and </w:t>
      </w:r>
      <w:r w:rsidR="005E46D0">
        <w:t>such that the test is not affected by any reduction of oxygen concentrat</w:t>
      </w:r>
      <w:r w:rsidR="00460BF7">
        <w:t xml:space="preserve">ion. </w:t>
      </w:r>
      <w:r w:rsidR="00210872">
        <w:t>It is also important to extinguish</w:t>
      </w:r>
      <w:r w:rsidR="00460BF7">
        <w:t xml:space="preserve"> the sample</w:t>
      </w:r>
      <w:r w:rsidR="00E161B1">
        <w:t xml:space="preserve"> </w:t>
      </w:r>
      <w:r w:rsidR="005E46D0">
        <w:t xml:space="preserve">safely after </w:t>
      </w:r>
      <w:r w:rsidR="00033514">
        <w:t xml:space="preserve">the </w:t>
      </w:r>
      <w:r w:rsidR="005E46D0">
        <w:t>tes</w:t>
      </w:r>
      <w:r w:rsidR="00187F84">
        <w:t>t</w:t>
      </w:r>
      <w:r w:rsidR="005E46D0">
        <w:t>.</w:t>
      </w:r>
      <w:r w:rsidR="005E46D0" w:rsidRPr="005E46D0">
        <w:t xml:space="preserve"> </w:t>
      </w:r>
      <w:r w:rsidR="00033514" w:rsidRPr="00E161B1">
        <w:t xml:space="preserve">The </w:t>
      </w:r>
      <w:r w:rsidR="00633C77">
        <w:t xml:space="preserve">exact </w:t>
      </w:r>
      <w:r w:rsidR="00033514">
        <w:t xml:space="preserve">volume </w:t>
      </w:r>
      <w:r w:rsidR="00633C77">
        <w:t xml:space="preserve">and shape limits </w:t>
      </w:r>
      <w:r w:rsidR="00033514">
        <w:t xml:space="preserve">of the fume </w:t>
      </w:r>
      <w:r w:rsidR="00033514" w:rsidRPr="00E161B1">
        <w:t xml:space="preserve">cupboard </w:t>
      </w:r>
      <w:r w:rsidR="00633C77">
        <w:t>are not essential.</w:t>
      </w:r>
      <w:r w:rsidR="00033514" w:rsidRPr="00E161B1">
        <w:t xml:space="preserve"> </w:t>
      </w:r>
    </w:p>
    <w:p w:rsidR="00460BF7" w:rsidRDefault="00460BF7" w:rsidP="005E46D0"/>
    <w:p w:rsidR="0057798C" w:rsidRPr="00633C77" w:rsidRDefault="00B03461" w:rsidP="00B03461">
      <w:pPr>
        <w:jc w:val="both"/>
      </w:pPr>
      <w:r>
        <w:lastRenderedPageBreak/>
        <w:t>2.</w:t>
      </w:r>
      <w:r>
        <w:tab/>
      </w:r>
      <w:r w:rsidR="005E46D0" w:rsidRPr="00633C77">
        <w:t>Therefore</w:t>
      </w:r>
      <w:r w:rsidR="00460BF7" w:rsidRPr="00633C77">
        <w:t>,</w:t>
      </w:r>
      <w:r w:rsidR="005E46D0" w:rsidRPr="00633C77">
        <w:t xml:space="preserve"> the volume </w:t>
      </w:r>
      <w:r w:rsidR="0045471F" w:rsidRPr="00633C77">
        <w:t xml:space="preserve">and shape </w:t>
      </w:r>
      <w:r w:rsidR="005E46D0" w:rsidRPr="00633C77">
        <w:t xml:space="preserve">limits of </w:t>
      </w:r>
      <w:r w:rsidR="00033514" w:rsidRPr="00633C77">
        <w:t xml:space="preserve">the </w:t>
      </w:r>
      <w:r w:rsidR="005E46D0" w:rsidRPr="00633C77">
        <w:t xml:space="preserve">fume cupboard </w:t>
      </w:r>
      <w:r w:rsidR="00633C77">
        <w:t>could be</w:t>
      </w:r>
      <w:r w:rsidR="00460BF7" w:rsidRPr="00633C77">
        <w:t xml:space="preserve"> deleted from</w:t>
      </w:r>
      <w:r w:rsidR="00033514" w:rsidRPr="00633C77">
        <w:t xml:space="preserve"> </w:t>
      </w:r>
      <w:r w:rsidR="00E161B1" w:rsidRPr="00633C77">
        <w:t>par</w:t>
      </w:r>
      <w:r w:rsidR="0045471F" w:rsidRPr="00633C77">
        <w:t>agraph 2.3. of Annex 8</w:t>
      </w:r>
      <w:r w:rsidR="00633C77">
        <w:t xml:space="preserve">. These requirements could be </w:t>
      </w:r>
      <w:r w:rsidR="0045471F" w:rsidRPr="00633C77">
        <w:t xml:space="preserve">replaced with </w:t>
      </w:r>
      <w:r w:rsidR="00633C77">
        <w:t>performance based</w:t>
      </w:r>
      <w:r w:rsidR="0045471F" w:rsidRPr="00633C77">
        <w:t xml:space="preserve"> </w:t>
      </w:r>
      <w:r w:rsidR="00633C77">
        <w:t>requirement</w:t>
      </w:r>
      <w:r w:rsidR="0045471F" w:rsidRPr="00633C77">
        <w:t xml:space="preserve"> </w:t>
      </w:r>
      <w:r w:rsidR="00633C77" w:rsidRPr="00633C77">
        <w:t xml:space="preserve">that </w:t>
      </w:r>
      <w:r w:rsidR="0045471F" w:rsidRPr="00633C77">
        <w:t xml:space="preserve">size and shape of fume cupboard shall </w:t>
      </w:r>
      <w:r w:rsidR="00633C77" w:rsidRPr="00633C77">
        <w:t>not affect to test results</w:t>
      </w:r>
      <w:r w:rsidR="0045471F" w:rsidRPr="00633C77">
        <w:t>.</w:t>
      </w:r>
    </w:p>
    <w:p w:rsidR="00633C77" w:rsidRDefault="00633C77" w:rsidP="00B03461">
      <w:pPr>
        <w:jc w:val="both"/>
      </w:pPr>
    </w:p>
    <w:p w:rsidR="0057798C" w:rsidRDefault="00B03461" w:rsidP="00B03461">
      <w:pPr>
        <w:jc w:val="both"/>
      </w:pPr>
      <w:r>
        <w:t>3.</w:t>
      </w:r>
      <w:r>
        <w:tab/>
      </w:r>
      <w:r w:rsidR="00187F84">
        <w:t xml:space="preserve">Paragraph </w:t>
      </w:r>
      <w:r w:rsidR="0057798C">
        <w:t>6.2.7.4. allows that e</w:t>
      </w:r>
      <w:r w:rsidR="0057798C" w:rsidRPr="0057798C">
        <w:t>lements for which it is not possible to extract a sample in the prescribed dimensions as specified in paragraph 3.1. of Annex 6, paragraph 3. of Annex 7,</w:t>
      </w:r>
      <w:r w:rsidR="0057798C">
        <w:t xml:space="preserve"> and paragraph 3.1. of Annex 8, are not required to undergo the tests described in Annexes 6 to 8.</w:t>
      </w:r>
    </w:p>
    <w:p w:rsidR="00BA544A" w:rsidRDefault="00BA544A" w:rsidP="00B03461">
      <w:pPr>
        <w:jc w:val="both"/>
      </w:pPr>
    </w:p>
    <w:p w:rsidR="00CF11EB" w:rsidRPr="00CF11EB" w:rsidRDefault="00B03461" w:rsidP="00B03461">
      <w:pPr>
        <w:jc w:val="both"/>
      </w:pPr>
      <w:r>
        <w:t>4.</w:t>
      </w:r>
      <w:r>
        <w:tab/>
      </w:r>
      <w:r w:rsidR="00BC6EA0">
        <w:t xml:space="preserve">Annex 6 sets </w:t>
      </w:r>
      <w:r w:rsidR="001B04F8">
        <w:t>explicit</w:t>
      </w:r>
      <w:r w:rsidR="00606EA8">
        <w:t xml:space="preserve"> minimum </w:t>
      </w:r>
      <w:r w:rsidR="00BC6EA0">
        <w:t>dimensions to the sample i</w:t>
      </w:r>
      <w:r w:rsidR="00A25253">
        <w:t xml:space="preserve">n the </w:t>
      </w:r>
      <w:r w:rsidR="00033514">
        <w:t xml:space="preserve">horizontal burning </w:t>
      </w:r>
      <w:r w:rsidR="00A25253">
        <w:t>t</w:t>
      </w:r>
      <w:r w:rsidR="00033514">
        <w:t>est</w:t>
      </w:r>
      <w:r w:rsidR="00BC6EA0">
        <w:t>.</w:t>
      </w:r>
      <w:r w:rsidR="00A25253" w:rsidRPr="00A25253">
        <w:t xml:space="preserve"> </w:t>
      </w:r>
      <w:r w:rsidR="00924F40">
        <w:t xml:space="preserve">This would also </w:t>
      </w:r>
      <w:r w:rsidR="002800D8">
        <w:t xml:space="preserve">be </w:t>
      </w:r>
      <w:r w:rsidR="00924F40">
        <w:t xml:space="preserve">necessary </w:t>
      </w:r>
      <w:r w:rsidR="00033514">
        <w:t>with vertical burning test in Annex 8</w:t>
      </w:r>
      <w:r w:rsidR="00A25253">
        <w:t>.</w:t>
      </w:r>
      <w:r w:rsidR="00BC6EA0">
        <w:t xml:space="preserve"> </w:t>
      </w:r>
      <w:r w:rsidR="002800D8">
        <w:t>C</w:t>
      </w:r>
      <w:r w:rsidR="00BC6EA0">
        <w:t>urrent text of Annex 8 may lead to different i</w:t>
      </w:r>
      <w:r w:rsidR="000E05E5">
        <w:t>nterpretations among</w:t>
      </w:r>
      <w:r w:rsidR="00BC6EA0">
        <w:t xml:space="preserve"> Contracting Parties.</w:t>
      </w:r>
      <w:r w:rsidR="00BA544A">
        <w:t xml:space="preserve"> </w:t>
      </w:r>
      <w:r w:rsidR="00BC6EA0">
        <w:t xml:space="preserve">Suitability of </w:t>
      </w:r>
      <w:r w:rsidR="000E05E5">
        <w:t xml:space="preserve">the </w:t>
      </w:r>
      <w:r w:rsidR="00BC6EA0">
        <w:t>s</w:t>
      </w:r>
      <w:r w:rsidR="00924F40">
        <w:t xml:space="preserve">ample size </w:t>
      </w:r>
      <w:r w:rsidR="00BC6EA0">
        <w:t xml:space="preserve">for Annex 8 </w:t>
      </w:r>
      <w:r w:rsidR="00924F40">
        <w:t xml:space="preserve">was discussed between type-approval authority Finnish Transport Safety Agency </w:t>
      </w:r>
      <w:r w:rsidR="00A25253">
        <w:t xml:space="preserve">(Trafi) </w:t>
      </w:r>
      <w:r w:rsidR="00924F40">
        <w:t>and technical service VTT Expert Services</w:t>
      </w:r>
      <w:r w:rsidR="00F81CF8">
        <w:t xml:space="preserve"> Ltd</w:t>
      </w:r>
      <w:r w:rsidR="00A25253">
        <w:t>.</w:t>
      </w:r>
      <w:r w:rsidR="00E161B1">
        <w:t xml:space="preserve"> </w:t>
      </w:r>
      <w:r w:rsidR="00CF11EB">
        <w:t>In order to attach the sample</w:t>
      </w:r>
      <w:r w:rsidR="00924F40">
        <w:t xml:space="preserve"> to the </w:t>
      </w:r>
      <w:r w:rsidR="000E25C4">
        <w:t xml:space="preserve">pins of the </w:t>
      </w:r>
      <w:r w:rsidR="00D71C71" w:rsidRPr="00D71C71">
        <w:t>specimen holder</w:t>
      </w:r>
      <w:r w:rsidR="00924F40">
        <w:t xml:space="preserve">, the width of the sample </w:t>
      </w:r>
      <w:r w:rsidR="00460BF7">
        <w:t>must be at least 170 mm.</w:t>
      </w:r>
      <w:r w:rsidR="00E161B1">
        <w:t xml:space="preserve"> </w:t>
      </w:r>
      <w:r w:rsidR="00CF11EB" w:rsidRPr="00CF11EB">
        <w:rPr>
          <w:lang w:eastAsia="fi-FI"/>
        </w:rPr>
        <w:t xml:space="preserve">The pins for supporting the specimen are 5 mm, 10 mm, 190 mm, </w:t>
      </w:r>
      <w:r w:rsidR="00CF11EB">
        <w:rPr>
          <w:lang w:eastAsia="fi-FI"/>
        </w:rPr>
        <w:t xml:space="preserve">370 mm, 550 mm, and 555 mm above </w:t>
      </w:r>
      <w:r w:rsidR="00CF11EB" w:rsidRPr="00CF11EB">
        <w:rPr>
          <w:lang w:eastAsia="fi-FI"/>
        </w:rPr>
        <w:t xml:space="preserve">the bottom edge of the </w:t>
      </w:r>
      <w:r w:rsidR="00CF11EB">
        <w:rPr>
          <w:lang w:eastAsia="fi-FI"/>
        </w:rPr>
        <w:t>specimen holder</w:t>
      </w:r>
      <w:r w:rsidR="00CF11EB" w:rsidRPr="00CF11EB">
        <w:rPr>
          <w:lang w:eastAsia="fi-FI"/>
        </w:rPr>
        <w:t xml:space="preserve">. If </w:t>
      </w:r>
      <w:r w:rsidR="00CF11EB">
        <w:rPr>
          <w:lang w:eastAsia="fi-FI"/>
        </w:rPr>
        <w:t>the length of specimen is at least 375 mm</w:t>
      </w:r>
      <w:r w:rsidR="00E161B1">
        <w:rPr>
          <w:lang w:eastAsia="fi-FI"/>
        </w:rPr>
        <w:t>, the sample</w:t>
      </w:r>
      <w:r w:rsidR="00CF11EB">
        <w:rPr>
          <w:lang w:eastAsia="fi-FI"/>
        </w:rPr>
        <w:t xml:space="preserve"> can be attached to </w:t>
      </w:r>
      <w:r w:rsidR="00E161B1">
        <w:rPr>
          <w:lang w:eastAsia="fi-FI"/>
        </w:rPr>
        <w:t>5</w:t>
      </w:r>
      <w:r w:rsidR="00CF11EB">
        <w:rPr>
          <w:lang w:eastAsia="fi-FI"/>
        </w:rPr>
        <w:t xml:space="preserve">, </w:t>
      </w:r>
      <w:r w:rsidR="00E161B1">
        <w:rPr>
          <w:lang w:eastAsia="fi-FI"/>
        </w:rPr>
        <w:t>10, 190</w:t>
      </w:r>
      <w:r w:rsidR="00460BF7">
        <w:rPr>
          <w:lang w:eastAsia="fi-FI"/>
        </w:rPr>
        <w:t>,</w:t>
      </w:r>
      <w:r w:rsidR="00CF11EB" w:rsidRPr="00CF11EB">
        <w:rPr>
          <w:lang w:eastAsia="fi-FI"/>
        </w:rPr>
        <w:t xml:space="preserve"> and 370 mm</w:t>
      </w:r>
      <w:r w:rsidR="00CF11EB">
        <w:rPr>
          <w:lang w:eastAsia="fi-FI"/>
        </w:rPr>
        <w:t xml:space="preserve"> pins</w:t>
      </w:r>
      <w:r w:rsidR="00CF11EB" w:rsidRPr="00CF11EB">
        <w:rPr>
          <w:lang w:eastAsia="fi-FI"/>
        </w:rPr>
        <w:t xml:space="preserve">. </w:t>
      </w:r>
      <w:r w:rsidR="00CF11EB">
        <w:rPr>
          <w:lang w:eastAsia="fi-FI"/>
        </w:rPr>
        <w:t xml:space="preserve">Then the first (245 mm) marker thread can be </w:t>
      </w:r>
      <w:r w:rsidR="00CF11EB" w:rsidRPr="00CF11EB">
        <w:rPr>
          <w:lang w:eastAsia="fi-FI"/>
        </w:rPr>
        <w:t xml:space="preserve">used for measuring </w:t>
      </w:r>
      <w:r w:rsidR="00E161B1">
        <w:rPr>
          <w:lang w:eastAsia="fi-FI"/>
        </w:rPr>
        <w:t xml:space="preserve">the </w:t>
      </w:r>
      <w:r w:rsidR="00CF11EB" w:rsidRPr="00CF11EB">
        <w:rPr>
          <w:lang w:eastAsia="fi-FI"/>
        </w:rPr>
        <w:t>burning rate.</w:t>
      </w:r>
      <w:r w:rsidR="00CF11EB" w:rsidRPr="00CF11EB">
        <w:t xml:space="preserve"> </w:t>
      </w:r>
      <w:r w:rsidR="00460BF7">
        <w:t>So, i</w:t>
      </w:r>
      <w:r w:rsidR="00CF11EB">
        <w:t>n order to measure the flame propagation, the length of the sample must be at least 375 mm.</w:t>
      </w:r>
    </w:p>
    <w:p w:rsidR="00CF11EB" w:rsidRDefault="00CF11EB" w:rsidP="00B03461">
      <w:pPr>
        <w:autoSpaceDE w:val="0"/>
        <w:autoSpaceDN w:val="0"/>
        <w:adjustRightInd w:val="0"/>
        <w:jc w:val="both"/>
        <w:rPr>
          <w:lang w:eastAsia="fi-FI"/>
        </w:rPr>
      </w:pPr>
    </w:p>
    <w:p w:rsidR="00924F40" w:rsidRDefault="00B03461" w:rsidP="00B03461">
      <w:pPr>
        <w:jc w:val="both"/>
      </w:pPr>
      <w:r>
        <w:t>5.</w:t>
      </w:r>
      <w:r>
        <w:tab/>
      </w:r>
      <w:r w:rsidR="00BC6EA0">
        <w:t>Therefo</w:t>
      </w:r>
      <w:r w:rsidR="002800D8">
        <w:t xml:space="preserve">re, </w:t>
      </w:r>
      <w:r w:rsidR="00BC6EA0">
        <w:t>the minimum</w:t>
      </w:r>
      <w:r w:rsidR="001B04F8">
        <w:t xml:space="preserve"> </w:t>
      </w:r>
      <w:r w:rsidR="007852AA">
        <w:t xml:space="preserve">size of </w:t>
      </w:r>
      <w:r w:rsidR="00E161B1">
        <w:t xml:space="preserve">the sample </w:t>
      </w:r>
      <w:r w:rsidR="000E25C4">
        <w:t>375</w:t>
      </w:r>
      <w:r w:rsidR="00BC6EA0" w:rsidRPr="00BC6EA0">
        <w:t xml:space="preserve"> x 170 mm</w:t>
      </w:r>
      <w:r w:rsidR="007852AA">
        <w:t xml:space="preserve"> </w:t>
      </w:r>
      <w:r w:rsidR="002800D8">
        <w:t>is proposed</w:t>
      </w:r>
      <w:r w:rsidR="00E161B1">
        <w:t xml:space="preserve"> to paragraph 3.1. </w:t>
      </w:r>
      <w:r w:rsidR="00CD434E">
        <w:t>of Annex 8.</w:t>
      </w:r>
    </w:p>
    <w:p w:rsidR="00717770" w:rsidRPr="002226D3" w:rsidRDefault="00717770" w:rsidP="00DF63D1">
      <w:pPr>
        <w:tabs>
          <w:tab w:val="num" w:pos="567"/>
          <w:tab w:val="left" w:pos="1134"/>
        </w:tabs>
        <w:ind w:right="43"/>
        <w:jc w:val="both"/>
      </w:pPr>
    </w:p>
    <w:p w:rsidR="009A3E21" w:rsidRDefault="009A3E21" w:rsidP="009A3E21">
      <w:pPr>
        <w:tabs>
          <w:tab w:val="num" w:pos="720"/>
        </w:tabs>
        <w:jc w:val="center"/>
      </w:pPr>
      <w:r>
        <w:t>_____________________</w:t>
      </w:r>
    </w:p>
    <w:sectPr w:rsidR="009A3E21" w:rsidSect="00DF63D1">
      <w:footerReference w:type="default" r:id="rId9"/>
      <w:headerReference w:type="first" r:id="rId10"/>
      <w:footerReference w:type="first" r:id="rId11"/>
      <w:pgSz w:w="12240" w:h="15840"/>
      <w:pgMar w:top="1347" w:right="1892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5D" w:rsidRDefault="0036585D">
      <w:r>
        <w:separator/>
      </w:r>
    </w:p>
  </w:endnote>
  <w:endnote w:type="continuationSeparator" w:id="0">
    <w:p w:rsidR="0036585D" w:rsidRDefault="0036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E90">
      <w:rPr>
        <w:noProof/>
      </w:rPr>
      <w:t>2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21" w:rsidRDefault="009A3E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E90">
      <w:rPr>
        <w:noProof/>
      </w:rPr>
      <w:t>1</w:t>
    </w:r>
    <w:r>
      <w:rPr>
        <w:noProof/>
      </w:rPr>
      <w:fldChar w:fldCharType="end"/>
    </w:r>
  </w:p>
  <w:p w:rsidR="002F6D64" w:rsidRDefault="002F6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5D" w:rsidRDefault="0036585D">
      <w:r>
        <w:separator/>
      </w:r>
    </w:p>
  </w:footnote>
  <w:footnote w:type="continuationSeparator" w:id="0">
    <w:p w:rsidR="0036585D" w:rsidRDefault="0036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000" w:firstRow="0" w:lastRow="0" w:firstColumn="0" w:lastColumn="0" w:noHBand="0" w:noVBand="0"/>
    </w:tblPr>
    <w:tblGrid>
      <w:gridCol w:w="4395"/>
      <w:gridCol w:w="5103"/>
    </w:tblGrid>
    <w:tr w:rsidR="00B11753" w:rsidRPr="002226D3" w:rsidTr="00EB3776">
      <w:tc>
        <w:tcPr>
          <w:tcW w:w="4395" w:type="dxa"/>
          <w:vAlign w:val="center"/>
        </w:tcPr>
        <w:p w:rsidR="00B11753" w:rsidRPr="002226D3" w:rsidRDefault="00B11753" w:rsidP="00064114">
          <w:pPr>
            <w:tabs>
              <w:tab w:val="center" w:pos="4677"/>
              <w:tab w:val="right" w:pos="9355"/>
            </w:tabs>
            <w:ind w:hanging="108"/>
            <w:rPr>
              <w:sz w:val="20"/>
              <w:szCs w:val="20"/>
              <w:lang w:eastAsia="ar-SA"/>
            </w:rPr>
          </w:pPr>
          <w:r w:rsidRPr="002226D3">
            <w:rPr>
              <w:sz w:val="20"/>
              <w:szCs w:val="20"/>
              <w:lang w:eastAsia="ar-SA"/>
            </w:rPr>
            <w:t xml:space="preserve">Submitted by the </w:t>
          </w:r>
          <w:r w:rsidR="00EB3776" w:rsidRPr="002226D3">
            <w:rPr>
              <w:sz w:val="20"/>
              <w:szCs w:val="20"/>
              <w:lang w:eastAsia="ar-SA"/>
            </w:rPr>
            <w:t xml:space="preserve">expert from </w:t>
          </w:r>
          <w:r w:rsidR="00064114" w:rsidRPr="002226D3">
            <w:rPr>
              <w:sz w:val="20"/>
              <w:szCs w:val="20"/>
              <w:lang w:eastAsia="ar-SA"/>
            </w:rPr>
            <w:t>Finland</w:t>
          </w:r>
        </w:p>
      </w:tc>
      <w:tc>
        <w:tcPr>
          <w:tcW w:w="5103" w:type="dxa"/>
        </w:tcPr>
        <w:p w:rsidR="002F6D64" w:rsidRPr="002226D3" w:rsidRDefault="002F6D64" w:rsidP="00EB3776">
          <w:pPr>
            <w:ind w:left="175"/>
            <w:rPr>
              <w:b/>
              <w:sz w:val="20"/>
              <w:szCs w:val="20"/>
              <w:lang w:val="en-TT" w:eastAsia="ar-SA"/>
            </w:rPr>
          </w:pPr>
          <w:r w:rsidRPr="002226D3">
            <w:rPr>
              <w:b/>
              <w:sz w:val="20"/>
              <w:szCs w:val="20"/>
              <w:lang w:val="en-TT" w:eastAsia="ar-SA"/>
            </w:rPr>
            <w:t xml:space="preserve">Informal document </w:t>
          </w:r>
          <w:r w:rsidR="000043FE">
            <w:rPr>
              <w:b/>
              <w:sz w:val="20"/>
              <w:szCs w:val="20"/>
              <w:lang w:val="en-TT" w:eastAsia="ar-SA"/>
            </w:rPr>
            <w:t>GRSG-110</w:t>
          </w:r>
          <w:r w:rsidR="002E47F3" w:rsidRPr="002226D3">
            <w:rPr>
              <w:b/>
              <w:sz w:val="20"/>
              <w:szCs w:val="20"/>
              <w:lang w:val="en-TT" w:eastAsia="ar-SA"/>
            </w:rPr>
            <w:t>-</w:t>
          </w:r>
          <w:r w:rsidR="00B03461">
            <w:rPr>
              <w:b/>
              <w:sz w:val="20"/>
              <w:szCs w:val="20"/>
              <w:lang w:val="en-TT" w:eastAsia="ar-SA"/>
            </w:rPr>
            <w:t>02</w:t>
          </w:r>
        </w:p>
        <w:p w:rsidR="00B11753" w:rsidRPr="002226D3" w:rsidRDefault="000043FE" w:rsidP="00EB3776">
          <w:pPr>
            <w:ind w:left="175"/>
            <w:rPr>
              <w:sz w:val="20"/>
              <w:szCs w:val="20"/>
              <w:lang w:val="en-TT" w:eastAsia="ar-SA"/>
            </w:rPr>
          </w:pPr>
          <w:r>
            <w:rPr>
              <w:sz w:val="20"/>
              <w:szCs w:val="20"/>
              <w:lang w:val="en-TT" w:eastAsia="ar-SA"/>
            </w:rPr>
            <w:t>(110</w:t>
          </w:r>
          <w:r w:rsidR="00B11753" w:rsidRPr="002226D3">
            <w:rPr>
              <w:sz w:val="20"/>
              <w:szCs w:val="20"/>
              <w:lang w:val="en-TT" w:eastAsia="ar-SA"/>
            </w:rPr>
            <w:t xml:space="preserve">th GRSG, </w:t>
          </w:r>
          <w:r>
            <w:rPr>
              <w:sz w:val="20"/>
              <w:szCs w:val="20"/>
              <w:lang w:val="en-TT" w:eastAsia="ar-SA"/>
            </w:rPr>
            <w:t>26</w:t>
          </w:r>
          <w:r w:rsidR="00EB3776" w:rsidRPr="002226D3">
            <w:rPr>
              <w:sz w:val="20"/>
              <w:szCs w:val="20"/>
              <w:lang w:val="en-TT" w:eastAsia="ar-SA"/>
            </w:rPr>
            <w:t>–2</w:t>
          </w:r>
          <w:r>
            <w:rPr>
              <w:sz w:val="20"/>
              <w:szCs w:val="20"/>
              <w:lang w:val="en-TT" w:eastAsia="ar-SA"/>
            </w:rPr>
            <w:t>9 April 2016</w:t>
          </w:r>
          <w:r w:rsidR="00CD434E">
            <w:rPr>
              <w:sz w:val="20"/>
              <w:szCs w:val="20"/>
              <w:lang w:val="en-TT" w:eastAsia="ar-SA"/>
            </w:rPr>
            <w:t>,</w:t>
          </w:r>
          <w:r w:rsidR="00CD434E">
            <w:rPr>
              <w:sz w:val="20"/>
              <w:szCs w:val="20"/>
              <w:lang w:val="en-TT" w:eastAsia="ar-SA"/>
            </w:rPr>
            <w:br/>
            <w:t>A</w:t>
          </w:r>
          <w:r w:rsidR="003B66F1" w:rsidRPr="002226D3">
            <w:rPr>
              <w:sz w:val="20"/>
              <w:szCs w:val="20"/>
              <w:lang w:val="en-TT" w:eastAsia="ar-SA"/>
            </w:rPr>
            <w:t xml:space="preserve">genda item </w:t>
          </w:r>
          <w:r>
            <w:rPr>
              <w:sz w:val="20"/>
              <w:szCs w:val="20"/>
              <w:lang w:val="en-TT" w:eastAsia="ar-SA"/>
            </w:rPr>
            <w:t>14</w:t>
          </w:r>
          <w:r w:rsidR="002226D3" w:rsidRPr="002226D3">
            <w:rPr>
              <w:sz w:val="20"/>
              <w:szCs w:val="20"/>
              <w:lang w:val="en-TT" w:eastAsia="ar-SA"/>
            </w:rPr>
            <w:t>.</w:t>
          </w:r>
          <w:r w:rsidR="00B11753" w:rsidRPr="002226D3">
            <w:rPr>
              <w:sz w:val="20"/>
              <w:szCs w:val="20"/>
              <w:lang w:val="en-TT" w:eastAsia="ar-SA"/>
            </w:rPr>
            <w:t>)</w:t>
          </w:r>
        </w:p>
      </w:tc>
    </w:tr>
  </w:tbl>
  <w:p w:rsidR="00B11753" w:rsidRDefault="00B117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D9"/>
    <w:multiLevelType w:val="hybridMultilevel"/>
    <w:tmpl w:val="0E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8"/>
    <w:multiLevelType w:val="hybridMultilevel"/>
    <w:tmpl w:val="4FBE8BA6"/>
    <w:lvl w:ilvl="0" w:tplc="C7A6D9A6">
      <w:start w:val="1"/>
      <w:numFmt w:val="lowerRoman"/>
      <w:lvlText w:val="(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D45"/>
    <w:multiLevelType w:val="hybridMultilevel"/>
    <w:tmpl w:val="FB907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BE"/>
    <w:multiLevelType w:val="hybridMultilevel"/>
    <w:tmpl w:val="C6CE810A"/>
    <w:lvl w:ilvl="0" w:tplc="73D4119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0EDE"/>
    <w:multiLevelType w:val="hybridMultilevel"/>
    <w:tmpl w:val="7EF8636A"/>
    <w:lvl w:ilvl="0" w:tplc="E4E85C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B32CD"/>
    <w:multiLevelType w:val="hybridMultilevel"/>
    <w:tmpl w:val="4C2A5592"/>
    <w:lvl w:ilvl="0" w:tplc="69A2F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844EF2"/>
    <w:multiLevelType w:val="hybridMultilevel"/>
    <w:tmpl w:val="95986572"/>
    <w:lvl w:ilvl="0" w:tplc="22AEF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022"/>
    <w:multiLevelType w:val="hybridMultilevel"/>
    <w:tmpl w:val="5BA0A630"/>
    <w:lvl w:ilvl="0" w:tplc="0FDA6C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13"/>
    <w:multiLevelType w:val="hybridMultilevel"/>
    <w:tmpl w:val="4FE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1914"/>
    <w:multiLevelType w:val="hybridMultilevel"/>
    <w:tmpl w:val="9D04505A"/>
    <w:lvl w:ilvl="0" w:tplc="79D44BE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5470D"/>
    <w:multiLevelType w:val="hybridMultilevel"/>
    <w:tmpl w:val="2666791A"/>
    <w:lvl w:ilvl="0" w:tplc="783E5A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8C0"/>
    <w:multiLevelType w:val="hybridMultilevel"/>
    <w:tmpl w:val="0442A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35D3"/>
    <w:multiLevelType w:val="hybridMultilevel"/>
    <w:tmpl w:val="60B2F8CC"/>
    <w:lvl w:ilvl="0" w:tplc="8CA2A9B4">
      <w:start w:val="2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ED105E"/>
    <w:multiLevelType w:val="hybridMultilevel"/>
    <w:tmpl w:val="39A8655E"/>
    <w:lvl w:ilvl="0" w:tplc="FFE0DB12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B128F"/>
    <w:multiLevelType w:val="hybridMultilevel"/>
    <w:tmpl w:val="598247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554F36"/>
    <w:multiLevelType w:val="hybridMultilevel"/>
    <w:tmpl w:val="01CE7F62"/>
    <w:lvl w:ilvl="0" w:tplc="C7A6D9A6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4162AB"/>
    <w:multiLevelType w:val="hybridMultilevel"/>
    <w:tmpl w:val="1AD8502C"/>
    <w:lvl w:ilvl="0" w:tplc="4D0881A4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4D2B"/>
    <w:multiLevelType w:val="hybridMultilevel"/>
    <w:tmpl w:val="69D809A0"/>
    <w:lvl w:ilvl="0" w:tplc="D64E10DA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E4A"/>
    <w:rsid w:val="000043FE"/>
    <w:rsid w:val="00021554"/>
    <w:rsid w:val="0003235B"/>
    <w:rsid w:val="00033514"/>
    <w:rsid w:val="0005054C"/>
    <w:rsid w:val="00056A18"/>
    <w:rsid w:val="00064114"/>
    <w:rsid w:val="000A3E18"/>
    <w:rsid w:val="000B631D"/>
    <w:rsid w:val="000E05E5"/>
    <w:rsid w:val="000E1E57"/>
    <w:rsid w:val="000E25C4"/>
    <w:rsid w:val="000E271A"/>
    <w:rsid w:val="000E727E"/>
    <w:rsid w:val="0010267B"/>
    <w:rsid w:val="001053C0"/>
    <w:rsid w:val="0011458B"/>
    <w:rsid w:val="0012442B"/>
    <w:rsid w:val="00137F22"/>
    <w:rsid w:val="00147D8A"/>
    <w:rsid w:val="0015784F"/>
    <w:rsid w:val="00165491"/>
    <w:rsid w:val="00187F84"/>
    <w:rsid w:val="001A0E48"/>
    <w:rsid w:val="001A48AF"/>
    <w:rsid w:val="001A6093"/>
    <w:rsid w:val="001B04F8"/>
    <w:rsid w:val="001E51D8"/>
    <w:rsid w:val="00210872"/>
    <w:rsid w:val="0021783C"/>
    <w:rsid w:val="002226D3"/>
    <w:rsid w:val="002258C1"/>
    <w:rsid w:val="002334F2"/>
    <w:rsid w:val="00244529"/>
    <w:rsid w:val="0025188B"/>
    <w:rsid w:val="00270DB3"/>
    <w:rsid w:val="002739C0"/>
    <w:rsid w:val="002800D8"/>
    <w:rsid w:val="002E47F3"/>
    <w:rsid w:val="002F6D64"/>
    <w:rsid w:val="00303CB9"/>
    <w:rsid w:val="003317C3"/>
    <w:rsid w:val="00350E4A"/>
    <w:rsid w:val="0036585D"/>
    <w:rsid w:val="00390AC0"/>
    <w:rsid w:val="003A3032"/>
    <w:rsid w:val="003A594A"/>
    <w:rsid w:val="003B66F1"/>
    <w:rsid w:val="003D7259"/>
    <w:rsid w:val="003E211E"/>
    <w:rsid w:val="003E5E06"/>
    <w:rsid w:val="0040534C"/>
    <w:rsid w:val="004066F9"/>
    <w:rsid w:val="004145B2"/>
    <w:rsid w:val="004461F8"/>
    <w:rsid w:val="0044689F"/>
    <w:rsid w:val="0045471F"/>
    <w:rsid w:val="0046001E"/>
    <w:rsid w:val="00460BF7"/>
    <w:rsid w:val="004713CC"/>
    <w:rsid w:val="00486F9E"/>
    <w:rsid w:val="004905F7"/>
    <w:rsid w:val="00496FB3"/>
    <w:rsid w:val="004C2EDC"/>
    <w:rsid w:val="00551965"/>
    <w:rsid w:val="0057798C"/>
    <w:rsid w:val="005C2A6A"/>
    <w:rsid w:val="005C4622"/>
    <w:rsid w:val="005D6790"/>
    <w:rsid w:val="005E46D0"/>
    <w:rsid w:val="00601B6D"/>
    <w:rsid w:val="00603473"/>
    <w:rsid w:val="00606EA8"/>
    <w:rsid w:val="00616C3B"/>
    <w:rsid w:val="00633C77"/>
    <w:rsid w:val="0064770D"/>
    <w:rsid w:val="006908E8"/>
    <w:rsid w:val="00695C93"/>
    <w:rsid w:val="006C31BC"/>
    <w:rsid w:val="006E48E5"/>
    <w:rsid w:val="00707C89"/>
    <w:rsid w:val="00713758"/>
    <w:rsid w:val="00717770"/>
    <w:rsid w:val="007755AE"/>
    <w:rsid w:val="0077562E"/>
    <w:rsid w:val="007852AA"/>
    <w:rsid w:val="007860BF"/>
    <w:rsid w:val="00797828"/>
    <w:rsid w:val="007B3A62"/>
    <w:rsid w:val="007B6313"/>
    <w:rsid w:val="007D62C8"/>
    <w:rsid w:val="007F668F"/>
    <w:rsid w:val="00800542"/>
    <w:rsid w:val="0080171E"/>
    <w:rsid w:val="008109E0"/>
    <w:rsid w:val="00810D93"/>
    <w:rsid w:val="00846FBB"/>
    <w:rsid w:val="008560BB"/>
    <w:rsid w:val="00866D01"/>
    <w:rsid w:val="008A3F79"/>
    <w:rsid w:val="008B0301"/>
    <w:rsid w:val="009164B9"/>
    <w:rsid w:val="00924F40"/>
    <w:rsid w:val="009734BE"/>
    <w:rsid w:val="00980FF3"/>
    <w:rsid w:val="009A2170"/>
    <w:rsid w:val="009A3E21"/>
    <w:rsid w:val="009A43D7"/>
    <w:rsid w:val="009D0E90"/>
    <w:rsid w:val="009E500B"/>
    <w:rsid w:val="009E5D62"/>
    <w:rsid w:val="00A16B6F"/>
    <w:rsid w:val="00A25253"/>
    <w:rsid w:val="00A27151"/>
    <w:rsid w:val="00A3635F"/>
    <w:rsid w:val="00A46620"/>
    <w:rsid w:val="00A5441F"/>
    <w:rsid w:val="00A8526F"/>
    <w:rsid w:val="00A9709F"/>
    <w:rsid w:val="00AA3C92"/>
    <w:rsid w:val="00AA591B"/>
    <w:rsid w:val="00AD30E9"/>
    <w:rsid w:val="00B03461"/>
    <w:rsid w:val="00B11753"/>
    <w:rsid w:val="00B452C1"/>
    <w:rsid w:val="00B95719"/>
    <w:rsid w:val="00BA544A"/>
    <w:rsid w:val="00BC0209"/>
    <w:rsid w:val="00BC6EA0"/>
    <w:rsid w:val="00BD4738"/>
    <w:rsid w:val="00BD537B"/>
    <w:rsid w:val="00BE3B29"/>
    <w:rsid w:val="00BF78B2"/>
    <w:rsid w:val="00C16F0C"/>
    <w:rsid w:val="00C26D6E"/>
    <w:rsid w:val="00C54187"/>
    <w:rsid w:val="00C71C95"/>
    <w:rsid w:val="00CA663C"/>
    <w:rsid w:val="00CB79ED"/>
    <w:rsid w:val="00CD434E"/>
    <w:rsid w:val="00CD4CBE"/>
    <w:rsid w:val="00CE228F"/>
    <w:rsid w:val="00CF11EB"/>
    <w:rsid w:val="00D00538"/>
    <w:rsid w:val="00D2380D"/>
    <w:rsid w:val="00D26534"/>
    <w:rsid w:val="00D3044D"/>
    <w:rsid w:val="00D366FC"/>
    <w:rsid w:val="00D67406"/>
    <w:rsid w:val="00D71C71"/>
    <w:rsid w:val="00D75A85"/>
    <w:rsid w:val="00D77FCE"/>
    <w:rsid w:val="00D908E5"/>
    <w:rsid w:val="00DC3642"/>
    <w:rsid w:val="00DD58A5"/>
    <w:rsid w:val="00DD7B58"/>
    <w:rsid w:val="00DF63D1"/>
    <w:rsid w:val="00E161B1"/>
    <w:rsid w:val="00E4665F"/>
    <w:rsid w:val="00E55518"/>
    <w:rsid w:val="00EA24BF"/>
    <w:rsid w:val="00EB3776"/>
    <w:rsid w:val="00ED6FF0"/>
    <w:rsid w:val="00F07BD5"/>
    <w:rsid w:val="00F11BC8"/>
    <w:rsid w:val="00F37A7E"/>
    <w:rsid w:val="00F40F0E"/>
    <w:rsid w:val="00F52D4A"/>
    <w:rsid w:val="00F64600"/>
    <w:rsid w:val="00F81CF8"/>
    <w:rsid w:val="00F86E67"/>
    <w:rsid w:val="00F9033A"/>
    <w:rsid w:val="00F93301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0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5054C"/>
    <w:rPr>
      <w:lang w:eastAsia="ja-JP"/>
    </w:rPr>
  </w:style>
  <w:style w:type="character" w:styleId="FootnoteReference">
    <w:name w:val="footnote reference"/>
    <w:uiPriority w:val="99"/>
    <w:semiHidden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28BE-E583-427D-AB77-E7B9D7D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GRSG-107-02</vt:lpstr>
      <vt:lpstr>GRSG-107-02</vt:lpstr>
    </vt:vector>
  </TitlesOfParts>
  <Company>Clepa</Company>
  <LinksUpToDate>false</LinksUpToDate>
  <CharactersWithSpaces>4051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http://www.unece.org/trans/main/wp29/wp29wgs/wp29gen/acronyms_definitions.html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GRSG-107-02</dc:title>
  <dc:creator>GRSG</dc:creator>
  <cp:lastModifiedBy>Hubert Romain</cp:lastModifiedBy>
  <cp:revision>2</cp:revision>
  <cp:lastPrinted>2016-04-06T09:50:00Z</cp:lastPrinted>
  <dcterms:created xsi:type="dcterms:W3CDTF">2016-04-06T09:52:00Z</dcterms:created>
  <dcterms:modified xsi:type="dcterms:W3CDTF">2016-04-06T09:52:00Z</dcterms:modified>
</cp:coreProperties>
</file>