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80" w:rsidRPr="006E612A" w:rsidRDefault="00FD0980" w:rsidP="003E747A">
      <w:pPr>
        <w:pStyle w:val="HChG"/>
        <w:spacing w:before="0" w:after="0" w:line="240" w:lineRule="auto"/>
        <w:ind w:left="0" w:firstLine="0"/>
        <w:jc w:val="center"/>
      </w:pPr>
      <w:r w:rsidRPr="006E612A">
        <w:t>Applicability of UN Regulations to trolley buses</w:t>
      </w:r>
    </w:p>
    <w:p w:rsidR="003E747A" w:rsidRPr="006E612A" w:rsidRDefault="003E747A" w:rsidP="00111303">
      <w:pPr>
        <w:spacing w:line="240" w:lineRule="auto"/>
        <w:ind w:right="1275"/>
        <w:jc w:val="both"/>
      </w:pPr>
    </w:p>
    <w:p w:rsidR="003E747A" w:rsidRPr="006E612A" w:rsidRDefault="00FD0980" w:rsidP="003E747A">
      <w:pPr>
        <w:pStyle w:val="ListParagraph"/>
        <w:numPr>
          <w:ilvl w:val="0"/>
          <w:numId w:val="3"/>
        </w:numPr>
        <w:spacing w:line="240" w:lineRule="auto"/>
        <w:ind w:right="1275"/>
        <w:jc w:val="both"/>
      </w:pPr>
      <w:r w:rsidRPr="006E612A">
        <w:t xml:space="preserve">This document has to be read in conjunction with paragraph “A” of informal document GRSG-110-04. </w:t>
      </w:r>
    </w:p>
    <w:p w:rsidR="003E747A" w:rsidRPr="006E612A" w:rsidRDefault="003E747A" w:rsidP="003E747A">
      <w:pPr>
        <w:pStyle w:val="ListParagraph"/>
        <w:spacing w:line="240" w:lineRule="auto"/>
        <w:ind w:left="360" w:right="1275"/>
        <w:jc w:val="both"/>
      </w:pPr>
    </w:p>
    <w:p w:rsidR="003E747A" w:rsidRPr="006E612A" w:rsidRDefault="00FD0980" w:rsidP="003E747A">
      <w:pPr>
        <w:pStyle w:val="ListParagraph"/>
        <w:numPr>
          <w:ilvl w:val="0"/>
          <w:numId w:val="3"/>
        </w:numPr>
        <w:spacing w:line="240" w:lineRule="auto"/>
        <w:ind w:right="1275"/>
        <w:jc w:val="both"/>
      </w:pPr>
      <w:r w:rsidRPr="006E612A">
        <w:t>At GRE-74 session, GRE decided, based on OICA proposal, to create a dedicated task-force (TF) that would tackle the electromagnetic compatibility (EMC) proposals and issues related to Regulation No. 10 (see item 24. of the report).</w:t>
      </w:r>
    </w:p>
    <w:p w:rsidR="003E747A" w:rsidRPr="006E612A" w:rsidRDefault="003E747A" w:rsidP="003E747A">
      <w:pPr>
        <w:pStyle w:val="ListParagraph"/>
        <w:spacing w:line="240" w:lineRule="auto"/>
        <w:ind w:left="360" w:right="1275"/>
        <w:jc w:val="both"/>
      </w:pPr>
    </w:p>
    <w:p w:rsidR="003E747A" w:rsidRPr="006E612A" w:rsidRDefault="00FD0980" w:rsidP="003E747A">
      <w:pPr>
        <w:pStyle w:val="ListParagraph"/>
        <w:numPr>
          <w:ilvl w:val="0"/>
          <w:numId w:val="3"/>
        </w:numPr>
        <w:spacing w:line="240" w:lineRule="auto"/>
        <w:ind w:right="1275"/>
        <w:jc w:val="both"/>
      </w:pPr>
      <w:r w:rsidRPr="006E612A">
        <w:t>Among other EMC proposals, the top priority of TF EMC was to deal with EMC of trolley buses, based on previous documents proposed by Belgium (GRE/2014/41) and Russia (GRE-74-12).</w:t>
      </w:r>
    </w:p>
    <w:p w:rsidR="003E747A" w:rsidRPr="006E612A" w:rsidRDefault="003E747A" w:rsidP="003E747A">
      <w:pPr>
        <w:pStyle w:val="ListParagraph"/>
        <w:spacing w:line="240" w:lineRule="auto"/>
        <w:ind w:left="360" w:right="1275"/>
        <w:jc w:val="both"/>
      </w:pPr>
    </w:p>
    <w:p w:rsidR="00B17CA6" w:rsidRPr="006E612A" w:rsidRDefault="00FD0980" w:rsidP="00B17CA6">
      <w:pPr>
        <w:pStyle w:val="ListParagraph"/>
        <w:numPr>
          <w:ilvl w:val="0"/>
          <w:numId w:val="3"/>
        </w:numPr>
        <w:spacing w:line="240" w:lineRule="auto"/>
        <w:ind w:right="1275"/>
        <w:jc w:val="both"/>
      </w:pPr>
      <w:r w:rsidRPr="006E612A">
        <w:t>TF EMC had its first meeting on January, 27</w:t>
      </w:r>
      <w:r w:rsidRPr="006E612A">
        <w:rPr>
          <w:vertAlign w:val="superscript"/>
        </w:rPr>
        <w:t>th</w:t>
      </w:r>
      <w:r w:rsidRPr="006E612A">
        <w:t xml:space="preserve"> 2016 and had deemed necessary to clarify the operating modes of trolley buses and also, depending on these modes, to indicate which regulations or standards should be used. TF EMC had then come up with a text and a flow diagram to better address the trolley buses case. The text explains that trolley bus could operate depending on whether they are connected to the overhead contact line (OCL)</w:t>
      </w:r>
      <w:r w:rsidR="00B17CA6" w:rsidRPr="006E612A">
        <w:t xml:space="preserve"> or not.</w:t>
      </w:r>
    </w:p>
    <w:p w:rsidR="00B17CA6" w:rsidRPr="006E612A" w:rsidRDefault="00B17CA6" w:rsidP="00B17CA6">
      <w:pPr>
        <w:pStyle w:val="ListParagraph"/>
        <w:spacing w:line="240" w:lineRule="auto"/>
        <w:ind w:left="360" w:right="1275"/>
        <w:jc w:val="both"/>
      </w:pPr>
    </w:p>
    <w:p w:rsidR="00BC6161" w:rsidRPr="006E612A" w:rsidRDefault="00FD0980" w:rsidP="00BC6161">
      <w:pPr>
        <w:pStyle w:val="ListParagraph"/>
        <w:numPr>
          <w:ilvl w:val="0"/>
          <w:numId w:val="3"/>
        </w:numPr>
        <w:spacing w:line="240" w:lineRule="auto"/>
        <w:ind w:right="1275"/>
        <w:jc w:val="both"/>
      </w:pPr>
      <w:r w:rsidRPr="006E612A">
        <w:t xml:space="preserve">As stated in UN Regulation No. 107, trolley buses are dual-mode vehicles. They can operate either: (a) in trolley mode, when connected to the OCL, or (b) in bus mode when not connected to the OCL. When not connected to the OCL, they can also be (c) in charging mode, where they are stationary and plugged into the power grid for battery charging. When the trolley bus operates in mode (a), the railway standard for EMC should be used (IEC </w:t>
      </w:r>
      <w:r w:rsidRPr="006E612A">
        <w:rPr>
          <w:lang w:val="en-US"/>
        </w:rPr>
        <w:t>62236-3-1).Whereas, when the trolley bus operates in mode (b) or (c), UN Regulation</w:t>
      </w:r>
      <w:r w:rsidR="003D61A3">
        <w:rPr>
          <w:lang w:val="en-US"/>
        </w:rPr>
        <w:t xml:space="preserve"> No. 10 should be used.</w:t>
      </w:r>
    </w:p>
    <w:p w:rsidR="00BC6161" w:rsidRPr="006E612A" w:rsidRDefault="00BC6161" w:rsidP="00BC6161">
      <w:pPr>
        <w:pStyle w:val="ListParagraph"/>
        <w:spacing w:line="240" w:lineRule="auto"/>
        <w:ind w:left="360" w:right="1275"/>
        <w:jc w:val="both"/>
      </w:pPr>
    </w:p>
    <w:p w:rsidR="00BC6161" w:rsidRPr="006E612A" w:rsidRDefault="00FD0980" w:rsidP="00BC6161">
      <w:pPr>
        <w:pStyle w:val="ListParagraph"/>
        <w:numPr>
          <w:ilvl w:val="0"/>
          <w:numId w:val="3"/>
        </w:numPr>
        <w:spacing w:line="240" w:lineRule="auto"/>
        <w:ind w:right="1275"/>
        <w:jc w:val="both"/>
      </w:pPr>
      <w:r w:rsidRPr="006E612A">
        <w:t>In addition to this clarification, TF EMC has commented during its 1</w:t>
      </w:r>
      <w:r w:rsidRPr="006E612A">
        <w:rPr>
          <w:vertAlign w:val="superscript"/>
        </w:rPr>
        <w:t>st</w:t>
      </w:r>
      <w:r w:rsidRPr="006E612A">
        <w:t xml:space="preserve"> meeting that the document Mutual Resolution No. 2 (M.R.2) of the 1958 and the 1998 Agreements (WP.29/1121), containing Vehicle Propulsion System Definitions (VPSD), item </w:t>
      </w:r>
      <w:proofErr w:type="gramStart"/>
      <w:r w:rsidRPr="006E612A">
        <w:t>44.,</w:t>
      </w:r>
      <w:proofErr w:type="gramEnd"/>
      <w:r w:rsidRPr="006E612A">
        <w:t xml:space="preserve"> should be amended in the direction of the proposed clarification.</w:t>
      </w:r>
    </w:p>
    <w:p w:rsidR="00BC6161" w:rsidRPr="006E612A" w:rsidRDefault="00BC6161" w:rsidP="00BC6161">
      <w:pPr>
        <w:pStyle w:val="ListParagraph"/>
        <w:spacing w:line="240" w:lineRule="auto"/>
        <w:ind w:left="360" w:right="1275"/>
        <w:jc w:val="both"/>
      </w:pPr>
    </w:p>
    <w:p w:rsidR="00134F1F" w:rsidRPr="006E612A" w:rsidRDefault="00FD0980" w:rsidP="00134F1F">
      <w:pPr>
        <w:pStyle w:val="ListParagraph"/>
        <w:numPr>
          <w:ilvl w:val="0"/>
          <w:numId w:val="3"/>
        </w:numPr>
        <w:spacing w:line="240" w:lineRule="auto"/>
        <w:ind w:right="1275"/>
        <w:jc w:val="both"/>
      </w:pPr>
      <w:r w:rsidRPr="006E612A">
        <w:rPr>
          <w:lang w:val="en-US"/>
        </w:rPr>
        <w:t>Figure 1 below is the flow diagram that summarizes the different operating conditions and which regulation/standard should be used accordingly. The clarification text and the flow diagram can be inserted in any UN Regula</w:t>
      </w:r>
      <w:r w:rsidR="003D61A3">
        <w:rPr>
          <w:lang w:val="en-US"/>
        </w:rPr>
        <w:t>tions that may benefit from it.</w:t>
      </w:r>
    </w:p>
    <w:p w:rsidR="00134F1F" w:rsidRPr="006E612A" w:rsidRDefault="00134F1F" w:rsidP="00134F1F">
      <w:pPr>
        <w:pStyle w:val="ListParagraph"/>
        <w:spacing w:line="240" w:lineRule="auto"/>
        <w:ind w:left="360" w:right="1275"/>
        <w:jc w:val="both"/>
      </w:pPr>
    </w:p>
    <w:p w:rsidR="00FD0980" w:rsidRPr="006E612A" w:rsidRDefault="00FD0980" w:rsidP="00134F1F">
      <w:pPr>
        <w:pStyle w:val="ListParagraph"/>
        <w:numPr>
          <w:ilvl w:val="0"/>
          <w:numId w:val="3"/>
        </w:numPr>
        <w:spacing w:line="240" w:lineRule="auto"/>
        <w:ind w:right="1275"/>
        <w:jc w:val="both"/>
      </w:pPr>
      <w:r w:rsidRPr="006E612A">
        <w:t xml:space="preserve">Also, beyond pure EMC constraints, TF EMC together with OICA has identified that in case of a trolley bus equipped with a Diesel engine as an internal mean of propulsion (instead of a battery), when operating in bus mode (not connected to OCL), then other UN Regulations will be </w:t>
      </w:r>
      <w:r w:rsidR="000D7388" w:rsidRPr="006E612A">
        <w:t>c</w:t>
      </w:r>
      <w:r w:rsidRPr="006E612A">
        <w:t>oncerned. For instance</w:t>
      </w:r>
      <w:r w:rsidR="000D7388" w:rsidRPr="006E612A">
        <w:t>:</w:t>
      </w:r>
    </w:p>
    <w:p w:rsidR="00FD0980" w:rsidRPr="006E612A" w:rsidRDefault="00FD0980" w:rsidP="00FD0980">
      <w:pPr>
        <w:pStyle w:val="ListParagraph"/>
        <w:numPr>
          <w:ilvl w:val="0"/>
          <w:numId w:val="2"/>
        </w:numPr>
        <w:spacing w:line="240" w:lineRule="auto"/>
        <w:ind w:right="1134"/>
      </w:pPr>
      <w:r w:rsidRPr="006E612A">
        <w:t>UN R</w:t>
      </w:r>
      <w:r w:rsidR="000D7388" w:rsidRPr="006E612A">
        <w:t xml:space="preserve">egulation No. </w:t>
      </w:r>
      <w:r w:rsidRPr="006E612A">
        <w:t>100 (electrical safety) of GRSP</w:t>
      </w:r>
      <w:r w:rsidR="00D43185" w:rsidRPr="006E612A">
        <w:t>,</w:t>
      </w:r>
    </w:p>
    <w:p w:rsidR="00FD0980" w:rsidRPr="006E612A" w:rsidRDefault="00FD0980" w:rsidP="00FD0980">
      <w:pPr>
        <w:pStyle w:val="ListParagraph"/>
        <w:numPr>
          <w:ilvl w:val="0"/>
          <w:numId w:val="2"/>
        </w:numPr>
        <w:spacing w:line="240" w:lineRule="auto"/>
        <w:ind w:right="1134"/>
      </w:pPr>
      <w:r w:rsidRPr="006E612A">
        <w:t>UN R</w:t>
      </w:r>
      <w:r w:rsidR="00D43185" w:rsidRPr="006E612A">
        <w:t xml:space="preserve">egulation No. </w:t>
      </w:r>
      <w:r w:rsidRPr="006E612A">
        <w:t>51 (Noise) of GRB</w:t>
      </w:r>
      <w:r w:rsidR="00D43185" w:rsidRPr="006E612A">
        <w:t>,</w:t>
      </w:r>
    </w:p>
    <w:p w:rsidR="00FD0980" w:rsidRPr="006E612A" w:rsidRDefault="00FD0980" w:rsidP="00FD0980">
      <w:pPr>
        <w:pStyle w:val="ListParagraph"/>
        <w:numPr>
          <w:ilvl w:val="0"/>
          <w:numId w:val="2"/>
        </w:numPr>
        <w:spacing w:line="240" w:lineRule="auto"/>
        <w:ind w:right="1134"/>
      </w:pPr>
      <w:r w:rsidRPr="006E612A">
        <w:t>UN R</w:t>
      </w:r>
      <w:r w:rsidR="003E32E1" w:rsidRPr="006E612A">
        <w:t>egulation Nos. 13 (Brakes) and</w:t>
      </w:r>
      <w:r w:rsidR="00D43185" w:rsidRPr="006E612A">
        <w:t xml:space="preserve"> </w:t>
      </w:r>
      <w:r w:rsidRPr="006E612A">
        <w:t xml:space="preserve">89 (speed limitation of devices) </w:t>
      </w:r>
      <w:r w:rsidR="00D920B0" w:rsidRPr="006E612A">
        <w:t>of GRSG</w:t>
      </w:r>
      <w:r w:rsidR="005248F9" w:rsidRPr="006E612A">
        <w:t>,</w:t>
      </w:r>
    </w:p>
    <w:p w:rsidR="00D920B0" w:rsidRPr="006E612A" w:rsidRDefault="00BD0C08" w:rsidP="00D920B0">
      <w:pPr>
        <w:pStyle w:val="ListParagraph"/>
        <w:numPr>
          <w:ilvl w:val="0"/>
          <w:numId w:val="2"/>
        </w:numPr>
        <w:spacing w:line="240" w:lineRule="auto"/>
        <w:ind w:right="1134"/>
      </w:pPr>
      <w:r w:rsidRPr="006E612A">
        <w:t>a</w:t>
      </w:r>
      <w:r w:rsidR="005248F9" w:rsidRPr="006E612A">
        <w:t xml:space="preserve">nd </w:t>
      </w:r>
      <w:r w:rsidR="00FD0980" w:rsidRPr="006E612A">
        <w:t>UN R</w:t>
      </w:r>
      <w:r w:rsidR="00823371" w:rsidRPr="006E612A">
        <w:t xml:space="preserve">egulation No. </w:t>
      </w:r>
      <w:r w:rsidR="00FD0980" w:rsidRPr="006E612A">
        <w:t>49 (Emissions) of GRPE</w:t>
      </w:r>
    </w:p>
    <w:p w:rsidR="00655A92" w:rsidRPr="006E612A" w:rsidRDefault="00655A92" w:rsidP="00655A92">
      <w:pPr>
        <w:spacing w:line="240" w:lineRule="auto"/>
        <w:ind w:left="357" w:right="1276"/>
      </w:pPr>
      <w:proofErr w:type="gramStart"/>
      <w:r w:rsidRPr="006E612A">
        <w:t>could</w:t>
      </w:r>
      <w:proofErr w:type="gramEnd"/>
      <w:r w:rsidRPr="006E612A">
        <w:t xml:space="preserve"> be impacted</w:t>
      </w:r>
      <w:r w:rsidR="003D61A3">
        <w:t>.</w:t>
      </w:r>
    </w:p>
    <w:p w:rsidR="00655A92" w:rsidRPr="006E612A" w:rsidRDefault="00655A92" w:rsidP="00655A92">
      <w:pPr>
        <w:spacing w:line="240" w:lineRule="auto"/>
        <w:ind w:right="1276"/>
      </w:pPr>
    </w:p>
    <w:p w:rsidR="00FA1C32" w:rsidRPr="006E612A" w:rsidRDefault="00FD0980" w:rsidP="00FA1C32">
      <w:pPr>
        <w:pStyle w:val="ListParagraph"/>
        <w:numPr>
          <w:ilvl w:val="0"/>
          <w:numId w:val="3"/>
        </w:numPr>
        <w:spacing w:line="240" w:lineRule="auto"/>
        <w:ind w:right="1276"/>
        <w:jc w:val="both"/>
      </w:pPr>
      <w:r w:rsidRPr="006E612A">
        <w:t>These two last items, namely which UN Regulations have to be amended with such flow diagram</w:t>
      </w:r>
      <w:r w:rsidR="00014833" w:rsidRPr="006E612A">
        <w:t xml:space="preserve"> (item 7</w:t>
      </w:r>
      <w:r w:rsidRPr="006E612A">
        <w:t>.), and also how to handle other constraints</w:t>
      </w:r>
      <w:r w:rsidR="00014833" w:rsidRPr="006E612A">
        <w:t xml:space="preserve"> (item 8</w:t>
      </w:r>
      <w:r w:rsidRPr="006E612A">
        <w:t>.), have driven TF EMC together with OICA to seek advice to WP.29 in order to get guidance on how to proceed further with the treatment of trolley buses in the frame of UN Regulations. The topic would then be addressed, via an informal document, to June 2016 WP.29 session.</w:t>
      </w:r>
    </w:p>
    <w:p w:rsidR="00FA1C32" w:rsidRPr="006E612A" w:rsidRDefault="00FA1C32" w:rsidP="00FA1C32">
      <w:pPr>
        <w:pStyle w:val="ListParagraph"/>
        <w:spacing w:line="240" w:lineRule="auto"/>
        <w:ind w:left="360" w:right="1276"/>
        <w:jc w:val="both"/>
      </w:pPr>
    </w:p>
    <w:p w:rsidR="00FD0980" w:rsidRPr="006E612A" w:rsidRDefault="00FA1C32" w:rsidP="00FA1C32">
      <w:pPr>
        <w:pStyle w:val="ListParagraph"/>
        <w:numPr>
          <w:ilvl w:val="0"/>
          <w:numId w:val="3"/>
        </w:numPr>
        <w:spacing w:line="240" w:lineRule="auto"/>
        <w:ind w:right="1276"/>
        <w:jc w:val="both"/>
      </w:pPr>
      <w:r w:rsidRPr="006E612A">
        <w:t xml:space="preserve">As both </w:t>
      </w:r>
      <w:r w:rsidR="00FD0980" w:rsidRPr="006E612A">
        <w:t xml:space="preserve">GRE </w:t>
      </w:r>
      <w:r w:rsidRPr="006E612A">
        <w:t>and GRSG are</w:t>
      </w:r>
      <w:r w:rsidR="001F689F" w:rsidRPr="006E612A">
        <w:t xml:space="preserve"> affected by the topic of </w:t>
      </w:r>
      <w:r w:rsidR="00FD0980" w:rsidRPr="006E612A">
        <w:t>trolley buses</w:t>
      </w:r>
      <w:r w:rsidRPr="006E612A">
        <w:t>,</w:t>
      </w:r>
      <w:r w:rsidR="00FD0980" w:rsidRPr="006E612A">
        <w:t xml:space="preserve"> this document which w</w:t>
      </w:r>
      <w:r w:rsidRPr="006E612A">
        <w:t xml:space="preserve">as already presented to </w:t>
      </w:r>
      <w:r w:rsidR="00610284" w:rsidRPr="006E612A">
        <w:t>the 75</w:t>
      </w:r>
      <w:r w:rsidR="00610284" w:rsidRPr="006E612A">
        <w:rPr>
          <w:vertAlign w:val="superscript"/>
        </w:rPr>
        <w:t>th</w:t>
      </w:r>
      <w:r w:rsidR="00610284" w:rsidRPr="006E612A">
        <w:t xml:space="preserve"> </w:t>
      </w:r>
      <w:r w:rsidR="00FD0980" w:rsidRPr="006E612A">
        <w:t>GRE is now also introduced to the 110</w:t>
      </w:r>
      <w:r w:rsidR="00610284" w:rsidRPr="006E612A">
        <w:rPr>
          <w:vertAlign w:val="superscript"/>
        </w:rPr>
        <w:t>th</w:t>
      </w:r>
      <w:r w:rsidR="00FD0980" w:rsidRPr="006E612A">
        <w:t xml:space="preserve"> GRSG.</w:t>
      </w:r>
    </w:p>
    <w:p w:rsidR="00FD0980" w:rsidRPr="006E612A" w:rsidRDefault="00FD0980" w:rsidP="00FD0980">
      <w:pPr>
        <w:pStyle w:val="ListParagraph"/>
        <w:spacing w:line="240" w:lineRule="auto"/>
      </w:pPr>
    </w:p>
    <w:p w:rsidR="005B3800" w:rsidRDefault="005B3800">
      <w:pPr>
        <w:suppressAutoHyphens w:val="0"/>
        <w:spacing w:after="160" w:line="259" w:lineRule="auto"/>
        <w:rPr>
          <w:rFonts w:eastAsia="MS Mincho"/>
        </w:rPr>
      </w:pPr>
      <w:r>
        <w:br w:type="page"/>
      </w:r>
    </w:p>
    <w:p w:rsidR="00FD0980" w:rsidRPr="006E612A" w:rsidRDefault="00FD0980" w:rsidP="00FD0980">
      <w:pPr>
        <w:pStyle w:val="para"/>
        <w:jc w:val="center"/>
      </w:pPr>
      <w:bookmarkStart w:id="0" w:name="_GoBack"/>
      <w:bookmarkEnd w:id="0"/>
    </w:p>
    <w:p w:rsidR="00FD0980" w:rsidRPr="006E612A" w:rsidRDefault="00FD0980" w:rsidP="00FD0980">
      <w:pPr>
        <w:pStyle w:val="para"/>
        <w:jc w:val="center"/>
      </w:pPr>
      <w:r w:rsidRPr="006E612A">
        <w:rPr>
          <w:noProof/>
          <w:lang w:eastAsia="en-GB"/>
        </w:rPr>
        <w:drawing>
          <wp:inline distT="0" distB="0" distL="0" distR="0" wp14:anchorId="31255C3F" wp14:editId="01509AA2">
            <wp:extent cx="4752000" cy="566404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0832"/>
                    <a:stretch/>
                  </pic:blipFill>
                  <pic:spPr bwMode="auto">
                    <a:xfrm>
                      <a:off x="0" y="0"/>
                      <a:ext cx="4752000" cy="5664043"/>
                    </a:xfrm>
                    <a:prstGeom prst="rect">
                      <a:avLst/>
                    </a:prstGeom>
                    <a:noFill/>
                    <a:ln>
                      <a:noFill/>
                    </a:ln>
                    <a:extLst>
                      <a:ext uri="{53640926-AAD7-44D8-BBD7-CCE9431645EC}">
                        <a14:shadowObscured xmlns:a14="http://schemas.microsoft.com/office/drawing/2010/main"/>
                      </a:ext>
                    </a:extLst>
                  </pic:spPr>
                </pic:pic>
              </a:graphicData>
            </a:graphic>
          </wp:inline>
        </w:drawing>
      </w:r>
    </w:p>
    <w:p w:rsidR="00FD0980" w:rsidRPr="006E612A" w:rsidRDefault="00FD0980" w:rsidP="00FD0980">
      <w:pPr>
        <w:spacing w:after="120"/>
        <w:ind w:left="1134" w:right="1134"/>
        <w:jc w:val="center"/>
        <w:rPr>
          <w:u w:val="single"/>
        </w:rPr>
      </w:pPr>
    </w:p>
    <w:p w:rsidR="00FD0980" w:rsidRPr="006E612A" w:rsidRDefault="00FD0980" w:rsidP="00FD0980">
      <w:pPr>
        <w:spacing w:after="120"/>
        <w:ind w:left="1134" w:right="1134"/>
        <w:jc w:val="center"/>
      </w:pPr>
      <w:r w:rsidRPr="006E612A">
        <w:rPr>
          <w:b/>
        </w:rPr>
        <w:t>Figure 1:</w:t>
      </w:r>
      <w:r w:rsidRPr="006E612A">
        <w:t xml:space="preserve"> Trolley bus operating modes and regulation/standard to be used</w:t>
      </w:r>
    </w:p>
    <w:p w:rsidR="00FD0980" w:rsidRPr="006E612A" w:rsidRDefault="00FD0980" w:rsidP="00FD0980">
      <w:pPr>
        <w:spacing w:after="120"/>
        <w:ind w:left="1134" w:right="1134"/>
        <w:jc w:val="center"/>
        <w:rPr>
          <w:u w:val="single"/>
        </w:rPr>
      </w:pPr>
      <w:r w:rsidRPr="006E612A">
        <w:rPr>
          <w:u w:val="single"/>
        </w:rPr>
        <w:tab/>
      </w:r>
      <w:r w:rsidRPr="006E612A">
        <w:rPr>
          <w:u w:val="single"/>
        </w:rPr>
        <w:tab/>
      </w:r>
    </w:p>
    <w:p w:rsidR="0043746F" w:rsidRPr="006E612A" w:rsidRDefault="005B3800"/>
    <w:sectPr w:rsidR="0043746F" w:rsidRPr="006E612A" w:rsidSect="005B3800">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BB" w:rsidRDefault="004862BB" w:rsidP="00FD0980">
      <w:pPr>
        <w:spacing w:line="240" w:lineRule="auto"/>
      </w:pPr>
      <w:r>
        <w:separator/>
      </w:r>
    </w:p>
  </w:endnote>
  <w:endnote w:type="continuationSeparator" w:id="0">
    <w:p w:rsidR="004862BB" w:rsidRDefault="004862BB" w:rsidP="00FD0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411485"/>
      <w:docPartObj>
        <w:docPartGallery w:val="Page Numbers (Bottom of Page)"/>
        <w:docPartUnique/>
      </w:docPartObj>
    </w:sdtPr>
    <w:sdtEndPr>
      <w:rPr>
        <w:noProof/>
      </w:rPr>
    </w:sdtEndPr>
    <w:sdtContent>
      <w:p w:rsidR="00C54921" w:rsidRDefault="00C54921">
        <w:pPr>
          <w:pStyle w:val="Footer"/>
          <w:jc w:val="center"/>
        </w:pPr>
        <w:r>
          <w:fldChar w:fldCharType="begin"/>
        </w:r>
        <w:r>
          <w:instrText xml:space="preserve"> PAGE   \* MERGEFORMAT </w:instrText>
        </w:r>
        <w:r>
          <w:fldChar w:fldCharType="separate"/>
        </w:r>
        <w:r w:rsidR="005B3800">
          <w:rPr>
            <w:noProof/>
          </w:rPr>
          <w:t>2</w:t>
        </w:r>
        <w:r>
          <w:rPr>
            <w:noProof/>
          </w:rPr>
          <w:fldChar w:fldCharType="end"/>
        </w:r>
      </w:p>
    </w:sdtContent>
  </w:sdt>
  <w:p w:rsidR="00C54921" w:rsidRDefault="00C54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BB" w:rsidRDefault="004862BB" w:rsidP="00FD0980">
      <w:pPr>
        <w:spacing w:line="240" w:lineRule="auto"/>
      </w:pPr>
      <w:r>
        <w:separator/>
      </w:r>
    </w:p>
  </w:footnote>
  <w:footnote w:type="continuationSeparator" w:id="0">
    <w:p w:rsidR="004862BB" w:rsidRDefault="004862BB" w:rsidP="00FD09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5B3800" w:rsidRPr="0035238E" w:rsidTr="00812802">
      <w:trPr>
        <w:trHeight w:hRule="exact" w:val="719"/>
      </w:trPr>
      <w:tc>
        <w:tcPr>
          <w:tcW w:w="5103" w:type="dxa"/>
          <w:shd w:val="clear" w:color="auto" w:fill="auto"/>
        </w:tcPr>
        <w:p w:rsidR="005B3800" w:rsidRPr="0035238E" w:rsidRDefault="005B3800" w:rsidP="00812802">
          <w:pPr>
            <w:widowControl w:val="0"/>
            <w:spacing w:after="80" w:line="300" w:lineRule="exact"/>
            <w:rPr>
              <w:rFonts w:eastAsia="HGSGothicM"/>
              <w:kern w:val="2"/>
              <w:lang w:val="en-US" w:eastAsia="ja-JP"/>
            </w:rPr>
          </w:pPr>
          <w:r w:rsidRPr="0035238E">
            <w:rPr>
              <w:rFonts w:eastAsia="HGSGothicM"/>
              <w:kern w:val="2"/>
              <w:lang w:val="en-US" w:eastAsia="ko-KR"/>
            </w:rPr>
            <w:t>Submitted</w:t>
          </w:r>
          <w:r>
            <w:rPr>
              <w:rFonts w:eastAsia="HGSGothicM"/>
              <w:kern w:val="2"/>
              <w:lang w:val="en-US" w:eastAsia="ja-JP"/>
            </w:rPr>
            <w:t xml:space="preserve"> by the expert from OICA</w:t>
          </w:r>
        </w:p>
      </w:tc>
      <w:tc>
        <w:tcPr>
          <w:tcW w:w="4341" w:type="dxa"/>
          <w:shd w:val="clear" w:color="auto" w:fill="auto"/>
        </w:tcPr>
        <w:p w:rsidR="005B3800" w:rsidRPr="007F7A9F" w:rsidRDefault="005B3800" w:rsidP="00812802">
          <w:pPr>
            <w:jc w:val="right"/>
            <w:rPr>
              <w:lang w:val="en-US"/>
            </w:rPr>
          </w:pPr>
          <w:r w:rsidRPr="007F7A9F">
            <w:rPr>
              <w:lang w:val="en-US"/>
            </w:rPr>
            <w:t xml:space="preserve">Informal document </w:t>
          </w:r>
          <w:r>
            <w:rPr>
              <w:b/>
              <w:lang w:val="en-US"/>
            </w:rPr>
            <w:t>GRSG-110-08</w:t>
          </w:r>
        </w:p>
        <w:p w:rsidR="005B3800" w:rsidRPr="007F7A9F" w:rsidRDefault="005B3800" w:rsidP="00812802">
          <w:pPr>
            <w:widowControl w:val="0"/>
            <w:tabs>
              <w:tab w:val="center" w:pos="4677"/>
              <w:tab w:val="right" w:pos="9355"/>
            </w:tabs>
            <w:ind w:left="567"/>
            <w:jc w:val="right"/>
            <w:rPr>
              <w:rFonts w:eastAsia="HGSGothicM"/>
              <w:kern w:val="2"/>
              <w:lang w:val="en-US" w:eastAsia="ko-KR"/>
            </w:rPr>
          </w:pPr>
          <w:r>
            <w:rPr>
              <w:rFonts w:eastAsia="HGSGothicM"/>
              <w:kern w:val="2"/>
              <w:lang w:val="en-US" w:eastAsia="ar-SA"/>
            </w:rPr>
            <w:t>110</w:t>
          </w:r>
          <w:r>
            <w:rPr>
              <w:rFonts w:eastAsia="HGSGothicM"/>
              <w:kern w:val="2"/>
              <w:vertAlign w:val="superscript"/>
              <w:lang w:val="en-US" w:eastAsia="ja-JP"/>
            </w:rPr>
            <w:t>th</w:t>
          </w:r>
          <w:r>
            <w:rPr>
              <w:rFonts w:eastAsia="HGSGothicM"/>
              <w:kern w:val="2"/>
              <w:lang w:val="en-US" w:eastAsia="ar-SA"/>
            </w:rPr>
            <w:t xml:space="preserve"> GRSG</w:t>
          </w:r>
          <w:r w:rsidRPr="007F7A9F">
            <w:rPr>
              <w:rFonts w:eastAsia="HGSGothicM"/>
              <w:kern w:val="2"/>
              <w:lang w:val="en-US" w:eastAsia="ar-SA"/>
            </w:rPr>
            <w:t xml:space="preserve">, </w:t>
          </w:r>
          <w:r>
            <w:rPr>
              <w:rFonts w:eastAsia="HGSGothicM"/>
              <w:kern w:val="2"/>
              <w:lang w:val="en-US" w:eastAsia="ja-JP"/>
            </w:rPr>
            <w:t>26</w:t>
          </w:r>
          <w:r w:rsidRPr="007F7A9F">
            <w:rPr>
              <w:rFonts w:eastAsia="HGSGothicM" w:hint="eastAsia"/>
              <w:kern w:val="2"/>
              <w:lang w:val="en-US" w:eastAsia="ja-JP"/>
            </w:rPr>
            <w:t>-</w:t>
          </w:r>
          <w:r>
            <w:rPr>
              <w:rFonts w:eastAsia="HGSGothicM"/>
              <w:kern w:val="2"/>
              <w:lang w:val="en-US" w:eastAsia="ja-JP"/>
            </w:rPr>
            <w:t>29</w:t>
          </w:r>
          <w:r>
            <w:rPr>
              <w:rFonts w:eastAsia="HGSGothicM"/>
              <w:kern w:val="2"/>
              <w:lang w:val="en-US" w:eastAsia="ar-SA"/>
            </w:rPr>
            <w:t xml:space="preserve"> May</w:t>
          </w:r>
          <w:r w:rsidRPr="007F7A9F">
            <w:rPr>
              <w:rFonts w:eastAsia="HGSGothicM"/>
              <w:kern w:val="2"/>
              <w:lang w:val="en-US" w:eastAsia="ar-SA"/>
            </w:rPr>
            <w:t xml:space="preserve"> 2016</w:t>
          </w:r>
          <w:r w:rsidRPr="007F7A9F">
            <w:rPr>
              <w:rFonts w:eastAsia="HGSGothicM"/>
              <w:kern w:val="2"/>
              <w:lang w:val="en-US" w:eastAsia="ko-KR"/>
            </w:rPr>
            <w:t xml:space="preserve">, </w:t>
          </w:r>
        </w:p>
        <w:p w:rsidR="005B3800" w:rsidRPr="0035238E" w:rsidRDefault="005B3800" w:rsidP="00812802">
          <w:pPr>
            <w:widowControl w:val="0"/>
            <w:tabs>
              <w:tab w:val="center" w:pos="4677"/>
              <w:tab w:val="right" w:pos="9355"/>
            </w:tabs>
            <w:ind w:left="567"/>
            <w:jc w:val="right"/>
            <w:rPr>
              <w:rFonts w:ascii="HGSGothicM" w:eastAsia="HGSGothicM" w:hAnsi="Century"/>
              <w:kern w:val="2"/>
              <w:lang w:val="en-US" w:eastAsia="ar-SA"/>
            </w:rPr>
          </w:pPr>
          <w:r w:rsidRPr="007F7A9F">
            <w:rPr>
              <w:rFonts w:eastAsia="HGSGothicM"/>
              <w:kern w:val="2"/>
              <w:lang w:val="en-US" w:eastAsia="ko-KR"/>
            </w:rPr>
            <w:t xml:space="preserve"> </w:t>
          </w:r>
          <w:r w:rsidRPr="0035238E">
            <w:rPr>
              <w:rFonts w:eastAsia="HGSGothicM"/>
              <w:kern w:val="2"/>
              <w:lang w:val="en-US" w:eastAsia="ar-SA"/>
            </w:rPr>
            <w:t xml:space="preserve">agenda </w:t>
          </w:r>
          <w:r w:rsidRPr="00DE5016">
            <w:rPr>
              <w:rFonts w:eastAsia="HGSGothicM"/>
              <w:kern w:val="2"/>
              <w:lang w:val="en-US" w:eastAsia="ar-SA"/>
            </w:rPr>
            <w:t>item 2</w:t>
          </w:r>
          <w:r w:rsidRPr="00DE5016">
            <w:rPr>
              <w:rFonts w:eastAsia="HGSGothicM" w:hint="eastAsia"/>
              <w:kern w:val="2"/>
              <w:lang w:val="en-US" w:eastAsia="ja-JP"/>
            </w:rPr>
            <w:t>(</w:t>
          </w:r>
          <w:r w:rsidRPr="00DE5016">
            <w:rPr>
              <w:rFonts w:eastAsia="HGSGothicM"/>
              <w:kern w:val="2"/>
              <w:lang w:val="en-US" w:eastAsia="ja-JP"/>
            </w:rPr>
            <w:t>a)</w:t>
          </w:r>
        </w:p>
      </w:tc>
    </w:tr>
  </w:tbl>
  <w:p w:rsidR="005B3800" w:rsidRDefault="005B3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55801"/>
    <w:multiLevelType w:val="hybridMultilevel"/>
    <w:tmpl w:val="24727E1A"/>
    <w:lvl w:ilvl="0" w:tplc="BFBE808A">
      <w:start w:val="1"/>
      <w:numFmt w:val="bullet"/>
      <w:lvlText w:val="‒"/>
      <w:lvlJc w:val="left"/>
      <w:pPr>
        <w:ind w:left="1320" w:hanging="360"/>
      </w:pPr>
      <w:rPr>
        <w:rFonts w:ascii="Arial" w:hAnsi="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30BC475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CF26DF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3BA7AE1"/>
    <w:multiLevelType w:val="hybridMultilevel"/>
    <w:tmpl w:val="FEDA7F9E"/>
    <w:lvl w:ilvl="0" w:tplc="19BEF9DC">
      <w:start w:val="1"/>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80"/>
    <w:rsid w:val="00014833"/>
    <w:rsid w:val="00025E2C"/>
    <w:rsid w:val="000D7388"/>
    <w:rsid w:val="00111303"/>
    <w:rsid w:val="00134F1F"/>
    <w:rsid w:val="00150084"/>
    <w:rsid w:val="001F689F"/>
    <w:rsid w:val="003B0B2C"/>
    <w:rsid w:val="003D61A3"/>
    <w:rsid w:val="003E32E1"/>
    <w:rsid w:val="003E747A"/>
    <w:rsid w:val="004862BB"/>
    <w:rsid w:val="005248F9"/>
    <w:rsid w:val="005B3800"/>
    <w:rsid w:val="00610284"/>
    <w:rsid w:val="00655A92"/>
    <w:rsid w:val="006E612A"/>
    <w:rsid w:val="00712798"/>
    <w:rsid w:val="00721554"/>
    <w:rsid w:val="00823371"/>
    <w:rsid w:val="00A55D3A"/>
    <w:rsid w:val="00B17CA6"/>
    <w:rsid w:val="00BC6161"/>
    <w:rsid w:val="00BD0C08"/>
    <w:rsid w:val="00BE076F"/>
    <w:rsid w:val="00C41939"/>
    <w:rsid w:val="00C54921"/>
    <w:rsid w:val="00CD2231"/>
    <w:rsid w:val="00D43185"/>
    <w:rsid w:val="00D920B0"/>
    <w:rsid w:val="00FA1C32"/>
    <w:rsid w:val="00FD09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80"/>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FD0980"/>
    <w:pPr>
      <w:keepNext/>
      <w:keepLines/>
      <w:tabs>
        <w:tab w:val="right" w:pos="851"/>
      </w:tabs>
      <w:spacing w:before="360" w:after="240" w:line="300" w:lineRule="exact"/>
      <w:ind w:left="1134" w:right="1134" w:hanging="1134"/>
    </w:pPr>
    <w:rPr>
      <w:b/>
      <w:sz w:val="28"/>
    </w:rPr>
  </w:style>
  <w:style w:type="paragraph" w:customStyle="1" w:styleId="para">
    <w:name w:val="para"/>
    <w:basedOn w:val="Normal"/>
    <w:link w:val="paraChar"/>
    <w:qFormat/>
    <w:rsid w:val="00FD0980"/>
    <w:pPr>
      <w:spacing w:after="120"/>
      <w:ind w:left="2268" w:right="1134" w:hanging="1134"/>
      <w:jc w:val="both"/>
    </w:pPr>
    <w:rPr>
      <w:rFonts w:eastAsia="MS Mincho"/>
    </w:rPr>
  </w:style>
  <w:style w:type="character" w:customStyle="1" w:styleId="paraChar">
    <w:name w:val="para Char"/>
    <w:link w:val="para"/>
    <w:rsid w:val="00FD0980"/>
    <w:rPr>
      <w:rFonts w:ascii="Times New Roman" w:eastAsia="MS Mincho" w:hAnsi="Times New Roman" w:cs="Times New Roman"/>
      <w:sz w:val="20"/>
      <w:szCs w:val="20"/>
      <w:lang w:val="en-GB"/>
    </w:rPr>
  </w:style>
  <w:style w:type="character" w:customStyle="1" w:styleId="HChGChar">
    <w:name w:val="_ H _Ch_G Char"/>
    <w:link w:val="HChG"/>
    <w:rsid w:val="00FD0980"/>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FD0980"/>
    <w:pPr>
      <w:ind w:left="720"/>
      <w:contextualSpacing/>
    </w:pPr>
  </w:style>
  <w:style w:type="paragraph" w:styleId="Header">
    <w:name w:val="header"/>
    <w:aliases w:val="6_G"/>
    <w:basedOn w:val="Normal"/>
    <w:link w:val="HeaderChar"/>
    <w:unhideWhenUsed/>
    <w:rsid w:val="00FD0980"/>
    <w:pPr>
      <w:tabs>
        <w:tab w:val="center" w:pos="4536"/>
        <w:tab w:val="right" w:pos="9072"/>
      </w:tabs>
      <w:spacing w:line="240" w:lineRule="auto"/>
    </w:pPr>
  </w:style>
  <w:style w:type="character" w:customStyle="1" w:styleId="HeaderChar">
    <w:name w:val="Header Char"/>
    <w:aliases w:val="6_G Char"/>
    <w:basedOn w:val="DefaultParagraphFont"/>
    <w:link w:val="Header"/>
    <w:rsid w:val="00FD098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D0980"/>
    <w:pPr>
      <w:tabs>
        <w:tab w:val="center" w:pos="4536"/>
        <w:tab w:val="right" w:pos="9072"/>
      </w:tabs>
      <w:spacing w:line="240" w:lineRule="auto"/>
    </w:pPr>
  </w:style>
  <w:style w:type="character" w:customStyle="1" w:styleId="FooterChar">
    <w:name w:val="Footer Char"/>
    <w:basedOn w:val="DefaultParagraphFont"/>
    <w:link w:val="Footer"/>
    <w:uiPriority w:val="99"/>
    <w:rsid w:val="00FD098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549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92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80"/>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FD0980"/>
    <w:pPr>
      <w:keepNext/>
      <w:keepLines/>
      <w:tabs>
        <w:tab w:val="right" w:pos="851"/>
      </w:tabs>
      <w:spacing w:before="360" w:after="240" w:line="300" w:lineRule="exact"/>
      <w:ind w:left="1134" w:right="1134" w:hanging="1134"/>
    </w:pPr>
    <w:rPr>
      <w:b/>
      <w:sz w:val="28"/>
    </w:rPr>
  </w:style>
  <w:style w:type="paragraph" w:customStyle="1" w:styleId="para">
    <w:name w:val="para"/>
    <w:basedOn w:val="Normal"/>
    <w:link w:val="paraChar"/>
    <w:qFormat/>
    <w:rsid w:val="00FD0980"/>
    <w:pPr>
      <w:spacing w:after="120"/>
      <w:ind w:left="2268" w:right="1134" w:hanging="1134"/>
      <w:jc w:val="both"/>
    </w:pPr>
    <w:rPr>
      <w:rFonts w:eastAsia="MS Mincho"/>
    </w:rPr>
  </w:style>
  <w:style w:type="character" w:customStyle="1" w:styleId="paraChar">
    <w:name w:val="para Char"/>
    <w:link w:val="para"/>
    <w:rsid w:val="00FD0980"/>
    <w:rPr>
      <w:rFonts w:ascii="Times New Roman" w:eastAsia="MS Mincho" w:hAnsi="Times New Roman" w:cs="Times New Roman"/>
      <w:sz w:val="20"/>
      <w:szCs w:val="20"/>
      <w:lang w:val="en-GB"/>
    </w:rPr>
  </w:style>
  <w:style w:type="character" w:customStyle="1" w:styleId="HChGChar">
    <w:name w:val="_ H _Ch_G Char"/>
    <w:link w:val="HChG"/>
    <w:rsid w:val="00FD0980"/>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FD0980"/>
    <w:pPr>
      <w:ind w:left="720"/>
      <w:contextualSpacing/>
    </w:pPr>
  </w:style>
  <w:style w:type="paragraph" w:styleId="Header">
    <w:name w:val="header"/>
    <w:aliases w:val="6_G"/>
    <w:basedOn w:val="Normal"/>
    <w:link w:val="HeaderChar"/>
    <w:unhideWhenUsed/>
    <w:rsid w:val="00FD0980"/>
    <w:pPr>
      <w:tabs>
        <w:tab w:val="center" w:pos="4536"/>
        <w:tab w:val="right" w:pos="9072"/>
      </w:tabs>
      <w:spacing w:line="240" w:lineRule="auto"/>
    </w:pPr>
  </w:style>
  <w:style w:type="character" w:customStyle="1" w:styleId="HeaderChar">
    <w:name w:val="Header Char"/>
    <w:aliases w:val="6_G Char"/>
    <w:basedOn w:val="DefaultParagraphFont"/>
    <w:link w:val="Header"/>
    <w:rsid w:val="00FD098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D0980"/>
    <w:pPr>
      <w:tabs>
        <w:tab w:val="center" w:pos="4536"/>
        <w:tab w:val="right" w:pos="9072"/>
      </w:tabs>
      <w:spacing w:line="240" w:lineRule="auto"/>
    </w:pPr>
  </w:style>
  <w:style w:type="character" w:customStyle="1" w:styleId="FooterChar">
    <w:name w:val="Footer Char"/>
    <w:basedOn w:val="DefaultParagraphFont"/>
    <w:link w:val="Footer"/>
    <w:uiPriority w:val="99"/>
    <w:rsid w:val="00FD0980"/>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C549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92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COSADIA</dc:creator>
  <cp:lastModifiedBy>Hubert Romain</cp:lastModifiedBy>
  <cp:revision>4</cp:revision>
  <dcterms:created xsi:type="dcterms:W3CDTF">2016-04-25T09:29:00Z</dcterms:created>
  <dcterms:modified xsi:type="dcterms:W3CDTF">2016-04-25T10:49:00Z</dcterms:modified>
</cp:coreProperties>
</file>