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B205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B2058" w:rsidP="005B2058">
            <w:pPr>
              <w:jc w:val="right"/>
            </w:pPr>
            <w:r w:rsidRPr="005B2058">
              <w:rPr>
                <w:sz w:val="40"/>
              </w:rPr>
              <w:t>ECE</w:t>
            </w:r>
            <w:r>
              <w:t>/TRANS/WP.29/GRSP/2016/5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B2058" w:rsidP="00892A2F">
            <w:pPr>
              <w:spacing w:before="240"/>
            </w:pPr>
            <w:r>
              <w:t>Distr. générale</w:t>
            </w:r>
          </w:p>
          <w:p w:rsidR="005B2058" w:rsidRDefault="005B2058" w:rsidP="005B2058">
            <w:pPr>
              <w:spacing w:line="240" w:lineRule="exact"/>
            </w:pPr>
            <w:r>
              <w:t>25 février 2016</w:t>
            </w:r>
          </w:p>
          <w:p w:rsidR="005B2058" w:rsidRDefault="005B2058" w:rsidP="005B2058">
            <w:pPr>
              <w:spacing w:line="240" w:lineRule="exact"/>
            </w:pPr>
            <w:r>
              <w:t>Français</w:t>
            </w:r>
          </w:p>
          <w:p w:rsidR="005B2058" w:rsidRPr="00DB58B5" w:rsidRDefault="005B2058" w:rsidP="005B205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57EE" w:rsidRDefault="00BF57E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F57EE" w:rsidRDefault="00BF57EE" w:rsidP="00AF0CB5">
      <w:pPr>
        <w:spacing w:before="120"/>
        <w:rPr>
          <w:b/>
          <w:sz w:val="24"/>
          <w:szCs w:val="24"/>
        </w:rPr>
      </w:pPr>
      <w:r w:rsidRPr="00EB7307">
        <w:rPr>
          <w:b/>
          <w:bCs/>
          <w:szCs w:val="24"/>
        </w:rPr>
        <w:t>Groupe de travail de la sécurité passive</w:t>
      </w:r>
    </w:p>
    <w:p w:rsidR="00BF57EE" w:rsidRDefault="00BF57EE" w:rsidP="00AF0CB5">
      <w:pPr>
        <w:spacing w:before="120" w:line="240" w:lineRule="exact"/>
        <w:rPr>
          <w:b/>
        </w:rPr>
      </w:pPr>
      <w:r>
        <w:rPr>
          <w:b/>
          <w:szCs w:val="24"/>
        </w:rPr>
        <w:t>Cinquante-neuvième</w:t>
      </w:r>
      <w:r>
        <w:rPr>
          <w:b/>
        </w:rPr>
        <w:t xml:space="preserve"> session</w:t>
      </w:r>
    </w:p>
    <w:p w:rsidR="00BF57EE" w:rsidRDefault="00BF57EE" w:rsidP="00AF0CB5">
      <w:pPr>
        <w:spacing w:line="240" w:lineRule="exact"/>
      </w:pPr>
      <w:r>
        <w:t xml:space="preserve">Genève, </w:t>
      </w:r>
      <w:r w:rsidRPr="00EB7307">
        <w:rPr>
          <w:szCs w:val="24"/>
        </w:rPr>
        <w:t>9-13 mai 2016</w:t>
      </w:r>
    </w:p>
    <w:p w:rsidR="00BF57EE" w:rsidRDefault="00BF57EE" w:rsidP="00AF0CB5">
      <w:pPr>
        <w:spacing w:line="240" w:lineRule="exact"/>
      </w:pPr>
      <w:r>
        <w:t xml:space="preserve">Point </w:t>
      </w:r>
      <w:r>
        <w:rPr>
          <w:bCs/>
          <w:szCs w:val="24"/>
        </w:rPr>
        <w:t>1</w:t>
      </w:r>
      <w:r w:rsidRPr="00EB7307">
        <w:rPr>
          <w:bCs/>
          <w:szCs w:val="24"/>
        </w:rPr>
        <w:t>9</w:t>
      </w:r>
      <w:r>
        <w:t xml:space="preserve"> de l’ordre du jour</w:t>
      </w:r>
      <w:r w:rsidR="00E427CE">
        <w:t xml:space="preserve"> provisoire</w:t>
      </w:r>
    </w:p>
    <w:p w:rsidR="00951C1A" w:rsidRPr="00EB7307" w:rsidRDefault="00BF57EE" w:rsidP="00951C1A">
      <w:pPr>
        <w:rPr>
          <w:szCs w:val="24"/>
        </w:rPr>
      </w:pPr>
      <w:r>
        <w:rPr>
          <w:b/>
          <w:szCs w:val="24"/>
        </w:rPr>
        <w:t>Règlement n</w:t>
      </w:r>
      <w:r w:rsidRPr="00BF57EE">
        <w:rPr>
          <w:b/>
          <w:szCs w:val="24"/>
          <w:vertAlign w:val="superscript"/>
        </w:rPr>
        <w:t>o</w:t>
      </w:r>
      <w:r>
        <w:rPr>
          <w:b/>
          <w:szCs w:val="24"/>
        </w:rPr>
        <w:t> </w:t>
      </w:r>
      <w:r w:rsidR="00951C1A" w:rsidRPr="00EB7307">
        <w:rPr>
          <w:b/>
          <w:szCs w:val="24"/>
        </w:rPr>
        <w:t>1</w:t>
      </w:r>
      <w:r w:rsidR="00951C1A">
        <w:rPr>
          <w:b/>
          <w:szCs w:val="24"/>
        </w:rPr>
        <w:t>29</w:t>
      </w:r>
      <w:r w:rsidR="00951C1A" w:rsidRPr="00EB7307">
        <w:rPr>
          <w:b/>
          <w:szCs w:val="24"/>
        </w:rPr>
        <w:t xml:space="preserve"> (</w:t>
      </w:r>
      <w:r w:rsidR="00951C1A" w:rsidRPr="00C953A1">
        <w:rPr>
          <w:b/>
          <w:szCs w:val="24"/>
        </w:rPr>
        <w:t>Dispositifs améliorés de retenue pour enfants</w:t>
      </w:r>
      <w:r w:rsidR="00951C1A" w:rsidRPr="00EB7307">
        <w:rPr>
          <w:b/>
          <w:szCs w:val="24"/>
        </w:rPr>
        <w:t>)</w:t>
      </w:r>
    </w:p>
    <w:p w:rsidR="00951C1A" w:rsidRPr="00EB7307" w:rsidRDefault="00951C1A" w:rsidP="00EB11AB">
      <w:pPr>
        <w:pStyle w:val="HChG"/>
      </w:pPr>
      <w:r w:rsidRPr="00EB7307">
        <w:tab/>
      </w:r>
      <w:r w:rsidRPr="00EB7307">
        <w:tab/>
        <w:t xml:space="preserve">Proposition de complément </w:t>
      </w:r>
      <w:r>
        <w:t>5</w:t>
      </w:r>
      <w:r w:rsidRPr="00EB7307">
        <w:t xml:space="preserve"> au Règlement n</w:t>
      </w:r>
      <w:r w:rsidR="00EB11AB" w:rsidRPr="00EB11AB">
        <w:rPr>
          <w:vertAlign w:val="superscript"/>
        </w:rPr>
        <w:t>o</w:t>
      </w:r>
      <w:r w:rsidR="00EB11AB">
        <w:t> </w:t>
      </w:r>
      <w:r>
        <w:t>129</w:t>
      </w:r>
      <w:r w:rsidRPr="00EB7307">
        <w:t xml:space="preserve"> (</w:t>
      </w:r>
      <w:r w:rsidRPr="00C953A1">
        <w:t>Dispositifs améliorés de retenue pour enfants</w:t>
      </w:r>
      <w:r w:rsidRPr="00EB7307">
        <w:t>)</w:t>
      </w:r>
    </w:p>
    <w:p w:rsidR="00951C1A" w:rsidRPr="0050444E" w:rsidRDefault="00951C1A" w:rsidP="00EB11AB">
      <w:pPr>
        <w:pStyle w:val="H1G"/>
      </w:pPr>
      <w:r w:rsidRPr="00EB7307">
        <w:tab/>
      </w:r>
      <w:r w:rsidRPr="00EB7307">
        <w:tab/>
        <w:t xml:space="preserve">Communication de l’expert </w:t>
      </w:r>
      <w:r w:rsidRPr="0076615B">
        <w:t>de l’Association européenne des</w:t>
      </w:r>
      <w:r w:rsidR="00EB11AB">
        <w:t> </w:t>
      </w:r>
      <w:r w:rsidRPr="0076615B">
        <w:t>fournisseurs de l’automobile</w:t>
      </w:r>
      <w:r w:rsidR="00EB11AB" w:rsidRPr="00EB11A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951C1A" w:rsidRPr="0050444E" w:rsidRDefault="00951C1A" w:rsidP="00EB11AB">
      <w:pPr>
        <w:pStyle w:val="SingleTxtG"/>
        <w:ind w:firstLine="567"/>
        <w:rPr>
          <w:szCs w:val="24"/>
        </w:rPr>
      </w:pPr>
      <w:r>
        <w:t xml:space="preserve">Le texte reproduit ci-après, établi par l’expert de l’Association européenne des fournisseurs de l’automobile (CLEPA), vise à actualiser les références à la norme européenne relative à la toxicité et à l’inflammabilité des matériaux utilisés dans la production des dispositifs de retenue pour enfants (DRE). </w:t>
      </w:r>
      <w:r w:rsidRPr="0076615B">
        <w:t>Il est fondé sur le document GRSP-5</w:t>
      </w:r>
      <w:r>
        <w:t>8</w:t>
      </w:r>
      <w:r w:rsidRPr="0076615B">
        <w:t>-</w:t>
      </w:r>
      <w:r>
        <w:t>3</w:t>
      </w:r>
      <w:r w:rsidRPr="0076615B">
        <w:t>2, distribué à la cinquante-</w:t>
      </w:r>
      <w:r>
        <w:t xml:space="preserve">huitième </w:t>
      </w:r>
      <w:r w:rsidRPr="0076615B">
        <w:t>session du Groupe de travail de la sécurité passive (GRSP).</w:t>
      </w:r>
      <w:r>
        <w:t xml:space="preserve"> </w:t>
      </w:r>
      <w:r w:rsidRPr="0076615B">
        <w:t xml:space="preserve">Les modifications qu’il est proposé d’apporter au texte actuel du Règlement </w:t>
      </w:r>
      <w:r w:rsidR="00EB11AB">
        <w:t>n</w:t>
      </w:r>
      <w:r w:rsidR="00EB11AB" w:rsidRPr="00EB11AB">
        <w:rPr>
          <w:vertAlign w:val="superscript"/>
        </w:rPr>
        <w:t>o</w:t>
      </w:r>
      <w:r w:rsidR="00EB11AB">
        <w:t> </w:t>
      </w:r>
      <w:r>
        <w:t xml:space="preserve">129 </w:t>
      </w:r>
      <w:r w:rsidRPr="0076615B">
        <w:t>sont signalées en caractères gras</w:t>
      </w:r>
      <w:r>
        <w:t>.</w:t>
      </w:r>
      <w:r w:rsidRPr="0076615B">
        <w:t xml:space="preserve"> </w:t>
      </w:r>
    </w:p>
    <w:p w:rsidR="00951C1A" w:rsidRPr="0089159C" w:rsidRDefault="00951C1A" w:rsidP="005B1FE8">
      <w:pPr>
        <w:pStyle w:val="HChG"/>
      </w:pPr>
      <w:r w:rsidRPr="0050444E">
        <w:br w:type="page"/>
      </w:r>
      <w:r w:rsidR="005B1FE8">
        <w:lastRenderedPageBreak/>
        <w:tab/>
      </w:r>
      <w:r w:rsidRPr="0089159C">
        <w:t>I.</w:t>
      </w:r>
      <w:r w:rsidRPr="0089159C">
        <w:tab/>
        <w:t>Proposition</w:t>
      </w:r>
    </w:p>
    <w:p w:rsidR="00951C1A" w:rsidRPr="0050444E" w:rsidRDefault="00951C1A" w:rsidP="005B1FE8">
      <w:pPr>
        <w:pStyle w:val="SingleTxtG"/>
      </w:pPr>
      <w:r w:rsidRPr="005B1FE8">
        <w:rPr>
          <w:i/>
        </w:rPr>
        <w:t>Liste des annexes</w:t>
      </w:r>
      <w:r w:rsidRPr="0050444E">
        <w:t>,</w:t>
      </w:r>
    </w:p>
    <w:p w:rsidR="00951C1A" w:rsidRPr="0050444E" w:rsidRDefault="00951C1A" w:rsidP="005B1FE8">
      <w:pPr>
        <w:pStyle w:val="SingleTxtG"/>
        <w:rPr>
          <w:i/>
          <w:szCs w:val="24"/>
        </w:rPr>
      </w:pPr>
      <w:r w:rsidRPr="00732EA5">
        <w:rPr>
          <w:i/>
          <w:szCs w:val="24"/>
        </w:rPr>
        <w:t>Ajouter une nouvelle annexe</w:t>
      </w:r>
      <w:r w:rsidRPr="0050444E">
        <w:rPr>
          <w:i/>
          <w:szCs w:val="24"/>
        </w:rPr>
        <w:t xml:space="preserve"> 23</w:t>
      </w:r>
      <w:r w:rsidRPr="005B1FE8">
        <w:rPr>
          <w:szCs w:val="24"/>
        </w:rPr>
        <w:t xml:space="preserve">, </w:t>
      </w:r>
      <w:r w:rsidRPr="00732EA5">
        <w:rPr>
          <w:szCs w:val="24"/>
        </w:rPr>
        <w:t>ainsi conçue</w:t>
      </w:r>
      <w:r w:rsidR="005B1FE8">
        <w:rPr>
          <w:szCs w:val="24"/>
        </w:rPr>
        <w:t> </w:t>
      </w:r>
      <w:r w:rsidRPr="0050444E">
        <w:rPr>
          <w:szCs w:val="24"/>
        </w:rPr>
        <w:t>:</w:t>
      </w:r>
    </w:p>
    <w:p w:rsidR="00951C1A" w:rsidRPr="00C503EC" w:rsidRDefault="007E697B" w:rsidP="00621668">
      <w:pPr>
        <w:pStyle w:val="SingleTxtG"/>
        <w:tabs>
          <w:tab w:val="left" w:pos="2410"/>
          <w:tab w:val="left" w:pos="2552"/>
          <w:tab w:val="right" w:leader="dot" w:pos="8505"/>
        </w:tabs>
        <w:ind w:left="2552" w:hanging="1418"/>
        <w:rPr>
          <w:i/>
        </w:rPr>
      </w:pPr>
      <w:r w:rsidRPr="007E697B">
        <w:t>«</w:t>
      </w:r>
      <w:r>
        <w:rPr>
          <w:i/>
        </w:rPr>
        <w:t> </w:t>
      </w:r>
      <w:r w:rsidR="00951C1A" w:rsidRPr="007E697B">
        <w:rPr>
          <w:b/>
        </w:rPr>
        <w:t>Annexe 23</w:t>
      </w:r>
      <w:r w:rsidRPr="007E697B">
        <w:rPr>
          <w:b/>
        </w:rPr>
        <w:tab/>
      </w:r>
      <w:r w:rsidR="00621668">
        <w:rPr>
          <w:b/>
        </w:rPr>
        <w:tab/>
      </w:r>
      <w:r w:rsidR="00951C1A" w:rsidRPr="007E697B">
        <w:rPr>
          <w:b/>
        </w:rPr>
        <w:t>Inflammabilité des matériaux conçus pour être utilisés dans les dispositifs intégrés de retenue pour enfants</w:t>
      </w:r>
      <w:r w:rsidR="00C503EC">
        <w:rPr>
          <w:b/>
        </w:rPr>
        <w:tab/>
      </w:r>
      <w:r w:rsidR="00C503EC">
        <w:t>».</w:t>
      </w:r>
    </w:p>
    <w:p w:rsidR="00951C1A" w:rsidRPr="0050444E" w:rsidRDefault="00951C1A" w:rsidP="0079658D">
      <w:pPr>
        <w:pStyle w:val="SingleTxtG"/>
        <w:rPr>
          <w:i/>
          <w:szCs w:val="24"/>
        </w:rPr>
      </w:pPr>
      <w:r w:rsidRPr="0050444E">
        <w:rPr>
          <w:i/>
          <w:iCs/>
          <w:szCs w:val="24"/>
          <w:lang w:eastAsia="nl-BE"/>
        </w:rPr>
        <w:t>Text</w:t>
      </w:r>
      <w:r w:rsidRPr="00732EA5">
        <w:rPr>
          <w:i/>
          <w:iCs/>
          <w:szCs w:val="24"/>
          <w:lang w:eastAsia="nl-BE"/>
        </w:rPr>
        <w:t>e du Règlement</w:t>
      </w:r>
      <w:r w:rsidRPr="0079658D">
        <w:rPr>
          <w:szCs w:val="24"/>
        </w:rPr>
        <w:t>,</w:t>
      </w:r>
    </w:p>
    <w:p w:rsidR="00951C1A" w:rsidRPr="0050444E" w:rsidRDefault="00951C1A" w:rsidP="0079658D">
      <w:pPr>
        <w:pStyle w:val="SingleTxtG"/>
        <w:rPr>
          <w:szCs w:val="24"/>
        </w:rPr>
      </w:pPr>
      <w:r w:rsidRPr="0076615B">
        <w:rPr>
          <w:i/>
          <w:szCs w:val="24"/>
        </w:rPr>
        <w:t>Paragraphe</w:t>
      </w:r>
      <w:r w:rsidRPr="0050444E">
        <w:rPr>
          <w:i/>
          <w:szCs w:val="24"/>
        </w:rPr>
        <w:t>s 6.3.1.1</w:t>
      </w:r>
      <w:r>
        <w:rPr>
          <w:i/>
          <w:szCs w:val="24"/>
        </w:rPr>
        <w:t xml:space="preserve"> et </w:t>
      </w:r>
      <w:r w:rsidRPr="0050444E">
        <w:rPr>
          <w:i/>
          <w:szCs w:val="24"/>
        </w:rPr>
        <w:t>6.3.1.2</w:t>
      </w:r>
      <w:r w:rsidRPr="0050444E">
        <w:rPr>
          <w:szCs w:val="24"/>
        </w:rPr>
        <w:t xml:space="preserve">, </w:t>
      </w:r>
      <w:r w:rsidRPr="0076615B">
        <w:rPr>
          <w:szCs w:val="24"/>
        </w:rPr>
        <w:t>modifier comme suit</w:t>
      </w:r>
      <w:r w:rsidR="0079658D">
        <w:rPr>
          <w:szCs w:val="24"/>
        </w:rPr>
        <w:t> </w:t>
      </w:r>
      <w:r>
        <w:rPr>
          <w:szCs w:val="24"/>
        </w:rPr>
        <w:t>:</w:t>
      </w:r>
    </w:p>
    <w:p w:rsidR="00951C1A" w:rsidRPr="0050444E" w:rsidRDefault="00621668" w:rsidP="00621668">
      <w:pPr>
        <w:pStyle w:val="SingleTxtG"/>
        <w:ind w:left="2552" w:hanging="1418"/>
        <w:rPr>
          <w:szCs w:val="24"/>
        </w:rPr>
      </w:pPr>
      <w:r>
        <w:rPr>
          <w:bCs/>
          <w:szCs w:val="24"/>
        </w:rPr>
        <w:t>« </w:t>
      </w:r>
      <w:r w:rsidR="00951C1A" w:rsidRPr="0050444E">
        <w:rPr>
          <w:szCs w:val="24"/>
        </w:rPr>
        <w:t>6.3.1.1</w:t>
      </w:r>
      <w:r w:rsidR="00951C1A" w:rsidRPr="0050444E">
        <w:rPr>
          <w:szCs w:val="24"/>
        </w:rPr>
        <w:tab/>
      </w:r>
      <w:r w:rsidR="00951C1A" w:rsidRPr="00732EA5">
        <w:rPr>
          <w:szCs w:val="24"/>
        </w:rPr>
        <w:t>Le fabricant de dispositifs de retenue pour enfants doit déclarer par écrit que la toxicité des matériaux utilisés dans la fabrication de</w:t>
      </w:r>
      <w:r w:rsidR="00951C1A">
        <w:rPr>
          <w:szCs w:val="24"/>
        </w:rPr>
        <w:t xml:space="preserve">s éléments de ces </w:t>
      </w:r>
      <w:r w:rsidR="00951C1A" w:rsidRPr="00732EA5">
        <w:rPr>
          <w:szCs w:val="24"/>
        </w:rPr>
        <w:t>dispositifs qui s</w:t>
      </w:r>
      <w:r w:rsidR="00951C1A">
        <w:rPr>
          <w:szCs w:val="24"/>
        </w:rPr>
        <w:t xml:space="preserve">e trouvent à la portée de </w:t>
      </w:r>
      <w:r w:rsidR="00951C1A" w:rsidRPr="00732EA5">
        <w:rPr>
          <w:szCs w:val="24"/>
        </w:rPr>
        <w:t xml:space="preserve">l’enfant qui y </w:t>
      </w:r>
      <w:r w:rsidR="00951C1A">
        <w:rPr>
          <w:szCs w:val="24"/>
        </w:rPr>
        <w:t xml:space="preserve">est attaché </w:t>
      </w:r>
      <w:r w:rsidR="00951C1A" w:rsidRPr="00732EA5">
        <w:rPr>
          <w:szCs w:val="24"/>
        </w:rPr>
        <w:t xml:space="preserve">est conforme aux dispositions pertinentes de la norme </w:t>
      </w:r>
      <w:r w:rsidR="00951C1A" w:rsidRPr="00732EA5">
        <w:rPr>
          <w:b/>
          <w:szCs w:val="24"/>
        </w:rPr>
        <w:t>E</w:t>
      </w:r>
      <w:r w:rsidR="00951C1A" w:rsidRPr="0050444E">
        <w:rPr>
          <w:b/>
          <w:szCs w:val="24"/>
        </w:rPr>
        <w:t>N 71-3:2013 (</w:t>
      </w:r>
      <w:r w:rsidR="00951C1A" w:rsidRPr="00732EA5">
        <w:rPr>
          <w:b/>
          <w:szCs w:val="24"/>
        </w:rPr>
        <w:t>par</w:t>
      </w:r>
      <w:r w:rsidR="00951C1A">
        <w:rPr>
          <w:b/>
          <w:szCs w:val="24"/>
        </w:rPr>
        <w:t>.</w:t>
      </w:r>
      <w:r>
        <w:rPr>
          <w:b/>
          <w:szCs w:val="24"/>
        </w:rPr>
        <w:t> </w:t>
      </w:r>
      <w:r w:rsidR="00951C1A" w:rsidRPr="0050444E">
        <w:rPr>
          <w:b/>
          <w:szCs w:val="24"/>
        </w:rPr>
        <w:t xml:space="preserve">4.2, </w:t>
      </w:r>
      <w:r w:rsidR="00951C1A">
        <w:rPr>
          <w:b/>
          <w:szCs w:val="24"/>
        </w:rPr>
        <w:t>t</w:t>
      </w:r>
      <w:r w:rsidR="00951C1A" w:rsidRPr="0050444E">
        <w:rPr>
          <w:b/>
          <w:szCs w:val="24"/>
        </w:rPr>
        <w:t>able</w:t>
      </w:r>
      <w:r w:rsidR="00951C1A">
        <w:rPr>
          <w:b/>
          <w:szCs w:val="24"/>
        </w:rPr>
        <w:t>au</w:t>
      </w:r>
      <w:r>
        <w:rPr>
          <w:b/>
          <w:szCs w:val="24"/>
        </w:rPr>
        <w:t> </w:t>
      </w:r>
      <w:r w:rsidR="00951C1A" w:rsidRPr="0050444E">
        <w:rPr>
          <w:b/>
          <w:szCs w:val="24"/>
        </w:rPr>
        <w:t xml:space="preserve">2, </w:t>
      </w:r>
      <w:r w:rsidR="00951C1A">
        <w:rPr>
          <w:b/>
          <w:szCs w:val="24"/>
        </w:rPr>
        <w:t>c</w:t>
      </w:r>
      <w:r w:rsidR="00951C1A" w:rsidRPr="0050444E">
        <w:rPr>
          <w:b/>
          <w:szCs w:val="24"/>
        </w:rPr>
        <w:t>at</w:t>
      </w:r>
      <w:r w:rsidR="00951C1A">
        <w:rPr>
          <w:b/>
          <w:szCs w:val="24"/>
        </w:rPr>
        <w:t>égorie</w:t>
      </w:r>
      <w:r>
        <w:rPr>
          <w:b/>
          <w:szCs w:val="24"/>
        </w:rPr>
        <w:t> </w:t>
      </w:r>
      <w:r w:rsidR="00951C1A" w:rsidRPr="0050444E">
        <w:rPr>
          <w:b/>
          <w:szCs w:val="24"/>
        </w:rPr>
        <w:t xml:space="preserve">III </w:t>
      </w:r>
      <w:r w:rsidR="00951C1A">
        <w:rPr>
          <w:b/>
          <w:szCs w:val="24"/>
        </w:rPr>
        <w:t xml:space="preserve">pour les prescriptions particulières et </w:t>
      </w:r>
      <w:r w:rsidR="00951C1A" w:rsidRPr="00E52221">
        <w:rPr>
          <w:b/>
          <w:szCs w:val="24"/>
        </w:rPr>
        <w:t>par.</w:t>
      </w:r>
      <w:r>
        <w:rPr>
          <w:b/>
          <w:szCs w:val="24"/>
        </w:rPr>
        <w:t> </w:t>
      </w:r>
      <w:r w:rsidR="00951C1A" w:rsidRPr="0050444E">
        <w:rPr>
          <w:b/>
          <w:szCs w:val="24"/>
        </w:rPr>
        <w:t xml:space="preserve">7.3.3 </w:t>
      </w:r>
      <w:r w:rsidR="00951C1A">
        <w:rPr>
          <w:b/>
          <w:szCs w:val="24"/>
        </w:rPr>
        <w:t>pour les modalités d</w:t>
      </w:r>
      <w:r w:rsidR="00951C1A" w:rsidRPr="00E52221">
        <w:rPr>
          <w:b/>
          <w:szCs w:val="24"/>
        </w:rPr>
        <w:t>’</w:t>
      </w:r>
      <w:r w:rsidR="00951C1A">
        <w:rPr>
          <w:b/>
          <w:szCs w:val="24"/>
        </w:rPr>
        <w:t>essai</w:t>
      </w:r>
      <w:r w:rsidR="00951C1A" w:rsidRPr="0050444E">
        <w:rPr>
          <w:b/>
          <w:szCs w:val="24"/>
        </w:rPr>
        <w:t>)</w:t>
      </w:r>
      <w:r w:rsidR="00951C1A" w:rsidRPr="0050444E">
        <w:rPr>
          <w:color w:val="000000"/>
          <w:szCs w:val="24"/>
        </w:rPr>
        <w:t xml:space="preserve">. </w:t>
      </w:r>
      <w:r w:rsidR="00951C1A" w:rsidRPr="005A2305">
        <w:rPr>
          <w:color w:val="000000"/>
          <w:szCs w:val="24"/>
        </w:rPr>
        <w:t>Des essais destinés à confirmer la validité de cette déclaration peuvent être effectués si le service technique le souhaite.</w:t>
      </w:r>
    </w:p>
    <w:p w:rsidR="00951C1A" w:rsidRPr="0050444E" w:rsidRDefault="00951C1A" w:rsidP="006841C4">
      <w:pPr>
        <w:pStyle w:val="SingleTxtG"/>
        <w:ind w:left="2552" w:hanging="1418"/>
        <w:rPr>
          <w:bCs/>
          <w:szCs w:val="24"/>
        </w:rPr>
      </w:pPr>
      <w:r w:rsidRPr="0050444E">
        <w:rPr>
          <w:szCs w:val="24"/>
        </w:rPr>
        <w:t>6.3.1.2</w:t>
      </w:r>
      <w:r w:rsidRPr="0050444E">
        <w:rPr>
          <w:szCs w:val="24"/>
        </w:rPr>
        <w:tab/>
      </w:r>
      <w:r w:rsidRPr="00E52221">
        <w:rPr>
          <w:b/>
          <w:szCs w:val="24"/>
        </w:rPr>
        <w:t>L’inflammabilité des</w:t>
      </w:r>
      <w:r>
        <w:rPr>
          <w:b/>
          <w:szCs w:val="24"/>
        </w:rPr>
        <w:t xml:space="preserve"> </w:t>
      </w:r>
      <w:r w:rsidRPr="00E52221">
        <w:rPr>
          <w:b/>
          <w:szCs w:val="24"/>
        </w:rPr>
        <w:t xml:space="preserve">dispositifs de retenue pour enfants </w:t>
      </w:r>
      <w:r>
        <w:rPr>
          <w:b/>
          <w:szCs w:val="24"/>
        </w:rPr>
        <w:t>soumis à l</w:t>
      </w:r>
      <w:r w:rsidRPr="00E52221">
        <w:rPr>
          <w:b/>
          <w:szCs w:val="24"/>
        </w:rPr>
        <w:t>’</w:t>
      </w:r>
      <w:r>
        <w:rPr>
          <w:b/>
          <w:szCs w:val="24"/>
        </w:rPr>
        <w:t>homologation doit être évaluée par l</w:t>
      </w:r>
      <w:r w:rsidRPr="00434F24">
        <w:rPr>
          <w:b/>
          <w:szCs w:val="24"/>
        </w:rPr>
        <w:t>’</w:t>
      </w:r>
      <w:r>
        <w:rPr>
          <w:b/>
          <w:szCs w:val="24"/>
        </w:rPr>
        <w:t>une des méthodes suivantes</w:t>
      </w:r>
      <w:r w:rsidR="00501259">
        <w:rPr>
          <w:b/>
          <w:szCs w:val="24"/>
        </w:rPr>
        <w:t> </w:t>
      </w:r>
      <w:r w:rsidRPr="0050444E">
        <w:rPr>
          <w:b/>
          <w:szCs w:val="24"/>
        </w:rPr>
        <w:t>:</w:t>
      </w:r>
    </w:p>
    <w:p w:rsidR="00951C1A" w:rsidRPr="006841C4" w:rsidRDefault="00951C1A" w:rsidP="006841C4">
      <w:pPr>
        <w:pStyle w:val="SingleTxtG"/>
        <w:ind w:left="2552"/>
        <w:rPr>
          <w:b/>
          <w:szCs w:val="24"/>
        </w:rPr>
      </w:pPr>
      <w:r w:rsidRPr="006841C4">
        <w:rPr>
          <w:b/>
        </w:rPr>
        <w:t>La méthode 1 ne s’applique qu’aux dispositifs de retenue pour enfants non intégrés alors que la méthode 2 ne s’applique qu’aux dispositifs intégrés de retenue pour enfants</w:t>
      </w:r>
      <w:r w:rsidR="003928C1">
        <w:rPr>
          <w:b/>
        </w:rPr>
        <w:t xml:space="preserve"> </w:t>
      </w:r>
      <w:r w:rsidRPr="006841C4">
        <w:rPr>
          <w:b/>
        </w:rPr>
        <w:t>spécifiques à un véhicule</w:t>
      </w:r>
      <w:r w:rsidR="006841C4">
        <w:rPr>
          <w:b/>
        </w:rPr>
        <w:t>.</w:t>
      </w:r>
    </w:p>
    <w:p w:rsidR="00951C1A" w:rsidRPr="0089159C" w:rsidRDefault="00703F8B" w:rsidP="00072CC9">
      <w:pPr>
        <w:pStyle w:val="SingleTxtG"/>
        <w:ind w:left="2552"/>
        <w:rPr>
          <w:b/>
          <w:szCs w:val="24"/>
        </w:rPr>
      </w:pPr>
      <w:r>
        <w:rPr>
          <w:b/>
          <w:szCs w:val="24"/>
        </w:rPr>
        <w:t>Méthode 1</w:t>
      </w:r>
    </w:p>
    <w:p w:rsidR="00951C1A" w:rsidRDefault="00951C1A" w:rsidP="00072CC9">
      <w:pPr>
        <w:pStyle w:val="SingleTxtG"/>
        <w:ind w:left="2552"/>
        <w:rPr>
          <w:szCs w:val="24"/>
        </w:rPr>
      </w:pPr>
      <w:r w:rsidRPr="00924AA9">
        <w:rPr>
          <w:szCs w:val="24"/>
        </w:rPr>
        <w:t xml:space="preserve">Le fabricant du dispositif de retenue pour enfants doit déclarer par écrit que l’inflammabilité des matériaux utilisés pour fabriquer le dispositif </w:t>
      </w:r>
      <w:r>
        <w:rPr>
          <w:szCs w:val="24"/>
        </w:rPr>
        <w:t xml:space="preserve">en question </w:t>
      </w:r>
      <w:r w:rsidRPr="005A2305">
        <w:rPr>
          <w:b/>
          <w:szCs w:val="24"/>
        </w:rPr>
        <w:t>a été évaluée</w:t>
      </w:r>
      <w:r>
        <w:rPr>
          <w:szCs w:val="24"/>
        </w:rPr>
        <w:t xml:space="preserve"> </w:t>
      </w:r>
      <w:r w:rsidRPr="005A2305">
        <w:rPr>
          <w:b/>
          <w:szCs w:val="24"/>
        </w:rPr>
        <w:t>conformément</w:t>
      </w:r>
      <w:r>
        <w:rPr>
          <w:szCs w:val="24"/>
        </w:rPr>
        <w:t xml:space="preserve"> </w:t>
      </w:r>
      <w:r w:rsidRPr="005A2305">
        <w:rPr>
          <w:b/>
          <w:szCs w:val="24"/>
        </w:rPr>
        <w:t>aux prescriptions du paragraphe</w:t>
      </w:r>
      <w:r w:rsidR="00703F8B">
        <w:rPr>
          <w:b/>
          <w:szCs w:val="24"/>
        </w:rPr>
        <w:t> </w:t>
      </w:r>
      <w:r w:rsidRPr="005A2305">
        <w:rPr>
          <w:b/>
          <w:szCs w:val="24"/>
        </w:rPr>
        <w:t>5.4 de la norme EN 71-2:2011+A1:2014, soit avec une vitesse de combustion ne dépassant pas 30 mm/s</w:t>
      </w:r>
      <w:r w:rsidRPr="00924AA9">
        <w:rPr>
          <w:szCs w:val="24"/>
        </w:rPr>
        <w:t>.</w:t>
      </w:r>
      <w:r>
        <w:rPr>
          <w:szCs w:val="24"/>
        </w:rPr>
        <w:t xml:space="preserve"> </w:t>
      </w:r>
      <w:r w:rsidRPr="005A2305">
        <w:rPr>
          <w:szCs w:val="24"/>
        </w:rPr>
        <w:t xml:space="preserve">Des essais destinés à confirmer la validité de cette déclaration peuvent être effectués si le service technique </w:t>
      </w:r>
      <w:r>
        <w:rPr>
          <w:szCs w:val="24"/>
        </w:rPr>
        <w:t xml:space="preserve">le souhaite. </w:t>
      </w:r>
      <w:r w:rsidRPr="005A2305">
        <w:rPr>
          <w:b/>
          <w:szCs w:val="24"/>
        </w:rPr>
        <w:t>Les assemblages textiles doivent faire l’objet d’un essai en tant que matériau composite</w:t>
      </w:r>
      <w:r>
        <w:rPr>
          <w:b/>
          <w:szCs w:val="24"/>
        </w:rPr>
        <w:t>.</w:t>
      </w:r>
    </w:p>
    <w:p w:rsidR="00951C1A" w:rsidRPr="0089159C" w:rsidRDefault="00951C1A" w:rsidP="00072CC9">
      <w:pPr>
        <w:pStyle w:val="SingleTxtG"/>
        <w:ind w:left="2552"/>
        <w:rPr>
          <w:b/>
          <w:szCs w:val="24"/>
          <w:lang w:eastAsia="fr-FR"/>
        </w:rPr>
      </w:pPr>
      <w:r w:rsidRPr="00231ECB">
        <w:rPr>
          <w:b/>
          <w:iCs/>
          <w:szCs w:val="24"/>
          <w:lang w:eastAsia="fr-FR"/>
        </w:rPr>
        <w:t>Par</w:t>
      </w:r>
      <w:r w:rsidRPr="005A2305">
        <w:rPr>
          <w:b/>
          <w:i/>
          <w:iCs/>
          <w:szCs w:val="24"/>
          <w:lang w:eastAsia="fr-FR"/>
        </w:rPr>
        <w:t xml:space="preserve"> </w:t>
      </w:r>
      <w:r w:rsidR="003A1780" w:rsidRPr="0050444E">
        <w:rPr>
          <w:b/>
          <w:i/>
          <w:iCs/>
          <w:szCs w:val="24"/>
          <w:lang w:val="hu-HU"/>
        </w:rPr>
        <w:t>“</w:t>
      </w:r>
      <w:r w:rsidRPr="005A2305">
        <w:rPr>
          <w:b/>
          <w:i/>
          <w:iCs/>
          <w:szCs w:val="24"/>
          <w:lang w:eastAsia="fr-FR"/>
        </w:rPr>
        <w:t>matériau composite</w:t>
      </w:r>
      <w:r w:rsidR="003A1780" w:rsidRPr="0050444E">
        <w:rPr>
          <w:b/>
          <w:i/>
          <w:iCs/>
          <w:szCs w:val="24"/>
          <w:lang w:val="hu-HU"/>
        </w:rPr>
        <w:t>”</w:t>
      </w:r>
      <w:r>
        <w:rPr>
          <w:b/>
          <w:i/>
          <w:iCs/>
          <w:szCs w:val="24"/>
          <w:lang w:eastAsia="fr-FR"/>
        </w:rPr>
        <w:t xml:space="preserve"> </w:t>
      </w:r>
      <w:r>
        <w:rPr>
          <w:b/>
          <w:iCs/>
          <w:szCs w:val="24"/>
          <w:lang w:eastAsia="fr-FR"/>
        </w:rPr>
        <w:t>on entend un</w:t>
      </w:r>
      <w:r w:rsidR="003928C1">
        <w:rPr>
          <w:b/>
          <w:iCs/>
          <w:szCs w:val="24"/>
          <w:lang w:eastAsia="fr-FR"/>
        </w:rPr>
        <w:t xml:space="preserve"> </w:t>
      </w:r>
      <w:r w:rsidRPr="005A2305">
        <w:rPr>
          <w:b/>
          <w:iCs/>
          <w:szCs w:val="24"/>
          <w:lang w:eastAsia="fr-FR"/>
        </w:rPr>
        <w:t>matériau constitué de plusieurs couches de matériaux similaires ou différents, dont les surfaces sont intimement liées par cémentation, collage, enrobage, soudage, etc</w:t>
      </w:r>
      <w:r>
        <w:rPr>
          <w:b/>
          <w:iCs/>
          <w:szCs w:val="24"/>
          <w:lang w:eastAsia="fr-FR"/>
        </w:rPr>
        <w:t>. Dans un tel cas, le matériau doit être soumis à l</w:t>
      </w:r>
      <w:r w:rsidRPr="005D5E8C">
        <w:rPr>
          <w:b/>
          <w:iCs/>
          <w:szCs w:val="24"/>
          <w:lang w:eastAsia="fr-FR"/>
        </w:rPr>
        <w:t>’</w:t>
      </w:r>
      <w:r w:rsidRPr="0099695B">
        <w:rPr>
          <w:b/>
          <w:iCs/>
          <w:szCs w:val="24"/>
          <w:lang w:eastAsia="fr-FR"/>
        </w:rPr>
        <w:t>essai en tant que matériau composite</w:t>
      </w:r>
      <w:r>
        <w:rPr>
          <w:b/>
          <w:iCs/>
          <w:szCs w:val="24"/>
          <w:lang w:eastAsia="fr-FR"/>
        </w:rPr>
        <w:t xml:space="preserve">. </w:t>
      </w:r>
      <w:r w:rsidRPr="0099695B">
        <w:rPr>
          <w:b/>
          <w:iCs/>
          <w:szCs w:val="24"/>
          <w:lang w:eastAsia="fr-FR"/>
        </w:rPr>
        <w:t>Lorsque l’assemblage présente des discontinuités</w:t>
      </w:r>
      <w:r>
        <w:rPr>
          <w:b/>
          <w:iCs/>
          <w:szCs w:val="24"/>
          <w:lang w:eastAsia="fr-FR"/>
        </w:rPr>
        <w:t xml:space="preserve">, </w:t>
      </w:r>
      <w:r w:rsidRPr="0099695B">
        <w:rPr>
          <w:b/>
          <w:iCs/>
          <w:szCs w:val="24"/>
          <w:lang w:eastAsia="fr-FR"/>
        </w:rPr>
        <w:t>le</w:t>
      </w:r>
      <w:r>
        <w:rPr>
          <w:b/>
          <w:iCs/>
          <w:szCs w:val="24"/>
          <w:lang w:eastAsia="fr-FR"/>
        </w:rPr>
        <w:t xml:space="preserve">s </w:t>
      </w:r>
      <w:r w:rsidRPr="0099695B">
        <w:rPr>
          <w:b/>
          <w:iCs/>
          <w:szCs w:val="24"/>
          <w:lang w:eastAsia="fr-FR"/>
        </w:rPr>
        <w:t>matériau</w:t>
      </w:r>
      <w:r>
        <w:rPr>
          <w:b/>
          <w:iCs/>
          <w:szCs w:val="24"/>
          <w:lang w:eastAsia="fr-FR"/>
        </w:rPr>
        <w:t>x</w:t>
      </w:r>
      <w:r w:rsidRPr="0099695B">
        <w:rPr>
          <w:b/>
          <w:iCs/>
          <w:szCs w:val="24"/>
          <w:lang w:eastAsia="fr-FR"/>
        </w:rPr>
        <w:t xml:space="preserve"> n</w:t>
      </w:r>
      <w:r>
        <w:rPr>
          <w:b/>
          <w:iCs/>
          <w:szCs w:val="24"/>
          <w:lang w:eastAsia="fr-FR"/>
        </w:rPr>
        <w:t xml:space="preserve">e sont doivent </w:t>
      </w:r>
      <w:r w:rsidRPr="0099695B">
        <w:rPr>
          <w:b/>
          <w:iCs/>
          <w:szCs w:val="24"/>
          <w:lang w:eastAsia="fr-FR"/>
        </w:rPr>
        <w:t xml:space="preserve">pas </w:t>
      </w:r>
      <w:r>
        <w:rPr>
          <w:b/>
          <w:iCs/>
          <w:szCs w:val="24"/>
          <w:lang w:eastAsia="fr-FR"/>
        </w:rPr>
        <w:t xml:space="preserve">être </w:t>
      </w:r>
      <w:r w:rsidRPr="0099695B">
        <w:rPr>
          <w:b/>
          <w:iCs/>
          <w:szCs w:val="24"/>
          <w:lang w:eastAsia="fr-FR"/>
        </w:rPr>
        <w:t>considéré</w:t>
      </w:r>
      <w:r>
        <w:rPr>
          <w:b/>
          <w:iCs/>
          <w:szCs w:val="24"/>
          <w:lang w:eastAsia="fr-FR"/>
        </w:rPr>
        <w:t>s</w:t>
      </w:r>
      <w:r w:rsidRPr="0099695B">
        <w:rPr>
          <w:b/>
          <w:iCs/>
          <w:szCs w:val="24"/>
          <w:lang w:eastAsia="fr-FR"/>
        </w:rPr>
        <w:t xml:space="preserve"> comme </w:t>
      </w:r>
      <w:r>
        <w:rPr>
          <w:b/>
          <w:iCs/>
          <w:szCs w:val="24"/>
          <w:lang w:eastAsia="fr-FR"/>
        </w:rPr>
        <w:t xml:space="preserve">des matériaux </w:t>
      </w:r>
      <w:r w:rsidRPr="0099695B">
        <w:rPr>
          <w:b/>
          <w:iCs/>
          <w:szCs w:val="24"/>
          <w:lang w:eastAsia="fr-FR"/>
        </w:rPr>
        <w:t>composite</w:t>
      </w:r>
      <w:r>
        <w:rPr>
          <w:b/>
          <w:iCs/>
          <w:szCs w:val="24"/>
          <w:lang w:eastAsia="fr-FR"/>
        </w:rPr>
        <w:t>s et doivent donc faire l</w:t>
      </w:r>
      <w:r w:rsidRPr="0099695B">
        <w:rPr>
          <w:b/>
          <w:iCs/>
          <w:szCs w:val="24"/>
          <w:lang w:eastAsia="fr-FR"/>
        </w:rPr>
        <w:t>’</w:t>
      </w:r>
      <w:r>
        <w:rPr>
          <w:b/>
          <w:iCs/>
          <w:szCs w:val="24"/>
          <w:lang w:eastAsia="fr-FR"/>
        </w:rPr>
        <w:t>objet d</w:t>
      </w:r>
      <w:r w:rsidRPr="0099695B">
        <w:rPr>
          <w:b/>
          <w:iCs/>
          <w:szCs w:val="24"/>
          <w:lang w:eastAsia="fr-FR"/>
        </w:rPr>
        <w:t>’</w:t>
      </w:r>
      <w:r>
        <w:rPr>
          <w:b/>
          <w:iCs/>
          <w:szCs w:val="24"/>
          <w:lang w:eastAsia="fr-FR"/>
        </w:rPr>
        <w:t xml:space="preserve">essais séparés. </w:t>
      </w:r>
    </w:p>
    <w:p w:rsidR="00951C1A" w:rsidRPr="0050444E" w:rsidRDefault="00951C1A" w:rsidP="00703F8B">
      <w:pPr>
        <w:pStyle w:val="SingleTxtG"/>
        <w:ind w:left="2552"/>
        <w:rPr>
          <w:b/>
          <w:bCs/>
          <w:szCs w:val="24"/>
        </w:rPr>
      </w:pPr>
      <w:r w:rsidRPr="0099695B">
        <w:rPr>
          <w:b/>
          <w:szCs w:val="24"/>
        </w:rPr>
        <w:t>Des essais destinés à confirmer la validité de cette déclaration peuvent être effectués si le service technique le souhaite.</w:t>
      </w:r>
    </w:p>
    <w:p w:rsidR="00951C1A" w:rsidRPr="0050444E" w:rsidRDefault="00951C1A" w:rsidP="00703F8B">
      <w:pPr>
        <w:pStyle w:val="SingleTxtG"/>
        <w:ind w:left="2552"/>
        <w:rPr>
          <w:b/>
          <w:bCs/>
          <w:szCs w:val="24"/>
        </w:rPr>
      </w:pPr>
      <w:r w:rsidRPr="0050444E">
        <w:rPr>
          <w:b/>
          <w:bCs/>
          <w:szCs w:val="24"/>
        </w:rPr>
        <w:t>M</w:t>
      </w:r>
      <w:r w:rsidRPr="0099695B">
        <w:rPr>
          <w:b/>
          <w:bCs/>
          <w:szCs w:val="24"/>
        </w:rPr>
        <w:t>é</w:t>
      </w:r>
      <w:r w:rsidRPr="0050444E">
        <w:rPr>
          <w:b/>
          <w:bCs/>
          <w:szCs w:val="24"/>
        </w:rPr>
        <w:t>thod</w:t>
      </w:r>
      <w:r w:rsidRPr="0099695B">
        <w:rPr>
          <w:b/>
          <w:bCs/>
          <w:szCs w:val="24"/>
        </w:rPr>
        <w:t>e</w:t>
      </w:r>
      <w:r w:rsidRPr="0050444E">
        <w:rPr>
          <w:b/>
          <w:bCs/>
          <w:szCs w:val="24"/>
        </w:rPr>
        <w:t xml:space="preserve"> 2</w:t>
      </w:r>
    </w:p>
    <w:p w:rsidR="00951C1A" w:rsidRPr="0050444E" w:rsidRDefault="00951C1A" w:rsidP="00703F8B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</w:t>
      </w:r>
      <w:r w:rsidRPr="0099695B">
        <w:rPr>
          <w:b/>
          <w:szCs w:val="24"/>
          <w:lang w:val="hu-HU"/>
        </w:rPr>
        <w:t xml:space="preserve">e demandeur doit déclarer par écrit que </w:t>
      </w:r>
      <w:r>
        <w:rPr>
          <w:b/>
          <w:szCs w:val="24"/>
          <w:lang w:val="hu-HU"/>
        </w:rPr>
        <w:t>lors des essais effectués conformément à l</w:t>
      </w:r>
      <w:r w:rsidRPr="008B475B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annexe</w:t>
      </w:r>
      <w:r w:rsidR="00703F8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 xml:space="preserve">23 du présent Règlement les matériaux utilisés ne doivent ni brûler ni propager un front de flamme à leur surface à une vitesse supérieure à </w:t>
      </w:r>
      <w:r w:rsidRPr="0050444E">
        <w:rPr>
          <w:b/>
          <w:szCs w:val="24"/>
          <w:lang w:val="hu-HU"/>
        </w:rPr>
        <w:t>[250</w:t>
      </w:r>
      <w:r w:rsidR="00703F8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mm] p</w:t>
      </w:r>
      <w:r>
        <w:rPr>
          <w:b/>
          <w:szCs w:val="24"/>
          <w:lang w:val="hu-HU"/>
        </w:rPr>
        <w:t>a</w:t>
      </w:r>
      <w:r w:rsidRPr="0050444E">
        <w:rPr>
          <w:b/>
          <w:szCs w:val="24"/>
          <w:lang w:val="hu-HU"/>
        </w:rPr>
        <w:t xml:space="preserve">r minute. </w:t>
      </w:r>
      <w:r>
        <w:rPr>
          <w:b/>
          <w:szCs w:val="24"/>
          <w:lang w:val="hu-HU"/>
        </w:rPr>
        <w:t xml:space="preserve">Tous les </w:t>
      </w:r>
      <w:r>
        <w:rPr>
          <w:b/>
          <w:szCs w:val="24"/>
          <w:lang w:val="hu-HU"/>
        </w:rPr>
        <w:lastRenderedPageBreak/>
        <w:t xml:space="preserve">matériaux utilisés dans un </w:t>
      </w:r>
      <w:r w:rsidRPr="008B475B">
        <w:rPr>
          <w:b/>
          <w:szCs w:val="24"/>
          <w:lang w:val="hu-HU"/>
        </w:rPr>
        <w:t xml:space="preserve">dispositif de retenue pour enfants </w:t>
      </w:r>
      <w:r>
        <w:rPr>
          <w:b/>
          <w:szCs w:val="24"/>
          <w:lang w:val="hu-HU"/>
        </w:rPr>
        <w:t xml:space="preserve">doivent être </w:t>
      </w:r>
      <w:r w:rsidRPr="00BF0DB4">
        <w:rPr>
          <w:b/>
          <w:szCs w:val="24"/>
          <w:lang w:val="hu-HU"/>
        </w:rPr>
        <w:t>conforme</w:t>
      </w:r>
      <w:r>
        <w:rPr>
          <w:b/>
          <w:szCs w:val="24"/>
          <w:lang w:val="hu-HU"/>
        </w:rPr>
        <w:t>s</w:t>
      </w:r>
      <w:r w:rsidRPr="00BF0DB4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 xml:space="preserve">à ces </w:t>
      </w:r>
      <w:r w:rsidRPr="00BF0DB4">
        <w:rPr>
          <w:b/>
          <w:szCs w:val="24"/>
          <w:lang w:val="hu-HU"/>
        </w:rPr>
        <w:t>prescriptions</w:t>
      </w:r>
      <w:r>
        <w:rPr>
          <w:b/>
          <w:szCs w:val="24"/>
          <w:lang w:val="hu-HU"/>
        </w:rPr>
        <w:t>. Toutefois, la prescription concernant la propagation d</w:t>
      </w:r>
      <w:r w:rsidRPr="00EB33CB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un front de flamme </w:t>
      </w:r>
      <w:r w:rsidR="00694F5D">
        <w:rPr>
          <w:b/>
          <w:szCs w:val="24"/>
          <w:lang w:val="hu-HU"/>
        </w:rPr>
        <w:t xml:space="preserve">ne </w:t>
      </w:r>
      <w:r>
        <w:rPr>
          <w:b/>
          <w:szCs w:val="24"/>
          <w:lang w:val="hu-HU"/>
        </w:rPr>
        <w:t>s</w:t>
      </w:r>
      <w:r w:rsidRPr="00EB33CB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applique pas à une surface créée par le découpage d</w:t>
      </w:r>
      <w:r w:rsidRPr="005D5E8C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un échantillon pour les besoins des essais</w:t>
      </w:r>
      <w:r w:rsidR="003928C1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>prescrits à l</w:t>
      </w:r>
      <w:r w:rsidRPr="00EB33CB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annexe</w:t>
      </w:r>
      <w:r w:rsidR="00703F8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23.</w:t>
      </w:r>
    </w:p>
    <w:p w:rsidR="00951C1A" w:rsidRDefault="00951C1A" w:rsidP="00703F8B">
      <w:pPr>
        <w:pStyle w:val="SingleTxtG"/>
        <w:ind w:left="2552"/>
        <w:rPr>
          <w:b/>
          <w:bCs/>
          <w:szCs w:val="24"/>
          <w:lang w:val="hu-HU"/>
        </w:rPr>
      </w:pPr>
      <w:r>
        <w:rPr>
          <w:b/>
          <w:bCs/>
          <w:szCs w:val="24"/>
          <w:lang w:val="hu-HU"/>
        </w:rPr>
        <w:t xml:space="preserve">Les prescriptions doivent être satisfaites aussi bien quand le </w:t>
      </w:r>
      <w:r w:rsidRPr="0051266F">
        <w:rPr>
          <w:b/>
          <w:bCs/>
          <w:szCs w:val="24"/>
          <w:lang w:val="hu-HU"/>
        </w:rPr>
        <w:t xml:space="preserve">dispositif de retenue pour enfants </w:t>
      </w:r>
      <w:r>
        <w:rPr>
          <w:b/>
          <w:bCs/>
          <w:szCs w:val="24"/>
          <w:lang w:val="hu-HU"/>
        </w:rPr>
        <w:t>est en service que quand il ne l</w:t>
      </w:r>
      <w:r w:rsidRPr="008D6A60">
        <w:rPr>
          <w:b/>
          <w:bCs/>
          <w:szCs w:val="24"/>
          <w:lang w:val="hu-HU"/>
        </w:rPr>
        <w:t>’</w:t>
      </w:r>
      <w:r>
        <w:rPr>
          <w:b/>
          <w:bCs/>
          <w:szCs w:val="24"/>
          <w:lang w:val="hu-HU"/>
        </w:rPr>
        <w:t xml:space="preserve">est pas. </w:t>
      </w:r>
    </w:p>
    <w:p w:rsidR="00951C1A" w:rsidRDefault="00951C1A" w:rsidP="00703F8B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Si un matériau cesse de brûler moins de 60</w:t>
      </w:r>
      <w:r w:rsidR="00453F89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s après le début de la mesure et s</w:t>
      </w:r>
      <w:r w:rsidRPr="00524AB2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il n</w:t>
      </w:r>
      <w:r w:rsidRPr="00524AB2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 pas brûlé sur plus de 51</w:t>
      </w:r>
      <w:r w:rsidR="00453F89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depuis le point de départ, il doit être considéré comme satisfaisant à la prescription relative à la vitesse de combust</w:t>
      </w:r>
      <w:r w:rsidR="003324F9">
        <w:rPr>
          <w:b/>
          <w:szCs w:val="24"/>
          <w:lang w:val="hu-HU"/>
        </w:rPr>
        <w:t>ion précisée</w:t>
      </w:r>
      <w:r w:rsidR="00453F89">
        <w:rPr>
          <w:b/>
          <w:szCs w:val="24"/>
          <w:lang w:val="hu-HU"/>
        </w:rPr>
        <w:t xml:space="preserve"> plus haut.</w:t>
      </w:r>
    </w:p>
    <w:p w:rsidR="00951C1A" w:rsidRPr="0089159C" w:rsidRDefault="00951C1A" w:rsidP="00703F8B">
      <w:pPr>
        <w:pStyle w:val="SingleTxtG"/>
        <w:ind w:left="2552"/>
        <w:rPr>
          <w:bCs/>
          <w:szCs w:val="24"/>
        </w:rPr>
      </w:pPr>
      <w:r w:rsidRPr="00DE5CFF">
        <w:rPr>
          <w:b/>
          <w:szCs w:val="24"/>
        </w:rPr>
        <w:t>Des essais destinés à confirmer la validité de cette déclaration peuvent être effectués si le service technique le souhaite.</w:t>
      </w:r>
      <w:r w:rsidR="00453F89" w:rsidRPr="00453F89">
        <w:rPr>
          <w:szCs w:val="24"/>
        </w:rPr>
        <w:t> ».</w:t>
      </w:r>
    </w:p>
    <w:p w:rsidR="00951C1A" w:rsidRPr="0050444E" w:rsidRDefault="00951C1A" w:rsidP="00453F89">
      <w:pPr>
        <w:pStyle w:val="SingleTxtG"/>
        <w:rPr>
          <w:szCs w:val="24"/>
          <w:lang w:val="hu-HU"/>
        </w:rPr>
      </w:pPr>
      <w:r w:rsidRPr="00BF0DB4">
        <w:rPr>
          <w:i/>
          <w:szCs w:val="24"/>
          <w:lang w:val="hu-HU"/>
        </w:rPr>
        <w:t xml:space="preserve">Ajouter une nouvelle annexe </w:t>
      </w:r>
      <w:r w:rsidRPr="0050444E">
        <w:rPr>
          <w:i/>
          <w:szCs w:val="24"/>
          <w:lang w:val="hu-HU"/>
        </w:rPr>
        <w:t>23</w:t>
      </w:r>
      <w:r w:rsidRPr="0050444E">
        <w:rPr>
          <w:szCs w:val="24"/>
          <w:lang w:val="hu-HU"/>
        </w:rPr>
        <w:t xml:space="preserve">, </w:t>
      </w:r>
      <w:r>
        <w:rPr>
          <w:szCs w:val="24"/>
          <w:lang w:val="hu-HU"/>
        </w:rPr>
        <w:t>ainsi conçue</w:t>
      </w:r>
      <w:r w:rsidR="00453F89">
        <w:rPr>
          <w:szCs w:val="24"/>
          <w:lang w:val="hu-HU"/>
        </w:rPr>
        <w:t> </w:t>
      </w:r>
      <w:r w:rsidRPr="0050444E">
        <w:rPr>
          <w:szCs w:val="24"/>
          <w:lang w:val="hu-HU"/>
        </w:rPr>
        <w:t>:</w:t>
      </w:r>
    </w:p>
    <w:p w:rsidR="00951C1A" w:rsidRPr="0050444E" w:rsidRDefault="003A1780" w:rsidP="003A1780">
      <w:pPr>
        <w:pStyle w:val="HChG"/>
        <w:rPr>
          <w:lang w:eastAsia="ja-JP"/>
        </w:rPr>
      </w:pPr>
      <w:r>
        <w:rPr>
          <w:b w:val="0"/>
        </w:rPr>
        <w:t>« </w:t>
      </w:r>
      <w:r w:rsidR="00951C1A" w:rsidRPr="00BF0DB4">
        <w:t>Annexe</w:t>
      </w:r>
      <w:r w:rsidR="00951C1A" w:rsidRPr="0050444E">
        <w:rPr>
          <w:lang w:eastAsia="ja-JP"/>
        </w:rPr>
        <w:t xml:space="preserve"> 23</w:t>
      </w:r>
    </w:p>
    <w:p w:rsidR="00951C1A" w:rsidRPr="0050444E" w:rsidRDefault="00951C1A" w:rsidP="003A1780">
      <w:pPr>
        <w:pStyle w:val="HChG"/>
        <w:rPr>
          <w:lang w:eastAsia="ja-JP"/>
        </w:rPr>
      </w:pPr>
      <w:r w:rsidRPr="0050444E">
        <w:rPr>
          <w:lang w:eastAsia="ja-JP"/>
        </w:rPr>
        <w:tab/>
      </w:r>
      <w:r w:rsidRPr="0050444E">
        <w:rPr>
          <w:lang w:eastAsia="ja-JP"/>
        </w:rPr>
        <w:tab/>
      </w:r>
      <w:r w:rsidRPr="00BF0DB4">
        <w:rPr>
          <w:lang w:eastAsia="ja-JP"/>
        </w:rPr>
        <w:t xml:space="preserve">Inflammabilité des matériaux conçus pour être utilisés </w:t>
      </w:r>
      <w:r w:rsidR="003A1780">
        <w:rPr>
          <w:lang w:eastAsia="ja-JP"/>
        </w:rPr>
        <w:br/>
      </w:r>
      <w:r w:rsidRPr="00BF0DB4">
        <w:rPr>
          <w:lang w:eastAsia="ja-JP"/>
        </w:rPr>
        <w:t xml:space="preserve">dans les dispositifs </w:t>
      </w:r>
      <w:r w:rsidRPr="005C4E55">
        <w:rPr>
          <w:lang w:eastAsia="ja-JP"/>
        </w:rPr>
        <w:t>intégrés</w:t>
      </w:r>
      <w:r>
        <w:rPr>
          <w:lang w:eastAsia="ja-JP"/>
        </w:rPr>
        <w:t xml:space="preserve"> </w:t>
      </w:r>
      <w:r w:rsidRPr="00BF0DB4">
        <w:rPr>
          <w:lang w:eastAsia="ja-JP"/>
        </w:rPr>
        <w:t xml:space="preserve">de retenue pour enfants </w:t>
      </w:r>
    </w:p>
    <w:p w:rsidR="00951C1A" w:rsidRPr="0050444E" w:rsidRDefault="00951C1A" w:rsidP="003A1780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1.</w:t>
      </w:r>
      <w:r w:rsidRPr="0050444E">
        <w:rPr>
          <w:b/>
          <w:szCs w:val="24"/>
          <w:lang w:val="hu-HU"/>
        </w:rPr>
        <w:tab/>
        <w:t>D</w:t>
      </w:r>
      <w:r>
        <w:rPr>
          <w:b/>
          <w:szCs w:val="24"/>
          <w:lang w:val="hu-HU"/>
        </w:rPr>
        <w:t>é</w:t>
      </w:r>
      <w:r w:rsidRPr="0050444E">
        <w:rPr>
          <w:b/>
          <w:szCs w:val="24"/>
          <w:lang w:val="hu-HU"/>
        </w:rPr>
        <w:t>finitions</w:t>
      </w:r>
    </w:p>
    <w:p w:rsidR="00951C1A" w:rsidRPr="0050444E" w:rsidRDefault="00951C1A" w:rsidP="008A5065">
      <w:pPr>
        <w:pStyle w:val="SingleTxtG"/>
        <w:ind w:left="2552"/>
        <w:rPr>
          <w:b/>
          <w:szCs w:val="24"/>
          <w:lang w:val="hu-HU"/>
        </w:rPr>
      </w:pPr>
      <w:r w:rsidRPr="004558DE">
        <w:rPr>
          <w:b/>
          <w:iCs/>
          <w:szCs w:val="24"/>
          <w:lang w:val="hu-HU"/>
        </w:rPr>
        <w:t>Par</w:t>
      </w:r>
      <w:r>
        <w:rPr>
          <w:b/>
          <w:i/>
          <w:iCs/>
          <w:szCs w:val="24"/>
          <w:lang w:val="hu-HU"/>
        </w:rPr>
        <w:t xml:space="preserve"> </w:t>
      </w:r>
      <w:r w:rsidRPr="0050444E">
        <w:rPr>
          <w:b/>
          <w:i/>
          <w:iCs/>
          <w:szCs w:val="24"/>
          <w:lang w:val="hu-HU"/>
        </w:rPr>
        <w:t>“</w:t>
      </w:r>
      <w:r>
        <w:rPr>
          <w:b/>
          <w:i/>
          <w:iCs/>
          <w:szCs w:val="24"/>
          <w:lang w:val="hu-HU"/>
        </w:rPr>
        <w:t>Espace aéré de l</w:t>
      </w:r>
      <w:r w:rsidRPr="00231ECB">
        <w:rPr>
          <w:b/>
          <w:i/>
          <w:iCs/>
          <w:szCs w:val="24"/>
          <w:lang w:val="hu-HU"/>
        </w:rPr>
        <w:t>’</w:t>
      </w:r>
      <w:r>
        <w:rPr>
          <w:b/>
          <w:i/>
          <w:iCs/>
          <w:szCs w:val="24"/>
          <w:lang w:val="hu-HU"/>
        </w:rPr>
        <w:t>habitacle</w:t>
      </w:r>
      <w:r w:rsidRPr="0050444E">
        <w:rPr>
          <w:b/>
          <w:i/>
          <w:iCs/>
          <w:szCs w:val="24"/>
          <w:lang w:val="hu-HU"/>
        </w:rPr>
        <w:t>”</w:t>
      </w:r>
      <w:r>
        <w:rPr>
          <w:b/>
          <w:i/>
          <w:iCs/>
          <w:szCs w:val="24"/>
          <w:lang w:val="hu-HU"/>
        </w:rPr>
        <w:t xml:space="preserve">, </w:t>
      </w:r>
      <w:r w:rsidRPr="00D86F65">
        <w:rPr>
          <w:b/>
          <w:iCs/>
          <w:szCs w:val="24"/>
          <w:lang w:val="hu-HU"/>
        </w:rPr>
        <w:t>l</w:t>
      </w:r>
      <w:r>
        <w:rPr>
          <w:b/>
          <w:iCs/>
          <w:szCs w:val="24"/>
          <w:lang w:val="hu-HU"/>
        </w:rPr>
        <w:t>a partie de l</w:t>
      </w:r>
      <w:r w:rsidRPr="00D86F65">
        <w:rPr>
          <w:b/>
          <w:iCs/>
          <w:szCs w:val="24"/>
          <w:lang w:val="hu-HU"/>
        </w:rPr>
        <w:t>’</w:t>
      </w:r>
      <w:r>
        <w:rPr>
          <w:b/>
          <w:iCs/>
          <w:szCs w:val="24"/>
          <w:lang w:val="hu-HU"/>
        </w:rPr>
        <w:t>habitacle qui contient normalement de l</w:t>
      </w:r>
      <w:r w:rsidRPr="00D86F65">
        <w:rPr>
          <w:b/>
          <w:iCs/>
          <w:szCs w:val="24"/>
          <w:lang w:val="hu-HU"/>
        </w:rPr>
        <w:t>’</w:t>
      </w:r>
      <w:r>
        <w:rPr>
          <w:b/>
          <w:iCs/>
          <w:szCs w:val="24"/>
          <w:lang w:val="hu-HU"/>
        </w:rPr>
        <w:t>air renouvelable</w:t>
      </w:r>
      <w:r w:rsidRPr="0050444E">
        <w:rPr>
          <w:b/>
          <w:szCs w:val="24"/>
          <w:lang w:val="hu-HU"/>
        </w:rPr>
        <w:t>.</w:t>
      </w:r>
    </w:p>
    <w:p w:rsidR="00951C1A" w:rsidRPr="0050444E" w:rsidRDefault="00951C1A" w:rsidP="008A5065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2.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Choix du matériau</w:t>
      </w:r>
      <w:r w:rsidRPr="0050444E">
        <w:rPr>
          <w:b/>
          <w:szCs w:val="24"/>
          <w:lang w:val="hu-HU"/>
        </w:rPr>
        <w:t xml:space="preserve"> (</w:t>
      </w:r>
      <w:r>
        <w:rPr>
          <w:b/>
          <w:szCs w:val="24"/>
          <w:lang w:val="hu-HU"/>
        </w:rPr>
        <w:t>voir fig.</w:t>
      </w:r>
      <w:r w:rsidR="00F31216">
        <w:rPr>
          <w:b/>
          <w:szCs w:val="24"/>
          <w:lang w:val="hu-HU"/>
        </w:rPr>
        <w:t> 1 ci</w:t>
      </w:r>
      <w:r w:rsidR="00F31216">
        <w:rPr>
          <w:b/>
          <w:szCs w:val="24"/>
          <w:lang w:val="hu-HU"/>
        </w:rPr>
        <w:noBreakHyphen/>
      </w:r>
      <w:r>
        <w:rPr>
          <w:b/>
          <w:szCs w:val="24"/>
          <w:lang w:val="hu-HU"/>
        </w:rPr>
        <w:t>dessous</w:t>
      </w:r>
      <w:r w:rsidRPr="0050444E">
        <w:rPr>
          <w:b/>
          <w:szCs w:val="24"/>
          <w:lang w:val="hu-HU"/>
        </w:rPr>
        <w:t>)</w:t>
      </w:r>
    </w:p>
    <w:p w:rsidR="00951C1A" w:rsidRPr="0050444E" w:rsidRDefault="00951C1A" w:rsidP="008A5065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2.1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Toute partie d</w:t>
      </w:r>
      <w:r w:rsidRPr="005C4E5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un matériau simple ou composite se trouvant à moins de </w:t>
      </w:r>
      <w:r w:rsidRPr="0050444E">
        <w:rPr>
          <w:b/>
          <w:szCs w:val="24"/>
          <w:lang w:val="hu-HU"/>
        </w:rPr>
        <w:t xml:space="preserve">13 mm </w:t>
      </w:r>
      <w:r>
        <w:rPr>
          <w:b/>
          <w:szCs w:val="24"/>
          <w:lang w:val="hu-HU"/>
        </w:rPr>
        <w:t>de l</w:t>
      </w:r>
      <w:r w:rsidRPr="00E14543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espace aéré de l</w:t>
      </w:r>
      <w:r w:rsidRPr="00E14543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habitacle doit </w:t>
      </w:r>
      <w:r w:rsidRPr="005C4E55">
        <w:rPr>
          <w:b/>
          <w:szCs w:val="24"/>
          <w:lang w:val="hu-HU"/>
        </w:rPr>
        <w:t>satisfaire aux prescriptions</w:t>
      </w:r>
      <w:r>
        <w:rPr>
          <w:b/>
          <w:szCs w:val="24"/>
          <w:lang w:val="hu-HU"/>
        </w:rPr>
        <w:t xml:space="preserve"> du paragraphe</w:t>
      </w:r>
      <w:r w:rsidR="00F31216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6.1.6.</w:t>
      </w:r>
    </w:p>
    <w:p w:rsidR="00951C1A" w:rsidRPr="0050444E" w:rsidRDefault="00F31216" w:rsidP="008A5065">
      <w:pPr>
        <w:pStyle w:val="SingleTxtG"/>
        <w:ind w:left="2552" w:hanging="1418"/>
        <w:rPr>
          <w:szCs w:val="24"/>
          <w:lang w:val="hu-HU"/>
        </w:rPr>
      </w:pPr>
      <w:r>
        <w:rPr>
          <w:b/>
          <w:szCs w:val="24"/>
          <w:lang w:val="hu-HU"/>
        </w:rPr>
        <w:t>2.1.1</w:t>
      </w:r>
      <w:r w:rsidR="00951C1A" w:rsidRPr="0050444E">
        <w:rPr>
          <w:b/>
          <w:szCs w:val="24"/>
          <w:lang w:val="hu-HU"/>
        </w:rPr>
        <w:tab/>
      </w:r>
      <w:r w:rsidR="00951C1A">
        <w:rPr>
          <w:b/>
          <w:szCs w:val="24"/>
          <w:lang w:val="hu-HU"/>
        </w:rPr>
        <w:t>Tout matériau qui n</w:t>
      </w:r>
      <w:r w:rsidR="00951C1A" w:rsidRPr="00336BB4">
        <w:rPr>
          <w:b/>
          <w:szCs w:val="24"/>
          <w:lang w:val="hu-HU"/>
        </w:rPr>
        <w:t>’</w:t>
      </w:r>
      <w:r w:rsidR="00951C1A">
        <w:rPr>
          <w:b/>
          <w:szCs w:val="24"/>
          <w:lang w:val="hu-HU"/>
        </w:rPr>
        <w:t>adhère pas à un ou plusieurs autre(s) matériau(x) à chaque point de contact doit satisfaire aux prescriptions du paragraphe</w:t>
      </w:r>
      <w:r>
        <w:rPr>
          <w:b/>
          <w:szCs w:val="24"/>
          <w:lang w:val="hu-HU"/>
        </w:rPr>
        <w:t> </w:t>
      </w:r>
      <w:r w:rsidR="00951C1A" w:rsidRPr="0050444E">
        <w:rPr>
          <w:b/>
          <w:szCs w:val="24"/>
          <w:lang w:val="hu-HU"/>
        </w:rPr>
        <w:t>6.1.6</w:t>
      </w:r>
      <w:r w:rsidR="00951C1A">
        <w:rPr>
          <w:b/>
          <w:szCs w:val="24"/>
          <w:lang w:val="hu-HU"/>
        </w:rPr>
        <w:t xml:space="preserve"> lorsqu</w:t>
      </w:r>
      <w:r w:rsidR="00951C1A" w:rsidRPr="00D81E2C">
        <w:rPr>
          <w:b/>
          <w:szCs w:val="24"/>
          <w:lang w:val="hu-HU"/>
        </w:rPr>
        <w:t>’</w:t>
      </w:r>
      <w:r w:rsidR="00951C1A">
        <w:rPr>
          <w:b/>
          <w:szCs w:val="24"/>
          <w:lang w:val="hu-HU"/>
        </w:rPr>
        <w:t>il est soumis à l</w:t>
      </w:r>
      <w:r w:rsidR="00951C1A" w:rsidRPr="00D81E2C">
        <w:rPr>
          <w:b/>
          <w:szCs w:val="24"/>
          <w:lang w:val="hu-HU"/>
        </w:rPr>
        <w:t>’</w:t>
      </w:r>
      <w:r w:rsidR="00951C1A">
        <w:rPr>
          <w:b/>
          <w:szCs w:val="24"/>
          <w:lang w:val="hu-HU"/>
        </w:rPr>
        <w:t xml:space="preserve">essai </w:t>
      </w:r>
      <w:r w:rsidR="00951C1A" w:rsidRPr="00D81E2C">
        <w:rPr>
          <w:b/>
          <w:szCs w:val="24"/>
          <w:lang w:val="hu-HU"/>
        </w:rPr>
        <w:t>séparément</w:t>
      </w:r>
      <w:r w:rsidR="00951C1A" w:rsidRPr="0050444E">
        <w:rPr>
          <w:b/>
          <w:szCs w:val="24"/>
          <w:lang w:val="hu-HU"/>
        </w:rPr>
        <w:t>.</w:t>
      </w:r>
    </w:p>
    <w:p w:rsidR="00951C1A" w:rsidRDefault="00951C1A" w:rsidP="008A5065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2.1.2</w:t>
      </w:r>
      <w:r w:rsidRPr="0050444E">
        <w:rPr>
          <w:b/>
          <w:szCs w:val="24"/>
          <w:lang w:val="hu-HU"/>
        </w:rPr>
        <w:tab/>
      </w:r>
      <w:r w:rsidRPr="00D81E2C">
        <w:rPr>
          <w:b/>
          <w:szCs w:val="24"/>
          <w:lang w:val="hu-HU"/>
        </w:rPr>
        <w:t>Tout matériau qui adhère à un ou plusieurs autre(s) matériau(x)</w:t>
      </w:r>
      <w:r>
        <w:rPr>
          <w:b/>
          <w:szCs w:val="24"/>
          <w:lang w:val="hu-HU"/>
        </w:rPr>
        <w:t xml:space="preserve"> </w:t>
      </w:r>
      <w:r w:rsidRPr="00D81E2C">
        <w:rPr>
          <w:b/>
          <w:szCs w:val="24"/>
          <w:lang w:val="hu-HU"/>
        </w:rPr>
        <w:t>à chaque point de contact doit satisfaire aux prescription</w:t>
      </w:r>
      <w:r w:rsidR="00707151">
        <w:rPr>
          <w:b/>
          <w:szCs w:val="24"/>
          <w:lang w:val="hu-HU"/>
        </w:rPr>
        <w:t>s</w:t>
      </w:r>
      <w:r w:rsidRPr="00D81E2C">
        <w:rPr>
          <w:b/>
          <w:szCs w:val="24"/>
          <w:lang w:val="hu-HU"/>
        </w:rPr>
        <w:t xml:space="preserve"> du paragraphe</w:t>
      </w:r>
      <w:r w:rsidR="00F31216">
        <w:rPr>
          <w:b/>
          <w:szCs w:val="24"/>
          <w:lang w:val="hu-HU"/>
        </w:rPr>
        <w:t> </w:t>
      </w:r>
      <w:r w:rsidRPr="00D81E2C">
        <w:rPr>
          <w:b/>
          <w:szCs w:val="24"/>
          <w:lang w:val="hu-HU"/>
        </w:rPr>
        <w:t>6.1.6 lorsqu’il est soumis à l’essai</w:t>
      </w:r>
      <w:r>
        <w:rPr>
          <w:b/>
          <w:szCs w:val="24"/>
          <w:lang w:val="hu-HU"/>
        </w:rPr>
        <w:t xml:space="preserve"> </w:t>
      </w:r>
      <w:r w:rsidRPr="00D81E2C">
        <w:rPr>
          <w:b/>
          <w:szCs w:val="24"/>
          <w:lang w:val="hu-HU"/>
        </w:rPr>
        <w:t>en tant que matériau composite</w:t>
      </w:r>
      <w:r>
        <w:rPr>
          <w:b/>
          <w:szCs w:val="24"/>
          <w:lang w:val="hu-HU"/>
        </w:rPr>
        <w:t xml:space="preserve"> en même temps que l</w:t>
      </w:r>
      <w:r w:rsidRPr="00D81E2C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autre ou les autres matériau(x)</w:t>
      </w:r>
      <w:r w:rsidRPr="00D81E2C">
        <w:rPr>
          <w:b/>
          <w:szCs w:val="24"/>
          <w:lang w:val="hu-HU"/>
        </w:rPr>
        <w:t>.</w:t>
      </w:r>
    </w:p>
    <w:p w:rsidR="00951C1A" w:rsidRPr="0050444E" w:rsidRDefault="00951C1A" w:rsidP="00F31216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Le m</w:t>
      </w:r>
      <w:r w:rsidRPr="0050444E">
        <w:rPr>
          <w:b/>
          <w:szCs w:val="24"/>
          <w:lang w:val="hu-HU"/>
        </w:rPr>
        <w:t>at</w:t>
      </w:r>
      <w:r>
        <w:rPr>
          <w:b/>
          <w:szCs w:val="24"/>
          <w:lang w:val="hu-HU"/>
        </w:rPr>
        <w:t xml:space="preserve">ériau </w:t>
      </w:r>
      <w:r w:rsidRPr="0050444E">
        <w:rPr>
          <w:b/>
          <w:szCs w:val="24"/>
          <w:lang w:val="hu-HU"/>
        </w:rPr>
        <w:t xml:space="preserve">A </w:t>
      </w:r>
      <w:r w:rsidR="0058013C">
        <w:rPr>
          <w:b/>
          <w:szCs w:val="24"/>
          <w:lang w:val="hu-HU"/>
        </w:rPr>
        <w:t xml:space="preserve">possède une interface non </w:t>
      </w:r>
      <w:r>
        <w:rPr>
          <w:b/>
          <w:szCs w:val="24"/>
          <w:lang w:val="hu-HU"/>
        </w:rPr>
        <w:t xml:space="preserve">adhérente avec le matériau B et il est donc </w:t>
      </w:r>
      <w:r w:rsidRPr="00D81E2C">
        <w:rPr>
          <w:b/>
          <w:szCs w:val="24"/>
          <w:lang w:val="hu-HU"/>
        </w:rPr>
        <w:t>soumis à l’essai</w:t>
      </w:r>
      <w:r>
        <w:rPr>
          <w:b/>
          <w:szCs w:val="24"/>
          <w:lang w:val="hu-HU"/>
        </w:rPr>
        <w:t xml:space="preserve"> </w:t>
      </w:r>
      <w:r w:rsidRPr="00D81E2C">
        <w:rPr>
          <w:b/>
          <w:szCs w:val="24"/>
          <w:lang w:val="hu-HU"/>
        </w:rPr>
        <w:t>séparément</w:t>
      </w:r>
      <w:r w:rsidRPr="0050444E">
        <w:rPr>
          <w:b/>
          <w:szCs w:val="24"/>
          <w:lang w:val="hu-HU"/>
        </w:rPr>
        <w:t xml:space="preserve">. </w:t>
      </w:r>
    </w:p>
    <w:p w:rsidR="00951C1A" w:rsidRPr="0050444E" w:rsidRDefault="00951C1A" w:rsidP="00F31216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Une partie du matériau B se trouve à moins de 13</w:t>
      </w:r>
      <w:r w:rsidR="00F31216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de l</w:t>
      </w:r>
      <w:r w:rsidRPr="001F47EE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espace aéré de l</w:t>
      </w:r>
      <w:r w:rsidRPr="001F47EE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habitacle tandis que les maétriaux </w:t>
      </w:r>
      <w:r w:rsidRPr="0050444E">
        <w:rPr>
          <w:b/>
          <w:szCs w:val="24"/>
          <w:lang w:val="hu-HU"/>
        </w:rPr>
        <w:t xml:space="preserve">B </w:t>
      </w:r>
      <w:r>
        <w:rPr>
          <w:b/>
          <w:szCs w:val="24"/>
          <w:lang w:val="hu-HU"/>
        </w:rPr>
        <w:t xml:space="preserve">et </w:t>
      </w:r>
      <w:r w:rsidRPr="0050444E">
        <w:rPr>
          <w:b/>
          <w:szCs w:val="24"/>
          <w:lang w:val="hu-HU"/>
        </w:rPr>
        <w:t>C adh</w:t>
      </w:r>
      <w:r>
        <w:rPr>
          <w:b/>
          <w:szCs w:val="24"/>
          <w:lang w:val="hu-HU"/>
        </w:rPr>
        <w:t>è</w:t>
      </w:r>
      <w:r w:rsidRPr="0050444E">
        <w:rPr>
          <w:b/>
          <w:szCs w:val="24"/>
          <w:lang w:val="hu-HU"/>
        </w:rPr>
        <w:t>re</w:t>
      </w:r>
      <w:r>
        <w:rPr>
          <w:b/>
          <w:szCs w:val="24"/>
          <w:lang w:val="hu-HU"/>
        </w:rPr>
        <w:t>nt en chaque point de contact</w:t>
      </w:r>
      <w:r w:rsidR="00F31216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; B </w:t>
      </w:r>
      <w:r>
        <w:rPr>
          <w:b/>
          <w:szCs w:val="24"/>
          <w:lang w:val="hu-HU"/>
        </w:rPr>
        <w:t xml:space="preserve">et </w:t>
      </w:r>
      <w:r w:rsidRPr="0050444E">
        <w:rPr>
          <w:b/>
          <w:szCs w:val="24"/>
          <w:lang w:val="hu-HU"/>
        </w:rPr>
        <w:t xml:space="preserve">C </w:t>
      </w:r>
      <w:r>
        <w:rPr>
          <w:b/>
          <w:szCs w:val="24"/>
          <w:lang w:val="hu-HU"/>
        </w:rPr>
        <w:t xml:space="preserve">sont donc </w:t>
      </w:r>
      <w:r w:rsidRPr="001F47EE">
        <w:rPr>
          <w:b/>
          <w:szCs w:val="24"/>
          <w:lang w:val="hu-HU"/>
        </w:rPr>
        <w:t>soumis à l’essai en tant que matériau</w:t>
      </w:r>
      <w:r>
        <w:rPr>
          <w:b/>
          <w:szCs w:val="24"/>
          <w:lang w:val="hu-HU"/>
        </w:rPr>
        <w:t xml:space="preserve"> </w:t>
      </w:r>
      <w:r w:rsidRPr="001F47EE">
        <w:rPr>
          <w:b/>
          <w:szCs w:val="24"/>
          <w:lang w:val="hu-HU"/>
        </w:rPr>
        <w:t>composite</w:t>
      </w:r>
      <w:r w:rsidRPr="0050444E">
        <w:rPr>
          <w:b/>
          <w:szCs w:val="24"/>
          <w:lang w:val="hu-HU"/>
        </w:rPr>
        <w:t xml:space="preserve">. </w:t>
      </w:r>
    </w:p>
    <w:p w:rsidR="00951C1A" w:rsidRPr="0050444E" w:rsidRDefault="00951C1A" w:rsidP="00F31216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Le découpage est effectué dans le matériau C comme le montre la figure</w:t>
      </w:r>
      <w:r w:rsidR="00F31216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1, </w:t>
      </w:r>
      <w:r>
        <w:rPr>
          <w:b/>
          <w:szCs w:val="24"/>
          <w:lang w:val="hu-HU"/>
        </w:rPr>
        <w:t xml:space="preserve">pour obtenir un échantillon de </w:t>
      </w:r>
      <w:r w:rsidRPr="0050444E">
        <w:rPr>
          <w:b/>
          <w:szCs w:val="24"/>
          <w:lang w:val="hu-HU"/>
        </w:rPr>
        <w:t>13</w:t>
      </w:r>
      <w:r w:rsidR="00F31216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>d</w:t>
      </w:r>
      <w:r w:rsidRPr="00336BB4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épaisseur</w:t>
      </w:r>
      <w:r w:rsidRPr="0050444E">
        <w:rPr>
          <w:b/>
          <w:szCs w:val="24"/>
          <w:lang w:val="hu-HU"/>
        </w:rPr>
        <w:t>.</w:t>
      </w:r>
    </w:p>
    <w:p w:rsidR="00951C1A" w:rsidRDefault="00951C1A" w:rsidP="00F31216">
      <w:pPr>
        <w:pStyle w:val="H23G"/>
        <w:rPr>
          <w:lang w:val="hu-HU"/>
        </w:rPr>
      </w:pPr>
      <w:r w:rsidRPr="0050444E">
        <w:rPr>
          <w:lang w:val="hu-HU"/>
        </w:rPr>
        <w:br w:type="page"/>
      </w:r>
      <w:r w:rsidR="00F31216">
        <w:rPr>
          <w:lang w:val="hu-HU"/>
        </w:rPr>
        <w:lastRenderedPageBreak/>
        <w:tab/>
      </w:r>
      <w:r w:rsidR="00F31216">
        <w:rPr>
          <w:lang w:val="hu-HU"/>
        </w:rPr>
        <w:tab/>
      </w:r>
      <w:r w:rsidRPr="0050444E">
        <w:rPr>
          <w:lang w:val="hu-HU"/>
        </w:rPr>
        <w:t>Figure 1</w:t>
      </w:r>
    </w:p>
    <w:p w:rsidR="00F31216" w:rsidRDefault="0045131B" w:rsidP="0045131B">
      <w:pPr>
        <w:ind w:left="1134"/>
        <w:rPr>
          <w:lang w:val="hu-HU"/>
        </w:rPr>
      </w:pPr>
      <w:r>
        <w:rPr>
          <w:noProof/>
          <w:lang w:val="fr-FR" w:eastAsia="fr-FR"/>
        </w:rPr>
        <w:drawing>
          <wp:inline distT="0" distB="0" distL="0" distR="0">
            <wp:extent cx="4705350" cy="2514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3.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 xml:space="preserve">Mode opératoire 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3.1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L</w:t>
      </w:r>
      <w:r w:rsidRPr="001F47EE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essai est exécuté dans une chambre à combustion métallique pour protéger les échantillons d</w:t>
      </w:r>
      <w:r w:rsidRPr="000714A8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essai contre le tirage. L</w:t>
      </w:r>
      <w:r w:rsidRPr="000714A8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intérieur de cette ch</w:t>
      </w:r>
      <w:r w:rsidR="0045131B">
        <w:rPr>
          <w:b/>
          <w:szCs w:val="24"/>
          <w:lang w:val="hu-HU"/>
        </w:rPr>
        <w:t xml:space="preserve">ambre à combustion est long de </w:t>
      </w:r>
      <w:r w:rsidRPr="0050444E">
        <w:rPr>
          <w:b/>
          <w:szCs w:val="24"/>
          <w:lang w:val="hu-HU"/>
        </w:rPr>
        <w:t>381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mm, </w:t>
      </w:r>
      <w:r>
        <w:rPr>
          <w:b/>
          <w:szCs w:val="24"/>
          <w:lang w:val="hu-HU"/>
        </w:rPr>
        <w:t xml:space="preserve">profond de </w:t>
      </w:r>
      <w:r w:rsidRPr="0050444E">
        <w:rPr>
          <w:b/>
          <w:szCs w:val="24"/>
          <w:lang w:val="hu-HU"/>
        </w:rPr>
        <w:t>203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 xml:space="preserve">et </w:t>
      </w:r>
      <w:r w:rsidRPr="002816D2">
        <w:rPr>
          <w:rFonts w:ascii="Times New Roman Gras" w:hAnsi="Times New Roman Gras"/>
          <w:b/>
          <w:spacing w:val="-2"/>
          <w:szCs w:val="24"/>
          <w:lang w:val="hu-HU"/>
        </w:rPr>
        <w:t>haut de 356</w:t>
      </w:r>
      <w:r w:rsidR="0045131B" w:rsidRPr="002816D2">
        <w:rPr>
          <w:rFonts w:ascii="Times New Roman Gras" w:hAnsi="Times New Roman Gras"/>
          <w:b/>
          <w:spacing w:val="-2"/>
          <w:szCs w:val="24"/>
          <w:lang w:val="hu-HU"/>
        </w:rPr>
        <w:t> </w:t>
      </w:r>
      <w:r w:rsidRPr="002816D2">
        <w:rPr>
          <w:rFonts w:ascii="Times New Roman Gras" w:hAnsi="Times New Roman Gras"/>
          <w:b/>
          <w:spacing w:val="-2"/>
          <w:szCs w:val="24"/>
          <w:lang w:val="hu-HU"/>
        </w:rPr>
        <w:t>mm. Elle est équipée d’une fenêtre d’obser</w:t>
      </w:r>
      <w:r w:rsidR="0045131B" w:rsidRPr="002816D2">
        <w:rPr>
          <w:rFonts w:ascii="Times New Roman Gras" w:hAnsi="Times New Roman Gras"/>
          <w:b/>
          <w:spacing w:val="-2"/>
          <w:szCs w:val="24"/>
          <w:lang w:val="hu-HU"/>
        </w:rPr>
        <w:t xml:space="preserve">vation en verre sur le devant, </w:t>
      </w:r>
      <w:r w:rsidRPr="002816D2">
        <w:rPr>
          <w:rFonts w:ascii="Times New Roman Gras" w:hAnsi="Times New Roman Gras"/>
          <w:b/>
          <w:spacing w:val="-2"/>
          <w:szCs w:val="24"/>
          <w:lang w:val="hu-HU"/>
        </w:rPr>
        <w:t>d’une porte refermable pour permettre l’introduction du porte-échantillon et d’un orifice pouvant laisser passer</w:t>
      </w:r>
      <w:r>
        <w:rPr>
          <w:b/>
          <w:szCs w:val="24"/>
          <w:lang w:val="hu-HU"/>
        </w:rPr>
        <w:t xml:space="preserve"> le tuyau d</w:t>
      </w:r>
      <w:r w:rsidRPr="00A0670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un brûleur à gaz. Pour la ventilation, il est prévu un espace libre de 13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en haut de la chambre à combustion, dix orifices à sa base, chacun de 19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de diamètre et des pieds destinés à surélever le caisson de 10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mm, tous disposés comme le montre la f</w:t>
      </w:r>
      <w:r w:rsidRPr="0050444E">
        <w:rPr>
          <w:b/>
          <w:szCs w:val="24"/>
          <w:lang w:val="hu-HU"/>
        </w:rPr>
        <w:t>igure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2.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3.2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Avant l</w:t>
      </w:r>
      <w:r w:rsidRPr="0075091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essai, chaque échantillon est </w:t>
      </w:r>
      <w:r w:rsidRPr="00750910">
        <w:rPr>
          <w:b/>
          <w:szCs w:val="24"/>
          <w:lang w:val="hu-HU"/>
        </w:rPr>
        <w:t>conditionn</w:t>
      </w:r>
      <w:r>
        <w:rPr>
          <w:b/>
          <w:szCs w:val="24"/>
          <w:lang w:val="hu-HU"/>
        </w:rPr>
        <w:t xml:space="preserve">é </w:t>
      </w:r>
      <w:r w:rsidRPr="00750910">
        <w:rPr>
          <w:b/>
          <w:szCs w:val="24"/>
          <w:lang w:val="hu-HU"/>
        </w:rPr>
        <w:t>pendant 24</w:t>
      </w:r>
      <w:r w:rsidR="0045131B">
        <w:rPr>
          <w:b/>
          <w:szCs w:val="24"/>
          <w:lang w:val="hu-HU"/>
        </w:rPr>
        <w:t> </w:t>
      </w:r>
      <w:r w:rsidRPr="00750910">
        <w:rPr>
          <w:b/>
          <w:szCs w:val="24"/>
          <w:lang w:val="hu-HU"/>
        </w:rPr>
        <w:t xml:space="preserve">h </w:t>
      </w:r>
      <w:r>
        <w:rPr>
          <w:b/>
          <w:szCs w:val="24"/>
          <w:lang w:val="hu-HU"/>
        </w:rPr>
        <w:t xml:space="preserve">à une température de </w:t>
      </w:r>
      <w:r w:rsidRPr="0050444E">
        <w:rPr>
          <w:b/>
          <w:szCs w:val="24"/>
          <w:lang w:val="hu-HU"/>
        </w:rPr>
        <w:t>21</w:t>
      </w:r>
      <w:r w:rsidR="00631559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°C</w:t>
      </w:r>
      <w:r>
        <w:rPr>
          <w:b/>
          <w:szCs w:val="24"/>
          <w:lang w:val="hu-HU"/>
        </w:rPr>
        <w:t xml:space="preserve"> et à une humidité relative de </w:t>
      </w:r>
      <w:r w:rsidRPr="0050444E">
        <w:rPr>
          <w:b/>
          <w:szCs w:val="24"/>
          <w:lang w:val="hu-HU"/>
        </w:rPr>
        <w:t>50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%</w:t>
      </w:r>
      <w:r w:rsidRPr="0050444E">
        <w:rPr>
          <w:b/>
          <w:szCs w:val="24"/>
          <w:lang w:val="hu-HU"/>
        </w:rPr>
        <w:t xml:space="preserve">, </w:t>
      </w:r>
      <w:r>
        <w:rPr>
          <w:b/>
          <w:szCs w:val="24"/>
          <w:lang w:val="hu-HU"/>
        </w:rPr>
        <w:t>l</w:t>
      </w:r>
      <w:r w:rsidRPr="0075091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essai étant ensuite effectué dans ces conditions ambiantes</w:t>
      </w:r>
      <w:r w:rsidRPr="0050444E">
        <w:rPr>
          <w:b/>
          <w:szCs w:val="24"/>
          <w:lang w:val="hu-HU"/>
        </w:rPr>
        <w:t>.</w:t>
      </w:r>
      <w:r>
        <w:rPr>
          <w:b/>
          <w:szCs w:val="24"/>
          <w:lang w:val="hu-HU"/>
        </w:rPr>
        <w:t xml:space="preserve"> 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3.3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L</w:t>
      </w:r>
      <w:r w:rsidRPr="00750910">
        <w:rPr>
          <w:b/>
          <w:szCs w:val="24"/>
          <w:lang w:val="hu-HU"/>
        </w:rPr>
        <w:t>’échantillon</w:t>
      </w:r>
      <w:r>
        <w:rPr>
          <w:b/>
          <w:szCs w:val="24"/>
          <w:lang w:val="hu-HU"/>
        </w:rPr>
        <w:t xml:space="preserve"> d</w:t>
      </w:r>
      <w:r w:rsidRPr="0075091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essai est placé entre deux cadres métalliques en forme de U larges de </w:t>
      </w:r>
      <w:r w:rsidRPr="0050444E">
        <w:rPr>
          <w:b/>
          <w:szCs w:val="24"/>
          <w:lang w:val="hu-HU"/>
        </w:rPr>
        <w:t>25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 xml:space="preserve">et hauts de </w:t>
      </w:r>
      <w:r w:rsidRPr="0050444E">
        <w:rPr>
          <w:b/>
          <w:szCs w:val="24"/>
          <w:lang w:val="hu-HU"/>
        </w:rPr>
        <w:t>10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mm. </w:t>
      </w:r>
    </w:p>
    <w:p w:rsidR="00951C1A" w:rsidRPr="0050444E" w:rsidRDefault="00951C1A" w:rsidP="0045131B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Les dimensions intérieures de ces cadres en forme de U sont de </w:t>
      </w:r>
      <w:r w:rsidRPr="0050444E">
        <w:rPr>
          <w:b/>
          <w:szCs w:val="24"/>
          <w:lang w:val="hu-HU"/>
        </w:rPr>
        <w:t>51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 xml:space="preserve">de large et </w:t>
      </w:r>
      <w:r w:rsidRPr="0050444E">
        <w:rPr>
          <w:b/>
          <w:szCs w:val="24"/>
          <w:lang w:val="hu-HU"/>
        </w:rPr>
        <w:t>330</w:t>
      </w:r>
      <w:r w:rsidR="0045131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 xml:space="preserve">de </w:t>
      </w:r>
      <w:r w:rsidRPr="0050444E">
        <w:rPr>
          <w:b/>
          <w:szCs w:val="24"/>
          <w:lang w:val="hu-HU"/>
        </w:rPr>
        <w:t xml:space="preserve">long. </w:t>
      </w:r>
    </w:p>
    <w:p w:rsidR="00951C1A" w:rsidRDefault="00951C1A" w:rsidP="0045131B">
      <w:pPr>
        <w:pStyle w:val="SingleTxtG"/>
        <w:ind w:left="2552"/>
        <w:rPr>
          <w:b/>
          <w:szCs w:val="24"/>
          <w:lang w:val="hu-HU"/>
        </w:rPr>
      </w:pPr>
      <w:r w:rsidRPr="00FA7B41">
        <w:rPr>
          <w:b/>
          <w:szCs w:val="24"/>
          <w:lang w:val="hu-HU"/>
        </w:rPr>
        <w:t>Un échantillon qui se ramollit et se courbe sous la flamme</w:t>
      </w:r>
      <w:r>
        <w:rPr>
          <w:b/>
          <w:szCs w:val="24"/>
          <w:lang w:val="hu-HU"/>
        </w:rPr>
        <w:t>,</w:t>
      </w:r>
      <w:r w:rsidRPr="00FA7B41">
        <w:rPr>
          <w:b/>
          <w:szCs w:val="24"/>
          <w:lang w:val="hu-HU"/>
        </w:rPr>
        <w:t xml:space="preserve"> risquant </w:t>
      </w:r>
      <w:r>
        <w:rPr>
          <w:b/>
          <w:szCs w:val="24"/>
          <w:lang w:val="hu-HU"/>
        </w:rPr>
        <w:t xml:space="preserve">par là </w:t>
      </w:r>
      <w:r w:rsidRPr="00FA7B41">
        <w:rPr>
          <w:b/>
          <w:szCs w:val="24"/>
          <w:lang w:val="hu-HU"/>
        </w:rPr>
        <w:t>de provoquer une combustion irrégulière</w:t>
      </w:r>
      <w:r>
        <w:rPr>
          <w:b/>
          <w:szCs w:val="24"/>
          <w:lang w:val="hu-HU"/>
        </w:rPr>
        <w:t>,</w:t>
      </w:r>
      <w:r w:rsidRPr="00FA7B41">
        <w:rPr>
          <w:b/>
          <w:szCs w:val="24"/>
          <w:lang w:val="hu-HU"/>
        </w:rPr>
        <w:t xml:space="preserve"> est maintenu horizontal à l’aide de supp</w:t>
      </w:r>
      <w:r>
        <w:rPr>
          <w:b/>
          <w:szCs w:val="24"/>
          <w:lang w:val="hu-HU"/>
        </w:rPr>
        <w:t>o</w:t>
      </w:r>
      <w:r w:rsidRPr="00FA7B41">
        <w:rPr>
          <w:b/>
          <w:szCs w:val="24"/>
          <w:lang w:val="hu-HU"/>
        </w:rPr>
        <w:t xml:space="preserve">rts </w:t>
      </w:r>
      <w:r>
        <w:rPr>
          <w:b/>
          <w:szCs w:val="24"/>
          <w:lang w:val="hu-HU"/>
        </w:rPr>
        <w:t>faits de fils</w:t>
      </w:r>
      <w:r w:rsidR="003928C1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 xml:space="preserve">résistants à la chaleur et </w:t>
      </w:r>
      <w:r w:rsidRPr="00C53483">
        <w:rPr>
          <w:b/>
          <w:szCs w:val="24"/>
          <w:lang w:val="hu-HU"/>
        </w:rPr>
        <w:t>tendus en travers de la plaque inférieure du porte-échantillon</w:t>
      </w:r>
      <w:r>
        <w:rPr>
          <w:b/>
          <w:szCs w:val="24"/>
          <w:lang w:val="hu-HU"/>
        </w:rPr>
        <w:t xml:space="preserve"> à des intervalles de 25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mm.</w:t>
      </w:r>
    </w:p>
    <w:p w:rsidR="00951C1A" w:rsidRPr="0050444E" w:rsidRDefault="00951C1A" w:rsidP="0045131B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Pour soutenir ce type de matériau on peut utiliser un dispositif supplémentaire en forme de U, plus large que </w:t>
      </w:r>
      <w:r w:rsidRPr="0089159C">
        <w:rPr>
          <w:b/>
          <w:szCs w:val="24"/>
          <w:lang w:val="hu-HU"/>
        </w:rPr>
        <w:t xml:space="preserve">le cadre en U </w:t>
      </w:r>
      <w:r>
        <w:rPr>
          <w:b/>
          <w:szCs w:val="24"/>
          <w:lang w:val="hu-HU"/>
        </w:rPr>
        <w:t>qui contient l</w:t>
      </w:r>
      <w:r w:rsidRPr="0089159C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échantillon, entouré de fils de 10</w:t>
      </w:r>
      <w:r w:rsidR="0045131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 xml:space="preserve">mil </w:t>
      </w:r>
      <w:r w:rsidRPr="00FA3F6A">
        <w:rPr>
          <w:b/>
          <w:szCs w:val="24"/>
          <w:lang w:val="hu-HU"/>
        </w:rPr>
        <w:t>résistant</w:t>
      </w:r>
      <w:r>
        <w:rPr>
          <w:b/>
          <w:szCs w:val="24"/>
          <w:lang w:val="hu-HU"/>
        </w:rPr>
        <w:t>s</w:t>
      </w:r>
      <w:r w:rsidRPr="00FA3F6A">
        <w:rPr>
          <w:b/>
          <w:szCs w:val="24"/>
          <w:lang w:val="hu-HU"/>
        </w:rPr>
        <w:t xml:space="preserve"> à la chaleur à intervalles de 25</w:t>
      </w:r>
      <w:r w:rsidR="0045131B">
        <w:rPr>
          <w:b/>
          <w:szCs w:val="24"/>
          <w:lang w:val="hu-HU"/>
        </w:rPr>
        <w:t> </w:t>
      </w:r>
      <w:r w:rsidRPr="00FA3F6A">
        <w:rPr>
          <w:b/>
          <w:szCs w:val="24"/>
          <w:lang w:val="hu-HU"/>
        </w:rPr>
        <w:t>mm</w:t>
      </w:r>
      <w:r>
        <w:rPr>
          <w:b/>
          <w:szCs w:val="24"/>
          <w:lang w:val="hu-HU"/>
        </w:rPr>
        <w:t>, inséré sur le fond du cadre en U.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3.4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On utilise u</w:t>
      </w:r>
      <w:r w:rsidRPr="00FA3F6A">
        <w:rPr>
          <w:b/>
          <w:szCs w:val="24"/>
          <w:lang w:val="hu-HU"/>
        </w:rPr>
        <w:t xml:space="preserve">n bec Bunsen </w:t>
      </w:r>
      <w:r>
        <w:rPr>
          <w:b/>
          <w:szCs w:val="24"/>
          <w:lang w:val="hu-HU"/>
        </w:rPr>
        <w:t xml:space="preserve">avec un tuyau </w:t>
      </w:r>
      <w:r w:rsidRPr="00FA3F6A">
        <w:rPr>
          <w:b/>
          <w:szCs w:val="24"/>
          <w:lang w:val="hu-HU"/>
        </w:rPr>
        <w:t xml:space="preserve">de diamètre intérieur </w:t>
      </w:r>
      <w:r>
        <w:rPr>
          <w:b/>
          <w:szCs w:val="24"/>
          <w:lang w:val="hu-HU"/>
        </w:rPr>
        <w:t>égal à</w:t>
      </w:r>
      <w:r w:rsidR="00DC45EC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10</w:t>
      </w:r>
      <w:r w:rsidR="0045131B">
        <w:rPr>
          <w:b/>
          <w:szCs w:val="24"/>
          <w:lang w:val="hu-HU"/>
        </w:rPr>
        <w:t> </w:t>
      </w:r>
      <w:r w:rsidRPr="00FA3F6A">
        <w:rPr>
          <w:b/>
          <w:szCs w:val="24"/>
          <w:lang w:val="hu-HU"/>
        </w:rPr>
        <w:t>mm</w:t>
      </w:r>
      <w:r>
        <w:rPr>
          <w:b/>
          <w:szCs w:val="24"/>
          <w:lang w:val="hu-HU"/>
        </w:rPr>
        <w:t xml:space="preserve">. </w:t>
      </w:r>
    </w:p>
    <w:p w:rsidR="00951C1A" w:rsidRPr="002816D2" w:rsidRDefault="00951C1A" w:rsidP="0045131B">
      <w:pPr>
        <w:pStyle w:val="SingleTxtG"/>
        <w:ind w:left="2552"/>
        <w:rPr>
          <w:rFonts w:ascii="Times New Roman Gras" w:hAnsi="Times New Roman Gras"/>
          <w:b/>
          <w:spacing w:val="-4"/>
          <w:szCs w:val="24"/>
          <w:lang w:val="hu-HU"/>
        </w:rPr>
      </w:pPr>
      <w:r w:rsidRPr="002816D2">
        <w:rPr>
          <w:rFonts w:ascii="Times New Roman Gras" w:hAnsi="Times New Roman Gras"/>
          <w:b/>
          <w:spacing w:val="-4"/>
          <w:szCs w:val="24"/>
          <w:lang w:val="hu-HU"/>
        </w:rPr>
        <w:t xml:space="preserve">La vanne de règlage du gaz est réglée de manière à produire une flamme </w:t>
      </w:r>
      <w:r w:rsidRPr="002816D2">
        <w:rPr>
          <w:rFonts w:ascii="Times New Roman Gras" w:hAnsi="Times New Roman Gras"/>
          <w:b/>
          <w:szCs w:val="24"/>
          <w:lang w:val="hu-HU"/>
        </w:rPr>
        <w:t>verticale haute de 38</w:t>
      </w:r>
      <w:r w:rsidR="0045131B" w:rsidRPr="002816D2">
        <w:rPr>
          <w:rFonts w:ascii="Times New Roman Gras" w:hAnsi="Times New Roman Gras"/>
          <w:b/>
          <w:szCs w:val="24"/>
          <w:lang w:val="hu-HU"/>
        </w:rPr>
        <w:t> </w:t>
      </w:r>
      <w:r w:rsidRPr="002816D2">
        <w:rPr>
          <w:rFonts w:ascii="Times New Roman Gras" w:hAnsi="Times New Roman Gras"/>
          <w:b/>
          <w:szCs w:val="24"/>
          <w:lang w:val="hu-HU"/>
        </w:rPr>
        <w:t>mm. L’arrivée d’air du brûleur est fermée.</w:t>
      </w:r>
      <w:r w:rsidRPr="002816D2">
        <w:rPr>
          <w:rFonts w:ascii="Times New Roman Gras" w:hAnsi="Times New Roman Gras"/>
          <w:b/>
          <w:spacing w:val="-4"/>
          <w:szCs w:val="24"/>
          <w:lang w:val="hu-HU"/>
        </w:rPr>
        <w:t xml:space="preserve"> 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lastRenderedPageBreak/>
        <w:t>3.5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Le gaz qui alimente le brûleur produit une flamme de température équivalante à celle du gaz naturel.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4.</w:t>
      </w:r>
      <w:r w:rsidRPr="0050444E">
        <w:rPr>
          <w:b/>
          <w:szCs w:val="24"/>
          <w:lang w:val="hu-HU"/>
        </w:rPr>
        <w:tab/>
        <w:t>Pr</w:t>
      </w:r>
      <w:r>
        <w:rPr>
          <w:b/>
          <w:szCs w:val="24"/>
          <w:lang w:val="hu-HU"/>
        </w:rPr>
        <w:t>é</w:t>
      </w:r>
      <w:r w:rsidRPr="0050444E">
        <w:rPr>
          <w:b/>
          <w:szCs w:val="24"/>
          <w:lang w:val="hu-HU"/>
        </w:rPr>
        <w:t xml:space="preserve">paration </w:t>
      </w:r>
      <w:r>
        <w:rPr>
          <w:b/>
          <w:szCs w:val="24"/>
          <w:lang w:val="hu-HU"/>
        </w:rPr>
        <w:t>des échantillons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4.1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Chaque échantillon de matériau</w:t>
      </w:r>
      <w:r w:rsidR="00593987">
        <w:rPr>
          <w:b/>
          <w:szCs w:val="24"/>
          <w:lang w:val="hu-HU"/>
        </w:rPr>
        <w:t xml:space="preserve"> à éprouver doit, si possible, </w:t>
      </w:r>
      <w:r>
        <w:rPr>
          <w:b/>
          <w:szCs w:val="24"/>
          <w:lang w:val="hu-HU"/>
        </w:rPr>
        <w:t>avoir la forme d</w:t>
      </w:r>
      <w:r w:rsidRPr="00820B26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un rectangle large de </w:t>
      </w:r>
      <w:r w:rsidRPr="0050444E">
        <w:rPr>
          <w:b/>
          <w:szCs w:val="24"/>
          <w:lang w:val="hu-HU"/>
        </w:rPr>
        <w:t>102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 xml:space="preserve">et long de </w:t>
      </w:r>
      <w:r w:rsidRPr="0050444E">
        <w:rPr>
          <w:b/>
          <w:szCs w:val="24"/>
          <w:lang w:val="hu-HU"/>
        </w:rPr>
        <w:t>356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mm</w:t>
      </w:r>
      <w:r>
        <w:rPr>
          <w:b/>
          <w:szCs w:val="24"/>
          <w:lang w:val="hu-HU"/>
        </w:rPr>
        <w:t>.</w:t>
      </w:r>
    </w:p>
    <w:p w:rsidR="00951C1A" w:rsidRDefault="00951C1A" w:rsidP="00593987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</w:t>
      </w:r>
      <w:r w:rsidRPr="00395C21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épaisseur de l</w:t>
      </w:r>
      <w:r w:rsidRPr="00395C21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est celle du matériau ou du matériau composite utilisé dans le véhicule</w:t>
      </w:r>
      <w:r w:rsidR="00593987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 xml:space="preserve">: </w:t>
      </w:r>
      <w:r w:rsidR="000B0C8F">
        <w:rPr>
          <w:b/>
          <w:szCs w:val="24"/>
          <w:lang w:val="hu-HU"/>
        </w:rPr>
        <w:t xml:space="preserve">si </w:t>
      </w:r>
      <w:r>
        <w:rPr>
          <w:b/>
          <w:szCs w:val="24"/>
          <w:lang w:val="hu-HU"/>
        </w:rPr>
        <w:t>l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épaisseur du matériau dépasse 13</w:t>
      </w:r>
      <w:r w:rsidR="00593987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mm, il convient de le découper pour ramener son épaisseur à celle qui est mesurée à partir de la surface de l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la plus proche de l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espace aéré de</w:t>
      </w:r>
      <w:r w:rsidR="003928C1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>l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habitacle.</w:t>
      </w:r>
    </w:p>
    <w:p w:rsidR="00951C1A" w:rsidRPr="0050444E" w:rsidRDefault="00951C1A" w:rsidP="00593987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Lorsqu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il n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est pas possible d</w:t>
      </w:r>
      <w:r w:rsidRPr="003D6835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obtenir un échantillon plat en raison de la courbure de sa surface, il faut le découpe</w:t>
      </w:r>
      <w:r w:rsidR="0010617E">
        <w:rPr>
          <w:b/>
          <w:szCs w:val="24"/>
          <w:lang w:val="hu-HU"/>
        </w:rPr>
        <w:t>r</w:t>
      </w:r>
      <w:r>
        <w:rPr>
          <w:b/>
          <w:szCs w:val="24"/>
          <w:lang w:val="hu-HU"/>
        </w:rPr>
        <w:t xml:space="preserve"> de telle sorte que son épaisseur ne dépasse en aucun point </w:t>
      </w:r>
      <w:r w:rsidRPr="0050444E">
        <w:rPr>
          <w:b/>
          <w:szCs w:val="24"/>
          <w:lang w:val="hu-HU"/>
        </w:rPr>
        <w:t>13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mm. </w:t>
      </w:r>
    </w:p>
    <w:p w:rsidR="00951C1A" w:rsidRPr="0050444E" w:rsidRDefault="00951C1A" w:rsidP="00593987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La longueur ou la largeur maximale disponible est utilisée lorsque l</w:t>
      </w:r>
      <w:r w:rsidRPr="00CE042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une de ces deux dimensions est inférieure à </w:t>
      </w:r>
      <w:r w:rsidRPr="0050444E">
        <w:rPr>
          <w:b/>
          <w:szCs w:val="24"/>
          <w:lang w:val="hu-HU"/>
        </w:rPr>
        <w:t>356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mm o</w:t>
      </w:r>
      <w:r>
        <w:rPr>
          <w:b/>
          <w:szCs w:val="24"/>
          <w:lang w:val="hu-HU"/>
        </w:rPr>
        <w:t>u</w:t>
      </w:r>
      <w:r w:rsidRPr="0050444E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 xml:space="preserve">à </w:t>
      </w:r>
      <w:r w:rsidRPr="0050444E">
        <w:rPr>
          <w:b/>
          <w:szCs w:val="24"/>
          <w:lang w:val="hu-HU"/>
        </w:rPr>
        <w:t>102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mm</w:t>
      </w:r>
      <w:r>
        <w:rPr>
          <w:b/>
          <w:szCs w:val="24"/>
          <w:lang w:val="hu-HU"/>
        </w:rPr>
        <w:t xml:space="preserve"> respectivment</w:t>
      </w:r>
      <w:r w:rsidRPr="0050444E">
        <w:rPr>
          <w:b/>
          <w:szCs w:val="24"/>
          <w:lang w:val="hu-HU"/>
        </w:rPr>
        <w:t xml:space="preserve">. 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4.2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On produit l</w:t>
      </w:r>
      <w:r w:rsidRPr="00CE042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en découpant le matériau dans le sens longitudinal et dans le sens transversal.</w:t>
      </w:r>
    </w:p>
    <w:p w:rsidR="00951C1A" w:rsidRDefault="00951C1A" w:rsidP="00593987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On oriente l</w:t>
      </w:r>
      <w:r w:rsidRPr="00CE042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de telle sorte que sa</w:t>
      </w:r>
      <w:r w:rsidRPr="00CE042D">
        <w:rPr>
          <w:b/>
          <w:szCs w:val="24"/>
          <w:lang w:val="hu-HU"/>
        </w:rPr>
        <w:t xml:space="preserve"> surface la plus proche de l’espace aéré de l’habitacle</w:t>
      </w:r>
      <w:r>
        <w:rPr>
          <w:b/>
          <w:szCs w:val="24"/>
          <w:lang w:val="hu-HU"/>
        </w:rPr>
        <w:t xml:space="preserve"> regarde vers le bas sur le cadre d</w:t>
      </w:r>
      <w:r w:rsidRPr="00CE042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essai.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4.3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 xml:space="preserve">Les matériaux </w:t>
      </w:r>
      <w:r w:rsidRPr="00CE042D">
        <w:rPr>
          <w:b/>
          <w:szCs w:val="24"/>
          <w:lang w:val="hu-HU"/>
        </w:rPr>
        <w:t xml:space="preserve">à surface molletonnée </w:t>
      </w:r>
      <w:r>
        <w:rPr>
          <w:b/>
          <w:szCs w:val="24"/>
          <w:lang w:val="hu-HU"/>
        </w:rPr>
        <w:t xml:space="preserve">ou capitonnée sont placés sur une </w:t>
      </w:r>
      <w:r w:rsidRPr="00C53483">
        <w:rPr>
          <w:b/>
          <w:szCs w:val="24"/>
          <w:lang w:val="hu-HU"/>
        </w:rPr>
        <w:t>surface plane et peign</w:t>
      </w:r>
      <w:r>
        <w:rPr>
          <w:b/>
          <w:szCs w:val="24"/>
          <w:lang w:val="hu-HU"/>
        </w:rPr>
        <w:t>és</w:t>
      </w:r>
      <w:r w:rsidRPr="00C53483">
        <w:rPr>
          <w:b/>
          <w:szCs w:val="24"/>
          <w:lang w:val="hu-HU"/>
        </w:rPr>
        <w:t xml:space="preserve"> deux fois </w:t>
      </w:r>
      <w:r>
        <w:rPr>
          <w:b/>
          <w:szCs w:val="24"/>
          <w:lang w:val="hu-HU"/>
        </w:rPr>
        <w:t xml:space="preserve">à </w:t>
      </w:r>
      <w:r w:rsidRPr="00C53483">
        <w:rPr>
          <w:b/>
          <w:szCs w:val="24"/>
          <w:lang w:val="hu-HU"/>
        </w:rPr>
        <w:t xml:space="preserve">contre poil avec </w:t>
      </w:r>
      <w:r>
        <w:rPr>
          <w:b/>
          <w:szCs w:val="24"/>
          <w:lang w:val="hu-HU"/>
        </w:rPr>
        <w:t>un</w:t>
      </w:r>
      <w:r w:rsidRPr="00C53483">
        <w:rPr>
          <w:b/>
          <w:szCs w:val="24"/>
          <w:lang w:val="hu-HU"/>
        </w:rPr>
        <w:t xml:space="preserve"> peigne</w:t>
      </w:r>
      <w:r>
        <w:rPr>
          <w:b/>
          <w:szCs w:val="24"/>
          <w:lang w:val="hu-HU"/>
        </w:rPr>
        <w:t xml:space="preserve"> </w:t>
      </w:r>
      <w:r w:rsidRPr="00C53483">
        <w:rPr>
          <w:b/>
          <w:szCs w:val="24"/>
          <w:lang w:val="hu-HU"/>
        </w:rPr>
        <w:t>ayant sept ou huit dents à pointe arrondie par 25</w:t>
      </w:r>
      <w:r w:rsidR="00593987">
        <w:rPr>
          <w:b/>
          <w:szCs w:val="24"/>
          <w:lang w:val="hu-HU"/>
        </w:rPr>
        <w:t> </w:t>
      </w:r>
      <w:r w:rsidRPr="00C53483">
        <w:rPr>
          <w:b/>
          <w:szCs w:val="24"/>
          <w:lang w:val="hu-HU"/>
        </w:rPr>
        <w:t>mm</w:t>
      </w:r>
      <w:r>
        <w:rPr>
          <w:b/>
          <w:szCs w:val="24"/>
          <w:lang w:val="hu-HU"/>
        </w:rPr>
        <w:t>.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Essai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5.1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Placer l</w:t>
      </w:r>
      <w:r w:rsidRPr="00C53483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de manière à ce que les deux côtés et l</w:t>
      </w:r>
      <w:r w:rsidRPr="006D4A82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un des bouts soient tenus par le porte-échantillon en U, l</w:t>
      </w:r>
      <w:r w:rsidRPr="00C410E7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ne dépassant pas 51</w:t>
      </w:r>
      <w:r w:rsidR="00593987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car dans ce cas les côtés de l</w:t>
      </w:r>
      <w:r w:rsidRPr="00C410E7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échantillon ne peuvent pas alors être tenus dans le porte-échantillon, puis le positionner sur les </w:t>
      </w:r>
      <w:r w:rsidRPr="00C410E7">
        <w:rPr>
          <w:b/>
          <w:szCs w:val="24"/>
          <w:lang w:val="hu-HU"/>
        </w:rPr>
        <w:t xml:space="preserve">fils de support </w:t>
      </w:r>
      <w:r>
        <w:rPr>
          <w:b/>
          <w:szCs w:val="24"/>
          <w:lang w:val="hu-HU"/>
        </w:rPr>
        <w:t>comme il est décrit au point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2.3, </w:t>
      </w:r>
      <w:r>
        <w:rPr>
          <w:b/>
          <w:szCs w:val="24"/>
          <w:lang w:val="hu-HU"/>
        </w:rPr>
        <w:t>l</w:t>
      </w:r>
      <w:r w:rsidRPr="00C410E7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une de ses extrêmités étant maintenue par l</w:t>
      </w:r>
      <w:r w:rsidRPr="00670A78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extrêmité fermée du support en U</w:t>
      </w:r>
      <w:r w:rsidRPr="0050444E">
        <w:rPr>
          <w:b/>
          <w:szCs w:val="24"/>
          <w:lang w:val="hu-HU"/>
        </w:rPr>
        <w:t>.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5.2</w:t>
      </w:r>
      <w:r w:rsidRPr="0050444E">
        <w:rPr>
          <w:b/>
          <w:szCs w:val="24"/>
          <w:lang w:val="hu-HU"/>
        </w:rPr>
        <w:tab/>
        <w:t>Place</w:t>
      </w:r>
      <w:r>
        <w:rPr>
          <w:b/>
          <w:szCs w:val="24"/>
          <w:lang w:val="hu-HU"/>
        </w:rPr>
        <w:t>r l</w:t>
      </w:r>
      <w:r w:rsidRPr="00670A78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 sur son support en position horizontale au centre de la chambre de combustion.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5.3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>La flamme étant règlée conformément au point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2.4,</w:t>
      </w:r>
      <w:r>
        <w:rPr>
          <w:b/>
          <w:szCs w:val="24"/>
          <w:lang w:val="hu-HU"/>
        </w:rPr>
        <w:t xml:space="preserve"> positionner le bec Bunsen et l</w:t>
      </w:r>
      <w:r w:rsidRPr="00F20CE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échantillon de manière à ce que le bec du brûleur se trouve à </w:t>
      </w:r>
      <w:r w:rsidRPr="0050444E">
        <w:rPr>
          <w:b/>
          <w:szCs w:val="24"/>
          <w:lang w:val="hu-HU"/>
        </w:rPr>
        <w:t>19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>
        <w:rPr>
          <w:b/>
          <w:szCs w:val="24"/>
          <w:lang w:val="hu-HU"/>
        </w:rPr>
        <w:t>sous le centre du bord inférieur de l</w:t>
      </w:r>
      <w:r w:rsidRPr="00F20CE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extrêmité ouverte de l</w:t>
      </w:r>
      <w:r w:rsidRPr="00F20CE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échantillon. 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5.4</w:t>
      </w:r>
      <w:r w:rsidRPr="0050444E">
        <w:rPr>
          <w:b/>
          <w:szCs w:val="24"/>
          <w:lang w:val="hu-HU"/>
        </w:rPr>
        <w:tab/>
        <w:t>Expose</w:t>
      </w:r>
      <w:r>
        <w:rPr>
          <w:b/>
          <w:szCs w:val="24"/>
          <w:lang w:val="hu-HU"/>
        </w:rPr>
        <w:t>r l</w:t>
      </w:r>
      <w:r w:rsidRPr="00F20CE0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échantillon à la flamme pendant </w:t>
      </w:r>
      <w:r w:rsidRPr="0050444E">
        <w:rPr>
          <w:b/>
          <w:szCs w:val="24"/>
          <w:lang w:val="hu-HU"/>
        </w:rPr>
        <w:t>15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s.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5.5</w:t>
      </w:r>
      <w:r w:rsidRPr="0050444E">
        <w:rPr>
          <w:b/>
          <w:szCs w:val="24"/>
          <w:lang w:val="hu-HU"/>
        </w:rPr>
        <w:tab/>
      </w:r>
      <w:r>
        <w:rPr>
          <w:b/>
          <w:szCs w:val="24"/>
          <w:lang w:val="hu-HU"/>
        </w:rPr>
        <w:t xml:space="preserve">Commencer à chronométrer </w:t>
      </w:r>
      <w:r w:rsidRPr="0050444E">
        <w:rPr>
          <w:b/>
          <w:szCs w:val="24"/>
          <w:lang w:val="hu-HU"/>
        </w:rPr>
        <w:t>(</w:t>
      </w:r>
      <w:r>
        <w:rPr>
          <w:b/>
          <w:szCs w:val="24"/>
          <w:lang w:val="hu-HU"/>
        </w:rPr>
        <w:t>indépendamment de la durée d</w:t>
      </w:r>
      <w:r w:rsidRPr="005949B3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application de la flamme du brûleur) lorsque la flamme de la combustion de l</w:t>
      </w:r>
      <w:r w:rsidRPr="005949B3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 xml:space="preserve">échantillon atteint un point situé à </w:t>
      </w:r>
      <w:r w:rsidRPr="0050444E">
        <w:rPr>
          <w:b/>
          <w:szCs w:val="24"/>
          <w:lang w:val="hu-HU"/>
        </w:rPr>
        <w:t>38</w:t>
      </w:r>
      <w:r w:rsidR="00593987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 xml:space="preserve">mm </w:t>
      </w:r>
      <w:r w:rsidRPr="005949B3">
        <w:rPr>
          <w:b/>
          <w:szCs w:val="24"/>
          <w:lang w:val="hu-HU"/>
        </w:rPr>
        <w:t>de l’extrêmité ouverte de l’échantillon</w:t>
      </w:r>
      <w:r w:rsidRPr="0050444E">
        <w:rPr>
          <w:b/>
          <w:szCs w:val="24"/>
          <w:lang w:val="hu-HU"/>
        </w:rPr>
        <w:t>.</w:t>
      </w:r>
    </w:p>
    <w:p w:rsidR="00951C1A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5.6</w:t>
      </w:r>
      <w:r w:rsidRPr="0050444E">
        <w:rPr>
          <w:b/>
          <w:szCs w:val="24"/>
          <w:lang w:val="hu-HU"/>
        </w:rPr>
        <w:tab/>
        <w:t>Mesure</w:t>
      </w:r>
      <w:r>
        <w:rPr>
          <w:b/>
          <w:szCs w:val="24"/>
          <w:lang w:val="hu-HU"/>
        </w:rPr>
        <w:t>r le temps que met la flamme pour atteindre un point situé à 38</w:t>
      </w:r>
      <w:r w:rsidR="0062245B">
        <w:rPr>
          <w:b/>
          <w:szCs w:val="24"/>
          <w:lang w:val="hu-HU"/>
        </w:rPr>
        <w:t> </w:t>
      </w:r>
      <w:r>
        <w:rPr>
          <w:b/>
          <w:szCs w:val="24"/>
          <w:lang w:val="hu-HU"/>
        </w:rPr>
        <w:t>mm de la partie fixée de l</w:t>
      </w:r>
      <w:r w:rsidRPr="00EE032D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échantillon. Si la flamme n</w:t>
      </w:r>
      <w:r w:rsidRPr="00F924A6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atteint pas ce point, mesurer le temps qui s</w:t>
      </w:r>
      <w:r w:rsidRPr="00F924A6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écoule jusqu</w:t>
      </w:r>
      <w:r w:rsidRPr="00F924A6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à ce qu</w:t>
      </w:r>
      <w:r w:rsidRPr="00F924A6">
        <w:rPr>
          <w:b/>
          <w:szCs w:val="24"/>
          <w:lang w:val="hu-HU"/>
        </w:rPr>
        <w:t>’</w:t>
      </w:r>
      <w:r>
        <w:rPr>
          <w:b/>
          <w:szCs w:val="24"/>
          <w:lang w:val="hu-HU"/>
        </w:rPr>
        <w:t>elle s</w:t>
      </w:r>
      <w:r w:rsidRPr="00F924A6">
        <w:rPr>
          <w:b/>
          <w:szCs w:val="24"/>
          <w:lang w:val="hu-HU"/>
        </w:rPr>
        <w:t>’</w:t>
      </w:r>
      <w:r w:rsidR="0062245B">
        <w:rPr>
          <w:b/>
          <w:szCs w:val="24"/>
          <w:lang w:val="hu-HU"/>
        </w:rPr>
        <w:t xml:space="preserve">éteigne. </w:t>
      </w:r>
    </w:p>
    <w:p w:rsidR="00951C1A" w:rsidRPr="0050444E" w:rsidRDefault="00951C1A" w:rsidP="0045131B">
      <w:pPr>
        <w:pStyle w:val="SingleTxtG"/>
        <w:ind w:left="2552" w:hanging="1418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lastRenderedPageBreak/>
        <w:t>5.7</w:t>
      </w:r>
      <w:r w:rsidRPr="0050444E">
        <w:rPr>
          <w:b/>
          <w:szCs w:val="24"/>
          <w:lang w:val="hu-HU"/>
        </w:rPr>
        <w:tab/>
        <w:t>Calcul</w:t>
      </w:r>
      <w:r>
        <w:rPr>
          <w:b/>
          <w:szCs w:val="24"/>
          <w:lang w:val="hu-HU"/>
        </w:rPr>
        <w:t>er la vitesse de combustion par la formule suivante</w:t>
      </w:r>
      <w:r w:rsidR="0062245B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:</w:t>
      </w:r>
    </w:p>
    <w:p w:rsidR="00951C1A" w:rsidRPr="0050444E" w:rsidRDefault="00951C1A" w:rsidP="0062245B">
      <w:pPr>
        <w:pStyle w:val="SingleTxtG"/>
        <w:ind w:left="2552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>B = 60 x (D/T)</w:t>
      </w:r>
    </w:p>
    <w:p w:rsidR="00951C1A" w:rsidRPr="0050444E" w:rsidRDefault="00951C1A" w:rsidP="0062245B">
      <w:pPr>
        <w:pStyle w:val="SingleTxtG"/>
        <w:ind w:left="2552"/>
        <w:rPr>
          <w:b/>
          <w:szCs w:val="24"/>
          <w:lang w:val="hu-HU"/>
        </w:rPr>
      </w:pPr>
      <w:r>
        <w:rPr>
          <w:b/>
          <w:szCs w:val="24"/>
          <w:lang w:val="hu-HU"/>
        </w:rPr>
        <w:t>Où</w:t>
      </w:r>
      <w:r w:rsidR="004D6BB8">
        <w:rPr>
          <w:b/>
          <w:szCs w:val="24"/>
          <w:lang w:val="hu-HU"/>
        </w:rPr>
        <w:t> </w:t>
      </w:r>
      <w:r w:rsidRPr="0050444E">
        <w:rPr>
          <w:b/>
          <w:szCs w:val="24"/>
          <w:lang w:val="hu-HU"/>
        </w:rPr>
        <w:t>:</w:t>
      </w:r>
    </w:p>
    <w:p w:rsidR="00951C1A" w:rsidRPr="0050444E" w:rsidRDefault="00951C1A" w:rsidP="0062245B">
      <w:pPr>
        <w:pStyle w:val="SingleTxtG"/>
        <w:ind w:left="2552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 xml:space="preserve">B = </w:t>
      </w:r>
      <w:r w:rsidRPr="00F924A6">
        <w:rPr>
          <w:b/>
          <w:szCs w:val="24"/>
          <w:lang w:val="hu-HU"/>
        </w:rPr>
        <w:t xml:space="preserve">vitesse de combustion </w:t>
      </w:r>
      <w:r>
        <w:rPr>
          <w:b/>
          <w:szCs w:val="24"/>
          <w:lang w:val="hu-HU"/>
        </w:rPr>
        <w:t xml:space="preserve">en mm </w:t>
      </w:r>
      <w:r w:rsidRPr="0050444E">
        <w:rPr>
          <w:b/>
          <w:szCs w:val="24"/>
          <w:lang w:val="hu-HU"/>
        </w:rPr>
        <w:t>p</w:t>
      </w:r>
      <w:r>
        <w:rPr>
          <w:b/>
          <w:szCs w:val="24"/>
          <w:lang w:val="hu-HU"/>
        </w:rPr>
        <w:t>a</w:t>
      </w:r>
      <w:r w:rsidRPr="0050444E">
        <w:rPr>
          <w:b/>
          <w:szCs w:val="24"/>
          <w:lang w:val="hu-HU"/>
        </w:rPr>
        <w:t>r minute</w:t>
      </w:r>
    </w:p>
    <w:p w:rsidR="00951C1A" w:rsidRPr="0050444E" w:rsidRDefault="00951C1A" w:rsidP="0062245B">
      <w:pPr>
        <w:pStyle w:val="SingleTxtG"/>
        <w:ind w:left="2552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 xml:space="preserve">D = </w:t>
      </w:r>
      <w:r>
        <w:rPr>
          <w:b/>
          <w:szCs w:val="24"/>
          <w:lang w:val="hu-HU"/>
        </w:rPr>
        <w:t xml:space="preserve">distance parcourue par la flamme en </w:t>
      </w:r>
      <w:r w:rsidRPr="0050444E">
        <w:rPr>
          <w:b/>
          <w:szCs w:val="24"/>
          <w:lang w:val="hu-HU"/>
        </w:rPr>
        <w:t xml:space="preserve">mm, </w:t>
      </w:r>
      <w:r>
        <w:rPr>
          <w:b/>
          <w:szCs w:val="24"/>
          <w:lang w:val="hu-HU"/>
        </w:rPr>
        <w:t>et</w:t>
      </w:r>
      <w:r w:rsidRPr="0050444E">
        <w:rPr>
          <w:b/>
          <w:szCs w:val="24"/>
          <w:lang w:val="hu-HU"/>
        </w:rPr>
        <w:t xml:space="preserve"> </w:t>
      </w:r>
    </w:p>
    <w:p w:rsidR="00951C1A" w:rsidRPr="0050444E" w:rsidRDefault="00951C1A" w:rsidP="0062245B">
      <w:pPr>
        <w:pStyle w:val="SingleTxtG"/>
        <w:ind w:left="2552"/>
        <w:rPr>
          <w:b/>
          <w:szCs w:val="24"/>
          <w:lang w:val="hu-HU"/>
        </w:rPr>
      </w:pPr>
      <w:r w:rsidRPr="0050444E">
        <w:rPr>
          <w:b/>
          <w:szCs w:val="24"/>
          <w:lang w:val="hu-HU"/>
        </w:rPr>
        <w:t xml:space="preserve">T = </w:t>
      </w:r>
      <w:r>
        <w:rPr>
          <w:b/>
          <w:szCs w:val="24"/>
          <w:lang w:val="hu-HU"/>
        </w:rPr>
        <w:t xml:space="preserve">temps en s mis par la flamme pour parcourir </w:t>
      </w:r>
      <w:r w:rsidRPr="0050444E">
        <w:rPr>
          <w:b/>
          <w:szCs w:val="24"/>
          <w:lang w:val="hu-HU"/>
        </w:rPr>
        <w:t>D m</w:t>
      </w:r>
      <w:r>
        <w:rPr>
          <w:b/>
          <w:szCs w:val="24"/>
          <w:lang w:val="hu-HU"/>
        </w:rPr>
        <w:t>m</w:t>
      </w:r>
      <w:r w:rsidRPr="0050444E">
        <w:rPr>
          <w:b/>
          <w:szCs w:val="24"/>
          <w:lang w:val="hu-HU"/>
        </w:rPr>
        <w:t>.</w:t>
      </w:r>
    </w:p>
    <w:p w:rsidR="00951C1A" w:rsidRDefault="004D6BB8" w:rsidP="004D6BB8">
      <w:pPr>
        <w:pStyle w:val="H23G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51C1A" w:rsidRPr="0050444E">
        <w:rPr>
          <w:lang w:val="hu-HU"/>
        </w:rPr>
        <w:t>Figure 2</w:t>
      </w:r>
      <w:r w:rsidR="0086006D">
        <w:rPr>
          <w:lang w:val="hu-HU"/>
        </w:rPr>
        <w:br/>
      </w:r>
      <w:r w:rsidR="0086006D" w:rsidRPr="0086006D">
        <w:rPr>
          <w:b w:val="0"/>
          <w:szCs w:val="24"/>
          <w:lang w:val="hu-HU"/>
        </w:rPr>
        <w:t>Toutes les dimensions sont en millimètres (mm)</w:t>
      </w:r>
    </w:p>
    <w:p w:rsidR="004D6BB8" w:rsidRDefault="00500616" w:rsidP="00500616">
      <w:pPr>
        <w:ind w:left="1134"/>
        <w:rPr>
          <w:lang w:val="hu-HU"/>
        </w:rPr>
      </w:pPr>
      <w:r>
        <w:rPr>
          <w:noProof/>
          <w:lang w:val="fr-FR" w:eastAsia="fr-FR"/>
        </w:rPr>
        <w:drawing>
          <wp:inline distT="0" distB="0" distL="0" distR="0">
            <wp:extent cx="3600450" cy="254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1A" w:rsidRPr="002A42BD" w:rsidRDefault="002A42BD" w:rsidP="002A42BD">
      <w:pPr>
        <w:pStyle w:val="SingleTxtG"/>
        <w:jc w:val="right"/>
      </w:pPr>
      <w:r>
        <w:t>»</w:t>
      </w:r>
      <w:r w:rsidRPr="002A42BD">
        <w:t>.</w:t>
      </w:r>
    </w:p>
    <w:p w:rsidR="00951C1A" w:rsidRPr="0030664C" w:rsidRDefault="00951C1A" w:rsidP="0030664C">
      <w:pPr>
        <w:pStyle w:val="HChG"/>
        <w:rPr>
          <w:u w:val="single"/>
          <w:lang w:val="en-GB"/>
        </w:rPr>
      </w:pPr>
      <w:r w:rsidRPr="0050444E">
        <w:rPr>
          <w:szCs w:val="24"/>
          <w:lang w:val="en-GB"/>
        </w:rPr>
        <w:tab/>
      </w:r>
      <w:r w:rsidRPr="0050444E">
        <w:rPr>
          <w:lang w:val="en-GB"/>
        </w:rPr>
        <w:t>II.</w:t>
      </w:r>
      <w:r w:rsidRPr="0050444E">
        <w:rPr>
          <w:lang w:val="en-GB"/>
        </w:rPr>
        <w:tab/>
      </w:r>
      <w:r w:rsidRPr="0030664C">
        <w:rPr>
          <w:lang w:val="en-GB"/>
        </w:rPr>
        <w:t xml:space="preserve">Justification </w:t>
      </w:r>
    </w:p>
    <w:p w:rsidR="00951C1A" w:rsidRPr="0030664C" w:rsidRDefault="00951C1A" w:rsidP="0030664C">
      <w:pPr>
        <w:pStyle w:val="H1G"/>
        <w:rPr>
          <w:lang w:val="en-GB"/>
        </w:rPr>
      </w:pPr>
      <w:r w:rsidRPr="0030664C">
        <w:rPr>
          <w:szCs w:val="24"/>
          <w:lang w:val="en-GB"/>
        </w:rPr>
        <w:tab/>
      </w:r>
      <w:r w:rsidRPr="0030664C">
        <w:rPr>
          <w:lang w:val="en-GB"/>
        </w:rPr>
        <w:t>A.</w:t>
      </w:r>
      <w:r w:rsidRPr="0030664C">
        <w:rPr>
          <w:lang w:val="en-GB"/>
        </w:rPr>
        <w:tab/>
        <w:t>Toxicologie</w:t>
      </w:r>
    </w:p>
    <w:p w:rsidR="00951C1A" w:rsidRPr="00702BA6" w:rsidRDefault="00951C1A" w:rsidP="0030664C">
      <w:pPr>
        <w:pStyle w:val="SingleTxtG"/>
      </w:pPr>
      <w:r w:rsidRPr="0030664C">
        <w:rPr>
          <w:iCs/>
        </w:rPr>
        <w:t>1.</w:t>
      </w:r>
      <w:r w:rsidRPr="0030664C">
        <w:rPr>
          <w:iCs/>
        </w:rPr>
        <w:tab/>
        <w:t>Paragraphe</w:t>
      </w:r>
      <w:r w:rsidR="00C51D72">
        <w:rPr>
          <w:iCs/>
        </w:rPr>
        <w:t> </w:t>
      </w:r>
      <w:r w:rsidRPr="0030664C">
        <w:rPr>
          <w:iCs/>
        </w:rPr>
        <w:t>6.3.1.1</w:t>
      </w:r>
      <w:r w:rsidR="0030664C">
        <w:rPr>
          <w:iCs/>
        </w:rPr>
        <w:t> </w:t>
      </w:r>
      <w:r w:rsidRPr="0030664C">
        <w:rPr>
          <w:iCs/>
        </w:rPr>
        <w:t>:</w:t>
      </w:r>
      <w:r w:rsidRPr="0030664C">
        <w:rPr>
          <w:i/>
          <w:iCs/>
        </w:rPr>
        <w:t xml:space="preserve"> </w:t>
      </w:r>
      <w:r w:rsidRPr="0030664C">
        <w:rPr>
          <w:iCs/>
        </w:rPr>
        <w:t xml:space="preserve">Dans la norme </w:t>
      </w:r>
      <w:r w:rsidRPr="0030664C">
        <w:t>EN71-3, la catégorie</w:t>
      </w:r>
      <w:r w:rsidR="0030664C">
        <w:t> </w:t>
      </w:r>
      <w:r w:rsidRPr="0030664C">
        <w:t xml:space="preserve">III a été choisie parce qu’elle comprend les produits textiles. L’amendement fait aussi référence à </w:t>
      </w:r>
      <w:r w:rsidRPr="00702BA6">
        <w:t>des modalités d’essai qui n’ont pas été décrites dans le texte actuel du Règlement n</w:t>
      </w:r>
      <w:r w:rsidR="0030664C" w:rsidRPr="0030664C">
        <w:rPr>
          <w:vertAlign w:val="superscript"/>
        </w:rPr>
        <w:t>o</w:t>
      </w:r>
      <w:r w:rsidR="0030664C">
        <w:t> </w:t>
      </w:r>
      <w:r w:rsidRPr="00702BA6">
        <w:t xml:space="preserve">129. </w:t>
      </w:r>
    </w:p>
    <w:p w:rsidR="00951C1A" w:rsidRPr="0050444E" w:rsidRDefault="00951C1A" w:rsidP="0030664C">
      <w:pPr>
        <w:pStyle w:val="H1G"/>
        <w:rPr>
          <w:lang w:val="en-GB"/>
        </w:rPr>
      </w:pPr>
      <w:r w:rsidRPr="00702BA6">
        <w:rPr>
          <w:szCs w:val="24"/>
        </w:rPr>
        <w:tab/>
      </w:r>
      <w:r w:rsidRPr="0050444E">
        <w:rPr>
          <w:lang w:val="en-GB"/>
        </w:rPr>
        <w:t>B.</w:t>
      </w:r>
      <w:r w:rsidRPr="0050444E">
        <w:rPr>
          <w:lang w:val="en-GB"/>
        </w:rPr>
        <w:tab/>
      </w:r>
      <w:r>
        <w:rPr>
          <w:lang w:val="en-GB"/>
        </w:rPr>
        <w:t>Inflammabilité</w:t>
      </w:r>
    </w:p>
    <w:p w:rsidR="00951C1A" w:rsidRPr="00702BA6" w:rsidRDefault="00951C1A" w:rsidP="0030664C">
      <w:pPr>
        <w:pStyle w:val="SingleTxtG"/>
      </w:pPr>
      <w:r w:rsidRPr="00702BA6">
        <w:t>2.</w:t>
      </w:r>
      <w:r w:rsidRPr="00702BA6">
        <w:tab/>
        <w:t>Paragr</w:t>
      </w:r>
      <w:r w:rsidR="0030664C">
        <w:t>aphe</w:t>
      </w:r>
      <w:r w:rsidR="00C51D72">
        <w:t> </w:t>
      </w:r>
      <w:r w:rsidR="0030664C">
        <w:t>6.3.1.2 </w:t>
      </w:r>
      <w:r w:rsidRPr="00702BA6">
        <w:t>: Pour les dispositifs in</w:t>
      </w:r>
      <w:r w:rsidR="0030664C">
        <w:t xml:space="preserve">tégrés de retenue pour enfants </w:t>
      </w:r>
      <w:r w:rsidRPr="00702BA6">
        <w:t xml:space="preserve">spécifiques à un véhicule, </w:t>
      </w:r>
      <w:r>
        <w:t>c</w:t>
      </w:r>
      <w:r w:rsidRPr="00702BA6">
        <w:t>’</w:t>
      </w:r>
      <w:r>
        <w:t xml:space="preserve">est une méthode fondée sur la norme </w:t>
      </w:r>
      <w:r w:rsidRPr="00702BA6">
        <w:t xml:space="preserve">FMVSS 302 </w:t>
      </w:r>
      <w:r>
        <w:t>qui est proposée.</w:t>
      </w:r>
      <w:r w:rsidRPr="00702BA6">
        <w:t xml:space="preserve"> </w:t>
      </w:r>
      <w:r w:rsidRPr="00702BA6">
        <w:tab/>
      </w:r>
    </w:p>
    <w:p w:rsidR="00951C1A" w:rsidRDefault="00951C1A" w:rsidP="0030664C">
      <w:pPr>
        <w:pStyle w:val="SingleTxtG"/>
      </w:pPr>
      <w:r w:rsidRPr="00702BA6">
        <w:t>3.</w:t>
      </w:r>
      <w:r w:rsidRPr="00702BA6">
        <w:tab/>
      </w:r>
      <w:r>
        <w:t>Pour les autres types de dispositifs de retenue pour enfants</w:t>
      </w:r>
      <w:r w:rsidRPr="00702BA6">
        <w:t>, l’amendement proposé vise à faire clairement référence aux dispositions pertinentes de la dernière version (2014) de la norme EN</w:t>
      </w:r>
      <w:r w:rsidR="00A4459D">
        <w:t> </w:t>
      </w:r>
      <w:r w:rsidRPr="00702BA6">
        <w:t>71 ainsi qu’aux modalités d’essai qui s’y rapportent, et à définir une vitesse maximale de combustion. La méthode d’essai décrite au paragraphe</w:t>
      </w:r>
      <w:r w:rsidR="0030664C">
        <w:t> </w:t>
      </w:r>
      <w:r w:rsidRPr="00702BA6">
        <w:t>5.4 de la</w:t>
      </w:r>
      <w:r w:rsidR="0030664C">
        <w:t xml:space="preserve"> norme EN 71</w:t>
      </w:r>
      <w:r w:rsidR="0030664C">
        <w:noBreakHyphen/>
      </w:r>
      <w:r w:rsidRPr="00702BA6">
        <w:t xml:space="preserve">2 concerne des produits qui sont analogues aux dispositifs de retenue pour enfants. </w:t>
      </w:r>
    </w:p>
    <w:p w:rsidR="0030664C" w:rsidRPr="0030664C" w:rsidRDefault="0030664C" w:rsidP="003066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664C" w:rsidRPr="0030664C" w:rsidSect="005B205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4C" w:rsidRDefault="00B4134C" w:rsidP="00F95C08">
      <w:pPr>
        <w:spacing w:line="240" w:lineRule="auto"/>
      </w:pPr>
    </w:p>
  </w:endnote>
  <w:endnote w:type="continuationSeparator" w:id="0">
    <w:p w:rsidR="00B4134C" w:rsidRPr="00AC3823" w:rsidRDefault="00B4134C" w:rsidP="00AC3823">
      <w:pPr>
        <w:pStyle w:val="Pieddepage"/>
      </w:pPr>
    </w:p>
  </w:endnote>
  <w:endnote w:type="continuationNotice" w:id="1">
    <w:p w:rsidR="00B4134C" w:rsidRDefault="00B413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58" w:rsidRPr="005B2058" w:rsidRDefault="005B2058" w:rsidP="005B2058">
    <w:pPr>
      <w:pStyle w:val="Pieddepage"/>
      <w:tabs>
        <w:tab w:val="right" w:pos="9638"/>
      </w:tabs>
    </w:pPr>
    <w:r w:rsidRPr="005B2058">
      <w:rPr>
        <w:b/>
        <w:sz w:val="18"/>
      </w:rPr>
      <w:fldChar w:fldCharType="begin"/>
    </w:r>
    <w:r w:rsidRPr="005B2058">
      <w:rPr>
        <w:b/>
        <w:sz w:val="18"/>
      </w:rPr>
      <w:instrText xml:space="preserve"> PAGE  \* MERGEFORMAT </w:instrText>
    </w:r>
    <w:r w:rsidRPr="005B2058">
      <w:rPr>
        <w:b/>
        <w:sz w:val="18"/>
      </w:rPr>
      <w:fldChar w:fldCharType="separate"/>
    </w:r>
    <w:r w:rsidR="00AA6823">
      <w:rPr>
        <w:b/>
        <w:noProof/>
        <w:sz w:val="18"/>
      </w:rPr>
      <w:t>2</w:t>
    </w:r>
    <w:r w:rsidRPr="005B2058">
      <w:rPr>
        <w:b/>
        <w:sz w:val="18"/>
      </w:rPr>
      <w:fldChar w:fldCharType="end"/>
    </w:r>
    <w:r>
      <w:rPr>
        <w:b/>
        <w:sz w:val="18"/>
      </w:rPr>
      <w:tab/>
    </w:r>
    <w:r>
      <w:t>GE.16-03014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58" w:rsidRPr="005B2058" w:rsidRDefault="005B2058" w:rsidP="005B2058">
    <w:pPr>
      <w:pStyle w:val="Pieddepage"/>
      <w:tabs>
        <w:tab w:val="right" w:pos="9638"/>
      </w:tabs>
      <w:rPr>
        <w:b/>
        <w:sz w:val="18"/>
      </w:rPr>
    </w:pPr>
    <w:r>
      <w:t>GE.16-03014</w:t>
    </w:r>
    <w:r>
      <w:tab/>
    </w:r>
    <w:r w:rsidRPr="005B2058">
      <w:rPr>
        <w:b/>
        <w:sz w:val="18"/>
      </w:rPr>
      <w:fldChar w:fldCharType="begin"/>
    </w:r>
    <w:r w:rsidRPr="005B2058">
      <w:rPr>
        <w:b/>
        <w:sz w:val="18"/>
      </w:rPr>
      <w:instrText xml:space="preserve"> PAGE  \* MERGEFORMAT </w:instrText>
    </w:r>
    <w:r w:rsidRPr="005B2058">
      <w:rPr>
        <w:b/>
        <w:sz w:val="18"/>
      </w:rPr>
      <w:fldChar w:fldCharType="separate"/>
    </w:r>
    <w:r w:rsidR="00AA6823">
      <w:rPr>
        <w:b/>
        <w:noProof/>
        <w:sz w:val="18"/>
      </w:rPr>
      <w:t>5</w:t>
    </w:r>
    <w:r w:rsidRPr="005B20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B2058" w:rsidRDefault="005B2058" w:rsidP="005B20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683A0EE6" wp14:editId="165A6B4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16-03014  (F)    180316    290316</w:t>
    </w:r>
    <w:r>
      <w:rPr>
        <w:sz w:val="20"/>
      </w:rPr>
      <w:br/>
    </w:r>
    <w:r w:rsidRPr="005B2058">
      <w:rPr>
        <w:rFonts w:ascii="C39T30Lfz" w:hAnsi="C39T30Lfz"/>
        <w:sz w:val="56"/>
      </w:rPr>
      <w:t></w:t>
    </w:r>
    <w:r w:rsidRPr="005B2058">
      <w:rPr>
        <w:rFonts w:ascii="C39T30Lfz" w:hAnsi="C39T30Lfz"/>
        <w:sz w:val="56"/>
      </w:rPr>
      <w:t></w:t>
    </w:r>
    <w:r w:rsidRPr="005B2058">
      <w:rPr>
        <w:rFonts w:ascii="C39T30Lfz" w:hAnsi="C39T30Lfz"/>
        <w:sz w:val="56"/>
      </w:rPr>
      <w:t></w:t>
    </w:r>
    <w:r w:rsidRPr="005B2058">
      <w:rPr>
        <w:rFonts w:ascii="C39T30Lfz" w:hAnsi="C39T30Lfz"/>
        <w:sz w:val="56"/>
      </w:rPr>
      <w:t></w:t>
    </w:r>
    <w:r w:rsidRPr="005B2058">
      <w:rPr>
        <w:rFonts w:ascii="C39T30Lfz" w:hAnsi="C39T30Lfz"/>
        <w:sz w:val="56"/>
      </w:rPr>
      <w:t></w:t>
    </w:r>
    <w:r w:rsidRPr="005B2058">
      <w:rPr>
        <w:rFonts w:ascii="C39T30Lfz" w:hAnsi="C39T30Lfz"/>
        <w:sz w:val="56"/>
      </w:rPr>
      <w:t></w:t>
    </w:r>
    <w:r w:rsidRPr="005B2058">
      <w:rPr>
        <w:rFonts w:ascii="C39T30Lfz" w:hAnsi="C39T30Lfz"/>
        <w:sz w:val="56"/>
      </w:rPr>
      <w:t></w:t>
    </w:r>
    <w:r w:rsidRPr="005B2058">
      <w:rPr>
        <w:rFonts w:ascii="C39T30Lfz" w:hAnsi="C39T30Lfz"/>
        <w:sz w:val="56"/>
      </w:rPr>
      <w:t></w:t>
    </w:r>
    <w:r w:rsidRPr="005B205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4C" w:rsidRPr="00AC3823" w:rsidRDefault="00B413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134C" w:rsidRPr="00AC3823" w:rsidRDefault="00B413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134C" w:rsidRPr="00AC3823" w:rsidRDefault="00B4134C">
      <w:pPr>
        <w:spacing w:line="240" w:lineRule="auto"/>
        <w:rPr>
          <w:sz w:val="2"/>
          <w:szCs w:val="2"/>
        </w:rPr>
      </w:pPr>
    </w:p>
  </w:footnote>
  <w:footnote w:id="2">
    <w:p w:rsidR="00EB11AB" w:rsidRPr="00EB11AB" w:rsidRDefault="00EB11AB">
      <w:pPr>
        <w:pStyle w:val="Notedebasdepage"/>
      </w:pPr>
      <w:r>
        <w:rPr>
          <w:rStyle w:val="Appelnotedebasdep"/>
        </w:rPr>
        <w:tab/>
      </w:r>
      <w:r w:rsidRPr="00EB11A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FA7A0E">
        <w:t xml:space="preserve">Conformément au programme de travail du Comité des transports </w:t>
      </w:r>
      <w:r>
        <w:t>intérieurs pour la période 2014</w:t>
      </w:r>
      <w:r>
        <w:noBreakHyphen/>
      </w:r>
      <w:r w:rsidRPr="00FA7A0E">
        <w:t>2018 (ECE/TRANS/240, par.</w:t>
      </w:r>
      <w:r>
        <w:t> </w:t>
      </w:r>
      <w:r w:rsidRPr="00FA7A0E">
        <w:t>105, et ECE/TRANS/2014/26</w:t>
      </w:r>
      <w:r w:rsidR="00494718">
        <w:t>,</w:t>
      </w:r>
      <w:r w:rsidRPr="00FA7A0E">
        <w:t xml:space="preserve"> activité 02.4), le Forum mondial élabore, harmonise et actualise les Règlements, afin d’améliorer les caractéristiques fonctionnelles des véhicules. 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58" w:rsidRPr="005B2058" w:rsidRDefault="005B2058">
    <w:pPr>
      <w:pStyle w:val="En-tte"/>
    </w:pPr>
    <w:r>
      <w:t>ECE/TRANS/WP.29/GRSP/2016/5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58" w:rsidRPr="005B2058" w:rsidRDefault="005B2058" w:rsidP="005B2058">
    <w:pPr>
      <w:pStyle w:val="En-tte"/>
      <w:jc w:val="right"/>
    </w:pPr>
    <w:r>
      <w:t>ECE/TRANS/WP.29/GRSP/2016/5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5"/>
    <w:rsid w:val="00017F94"/>
    <w:rsid w:val="00023842"/>
    <w:rsid w:val="000334F9"/>
    <w:rsid w:val="00072CC9"/>
    <w:rsid w:val="0007796D"/>
    <w:rsid w:val="000B0C8F"/>
    <w:rsid w:val="000B7790"/>
    <w:rsid w:val="0010617E"/>
    <w:rsid w:val="00111F2F"/>
    <w:rsid w:val="0014365E"/>
    <w:rsid w:val="00143C66"/>
    <w:rsid w:val="001618FA"/>
    <w:rsid w:val="00176178"/>
    <w:rsid w:val="001F525A"/>
    <w:rsid w:val="00223272"/>
    <w:rsid w:val="0024779E"/>
    <w:rsid w:val="00257168"/>
    <w:rsid w:val="002744B8"/>
    <w:rsid w:val="002816D2"/>
    <w:rsid w:val="002832AC"/>
    <w:rsid w:val="002A42BD"/>
    <w:rsid w:val="002D7C93"/>
    <w:rsid w:val="00305801"/>
    <w:rsid w:val="0030664C"/>
    <w:rsid w:val="003324F9"/>
    <w:rsid w:val="003916DE"/>
    <w:rsid w:val="003928C1"/>
    <w:rsid w:val="003A1780"/>
    <w:rsid w:val="00441C3B"/>
    <w:rsid w:val="00446FE5"/>
    <w:rsid w:val="0045131B"/>
    <w:rsid w:val="00452396"/>
    <w:rsid w:val="00453F89"/>
    <w:rsid w:val="004837D8"/>
    <w:rsid w:val="00494718"/>
    <w:rsid w:val="004A77D7"/>
    <w:rsid w:val="004D6BB8"/>
    <w:rsid w:val="004E468C"/>
    <w:rsid w:val="00500616"/>
    <w:rsid w:val="00501259"/>
    <w:rsid w:val="00526E8B"/>
    <w:rsid w:val="005505B7"/>
    <w:rsid w:val="00573BE5"/>
    <w:rsid w:val="0058013C"/>
    <w:rsid w:val="00586ED3"/>
    <w:rsid w:val="00593987"/>
    <w:rsid w:val="00596AA9"/>
    <w:rsid w:val="005B1FE8"/>
    <w:rsid w:val="005B2058"/>
    <w:rsid w:val="00621668"/>
    <w:rsid w:val="0062245B"/>
    <w:rsid w:val="00631559"/>
    <w:rsid w:val="006841C4"/>
    <w:rsid w:val="00694F5D"/>
    <w:rsid w:val="00703F8B"/>
    <w:rsid w:val="00707151"/>
    <w:rsid w:val="0071601D"/>
    <w:rsid w:val="00787221"/>
    <w:rsid w:val="0079658D"/>
    <w:rsid w:val="007A62E6"/>
    <w:rsid w:val="007E697B"/>
    <w:rsid w:val="007F20FA"/>
    <w:rsid w:val="0080684C"/>
    <w:rsid w:val="008344A7"/>
    <w:rsid w:val="0086006D"/>
    <w:rsid w:val="00871C75"/>
    <w:rsid w:val="008776DC"/>
    <w:rsid w:val="008A5065"/>
    <w:rsid w:val="00951C1A"/>
    <w:rsid w:val="009705C8"/>
    <w:rsid w:val="009C1CF4"/>
    <w:rsid w:val="009F6B74"/>
    <w:rsid w:val="00A30353"/>
    <w:rsid w:val="00A4459D"/>
    <w:rsid w:val="00AA6823"/>
    <w:rsid w:val="00AC3823"/>
    <w:rsid w:val="00AE323C"/>
    <w:rsid w:val="00AF0CB5"/>
    <w:rsid w:val="00B00181"/>
    <w:rsid w:val="00B00B0D"/>
    <w:rsid w:val="00B4134C"/>
    <w:rsid w:val="00B765F7"/>
    <w:rsid w:val="00BA0CA9"/>
    <w:rsid w:val="00BF57EE"/>
    <w:rsid w:val="00C02897"/>
    <w:rsid w:val="00C503EC"/>
    <w:rsid w:val="00C51D72"/>
    <w:rsid w:val="00C81D37"/>
    <w:rsid w:val="00CC0F3F"/>
    <w:rsid w:val="00D3439C"/>
    <w:rsid w:val="00DB1831"/>
    <w:rsid w:val="00DC45EC"/>
    <w:rsid w:val="00DD3BFD"/>
    <w:rsid w:val="00DF6678"/>
    <w:rsid w:val="00E427CE"/>
    <w:rsid w:val="00E438F5"/>
    <w:rsid w:val="00E85C74"/>
    <w:rsid w:val="00EA6547"/>
    <w:rsid w:val="00EB11AB"/>
    <w:rsid w:val="00EF2E22"/>
    <w:rsid w:val="00F3121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9E6C8-91C8-48F7-9C0C-F92115D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37F-8C97-4BEB-8104-622E03B9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1811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ECE/TRANS/WP.29/GRSP/2016/5</vt:lpstr>
    </vt:vector>
  </TitlesOfParts>
  <Company>DCM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ECE/TRANS/WP.29/GRSP/2016/5</dc:title>
  <dc:subject/>
  <dc:creator>Chautagnat</dc:creator>
  <cp:keywords/>
  <dc:description/>
  <cp:lastModifiedBy>Bénédicte Boudol</cp:lastModifiedBy>
  <cp:revision>3</cp:revision>
  <cp:lastPrinted>2016-03-29T07:30:00Z</cp:lastPrinted>
  <dcterms:created xsi:type="dcterms:W3CDTF">2016-03-30T16:56:00Z</dcterms:created>
  <dcterms:modified xsi:type="dcterms:W3CDTF">2016-03-30T16:56:00Z</dcterms:modified>
</cp:coreProperties>
</file>