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8F7CCC">
            <w:pPr>
              <w:jc w:val="right"/>
            </w:pPr>
            <w:r w:rsidRPr="003F64DC">
              <w:rPr>
                <w:sz w:val="40"/>
              </w:rPr>
              <w:t>ECE</w:t>
            </w:r>
            <w:r w:rsidR="00146CA7">
              <w:t>/TRANS/WP.29/GRSP/201</w:t>
            </w:r>
            <w:r w:rsidR="007E785B">
              <w:t>6</w:t>
            </w:r>
            <w:r w:rsidR="00146CA7">
              <w:t>/</w:t>
            </w:r>
            <w:r w:rsidR="008D5C4B">
              <w:t>20</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9F4207" w:rsidP="003F64DC">
            <w:pPr>
              <w:spacing w:before="120"/>
            </w:pPr>
            <w:r>
              <w:rPr>
                <w:noProof/>
                <w:lang w:eastAsia="en-GB"/>
              </w:rPr>
              <w:drawing>
                <wp:inline distT="0" distB="0" distL="0" distR="0">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9F6FD0" w:rsidP="003F64DC">
            <w:pPr>
              <w:spacing w:line="240" w:lineRule="exact"/>
            </w:pPr>
            <w:r>
              <w:t>21 October</w:t>
            </w:r>
            <w:r w:rsidR="003E0B92">
              <w:t xml:space="preserve"> </w:t>
            </w:r>
            <w:r w:rsidR="005030D4">
              <w:t>201</w:t>
            </w:r>
            <w:r w:rsidR="007E785B">
              <w:t>6</w:t>
            </w:r>
          </w:p>
          <w:p w:rsidR="005030D4" w:rsidRDefault="005030D4" w:rsidP="003F64DC">
            <w:pPr>
              <w:spacing w:line="240" w:lineRule="exact"/>
            </w:pPr>
          </w:p>
          <w:p w:rsidR="005030D4" w:rsidRDefault="005030D4" w:rsidP="003F64DC">
            <w:pPr>
              <w:spacing w:line="240" w:lineRule="exact"/>
            </w:pPr>
            <w:r>
              <w:t>English</w:t>
            </w:r>
            <w:r w:rsidR="009B2866">
              <w:t xml:space="preserve">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96DF2" w:rsidRDefault="00E72A92" w:rsidP="00C96DF2">
      <w:pPr>
        <w:spacing w:before="120"/>
        <w:rPr>
          <w:b/>
        </w:rPr>
      </w:pPr>
      <w:r>
        <w:rPr>
          <w:b/>
        </w:rPr>
        <w:t>Sixtieth</w:t>
      </w:r>
      <w:r w:rsidR="00B53C21">
        <w:rPr>
          <w:b/>
        </w:rPr>
        <w:t xml:space="preserve"> </w:t>
      </w:r>
      <w:r w:rsidR="00182290" w:rsidRPr="00182290">
        <w:rPr>
          <w:b/>
        </w:rPr>
        <w:t>session</w:t>
      </w:r>
    </w:p>
    <w:p w:rsidR="0067362F" w:rsidRDefault="005030D4" w:rsidP="00C96DF2">
      <w:r>
        <w:t>Geneva</w:t>
      </w:r>
      <w:r w:rsidR="00915EF6">
        <w:t xml:space="preserve">, </w:t>
      </w:r>
      <w:r>
        <w:t>1</w:t>
      </w:r>
      <w:r w:rsidR="007E785B">
        <w:t>3</w:t>
      </w:r>
      <w:r w:rsidR="00E72A92">
        <w:t>-</w:t>
      </w:r>
      <w:r w:rsidR="00455CB3">
        <w:t>16</w:t>
      </w:r>
      <w:r>
        <w:t xml:space="preserve"> </w:t>
      </w:r>
      <w:r w:rsidR="00455CB3">
        <w:t>December</w:t>
      </w:r>
      <w:r w:rsidR="00B53C21">
        <w:t xml:space="preserve"> </w:t>
      </w:r>
      <w:r w:rsidR="007E785B">
        <w:t>2016</w:t>
      </w:r>
    </w:p>
    <w:p w:rsidR="00B53C21" w:rsidRDefault="005030D4" w:rsidP="00C96DF2">
      <w:r>
        <w:t xml:space="preserve">Item </w:t>
      </w:r>
      <w:r w:rsidR="000815CE">
        <w:t>8</w:t>
      </w:r>
      <w:r w:rsidR="001D149B">
        <w:t xml:space="preserve"> </w:t>
      </w:r>
      <w:r w:rsidR="00915EF6">
        <w:t>of the provisional agenda</w:t>
      </w:r>
    </w:p>
    <w:p w:rsidR="001D149B" w:rsidRPr="001D149B" w:rsidRDefault="001D149B" w:rsidP="001D149B">
      <w:pPr>
        <w:spacing w:after="120" w:line="240" w:lineRule="auto"/>
        <w:ind w:right="1134"/>
        <w:jc w:val="both"/>
        <w:rPr>
          <w:b/>
        </w:rPr>
      </w:pPr>
      <w:r w:rsidRPr="001D149B">
        <w:rPr>
          <w:b/>
        </w:rPr>
        <w:t>Regulation No. 1</w:t>
      </w:r>
      <w:r w:rsidR="008F7CCC">
        <w:rPr>
          <w:b/>
        </w:rPr>
        <w:t>4 (Safety-belt anchorages</w:t>
      </w:r>
      <w:r w:rsidR="0018794E">
        <w:rPr>
          <w:b/>
        </w:rPr>
        <w:t>)</w:t>
      </w:r>
    </w:p>
    <w:p w:rsidR="005030D4" w:rsidRDefault="00B61287" w:rsidP="00AF37FD">
      <w:pPr>
        <w:pStyle w:val="HChG"/>
      </w:pPr>
      <w:r>
        <w:tab/>
      </w:r>
      <w:r>
        <w:tab/>
      </w:r>
      <w:r w:rsidR="009D5934" w:rsidRPr="009D5934">
        <w:t xml:space="preserve">Proposal for Supplement </w:t>
      </w:r>
      <w:r w:rsidR="007A745D">
        <w:t>8</w:t>
      </w:r>
      <w:r w:rsidR="009D5934">
        <w:t xml:space="preserve"> to the 07 series of Amendments to Regulation No. 14 (S</w:t>
      </w:r>
      <w:r w:rsidR="00887EA5" w:rsidRPr="00887EA5">
        <w:t>a</w:t>
      </w:r>
      <w:r w:rsidR="009D5934">
        <w:t>fe</w:t>
      </w:r>
      <w:r w:rsidR="00887EA5" w:rsidRPr="00887EA5">
        <w:t>t</w:t>
      </w:r>
      <w:r w:rsidR="009D5934">
        <w:t>y belt anchorages</w:t>
      </w:r>
      <w:r w:rsidR="00887EA5" w:rsidRPr="00887EA5">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7D4901">
        <w:rPr>
          <w:szCs w:val="24"/>
        </w:rPr>
        <w:t>France</w:t>
      </w:r>
      <w:r w:rsidR="005030D4" w:rsidRPr="00835F1A">
        <w:rPr>
          <w:rStyle w:val="FootnoteReference"/>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7D4901">
        <w:rPr>
          <w:snapToGrid w:val="0"/>
        </w:rPr>
        <w:t xml:space="preserve"> from France</w:t>
      </w:r>
      <w:r>
        <w:t xml:space="preserve">, </w:t>
      </w:r>
      <w:r w:rsidR="00B54300">
        <w:rPr>
          <w:lang w:val="en-US"/>
        </w:rPr>
        <w:t xml:space="preserve">on behalf of the informal group on Child Restraints Systems </w:t>
      </w:r>
      <w:r w:rsidR="006E4465">
        <w:rPr>
          <w:bCs/>
        </w:rPr>
        <w:t xml:space="preserve">and </w:t>
      </w:r>
      <w:r w:rsidR="0018794E">
        <w:rPr>
          <w:bCs/>
        </w:rPr>
        <w:t>updates</w:t>
      </w:r>
      <w:r w:rsidR="006E4465" w:rsidRPr="00986F8E">
        <w:rPr>
          <w:bCs/>
        </w:rPr>
        <w:t xml:space="preserve"> </w:t>
      </w:r>
      <w:r w:rsidR="00B54300">
        <w:rPr>
          <w:bCs/>
        </w:rPr>
        <w:t>the latest version</w:t>
      </w:r>
      <w:r w:rsidR="00887EA5">
        <w:rPr>
          <w:bCs/>
        </w:rPr>
        <w:t>s</w:t>
      </w:r>
      <w:r w:rsidR="00B54300">
        <w:rPr>
          <w:bCs/>
        </w:rPr>
        <w:t xml:space="preserve"> of Regulation No </w:t>
      </w:r>
      <w:r w:rsidR="001D149B">
        <w:rPr>
          <w:bCs/>
        </w:rPr>
        <w:t>1</w:t>
      </w:r>
      <w:r w:rsidR="009D5934">
        <w:rPr>
          <w:bCs/>
        </w:rPr>
        <w:t>4</w:t>
      </w:r>
      <w:r w:rsidR="00B54300">
        <w:rPr>
          <w:bCs/>
        </w:rPr>
        <w:t>.</w:t>
      </w:r>
      <w:r w:rsidR="00860425">
        <w:rPr>
          <w:lang w:val="en-US"/>
        </w:rPr>
        <w:t xml:space="preserve"> </w:t>
      </w:r>
      <w:r>
        <w:t>The modifications to the curr</w:t>
      </w:r>
      <w:r w:rsidR="00C6567B">
        <w:t xml:space="preserve">ent text </w:t>
      </w:r>
      <w:r w:rsidR="00582341">
        <w:t>of the UN Regulation are marked in bold for new or strikethrough for deleted characters</w:t>
      </w:r>
      <w:r w:rsidR="00582341">
        <w:rPr>
          <w:lang w:val="en-US"/>
        </w:rPr>
        <w:t>.</w:t>
      </w:r>
    </w:p>
    <w:p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rsidR="00EF2302" w:rsidRDefault="00EF2302" w:rsidP="00EF2302">
      <w:pPr>
        <w:pStyle w:val="SingleTxtG"/>
        <w:rPr>
          <w:i/>
        </w:rPr>
      </w:pPr>
      <w:r>
        <w:rPr>
          <w:i/>
          <w:iCs/>
          <w:lang w:val="en-US" w:eastAsia="nl-BE"/>
        </w:rPr>
        <w:t>Text of the Regulation</w:t>
      </w:r>
      <w:r>
        <w:rPr>
          <w:i/>
        </w:rPr>
        <w:t>,</w:t>
      </w:r>
    </w:p>
    <w:p w:rsidR="00EF2302" w:rsidRDefault="00B54300" w:rsidP="00EF2302">
      <w:pPr>
        <w:pStyle w:val="SingleTxtG"/>
        <w:rPr>
          <w:lang w:val="en-US"/>
        </w:rPr>
      </w:pPr>
      <w:r>
        <w:rPr>
          <w:i/>
          <w:lang w:val="en-US"/>
        </w:rPr>
        <w:t>Paragraph</w:t>
      </w:r>
      <w:r w:rsidR="00EF2302">
        <w:rPr>
          <w:i/>
          <w:lang w:val="en-US"/>
        </w:rPr>
        <w:t xml:space="preserve"> </w:t>
      </w:r>
      <w:r>
        <w:rPr>
          <w:i/>
          <w:lang w:val="en-US"/>
        </w:rPr>
        <w:t>2.</w:t>
      </w:r>
      <w:r w:rsidR="009D5934">
        <w:rPr>
          <w:i/>
          <w:lang w:val="en-US"/>
        </w:rPr>
        <w:t>17</w:t>
      </w:r>
      <w:r>
        <w:rPr>
          <w:lang w:val="en-US"/>
        </w:rPr>
        <w:t>.</w:t>
      </w:r>
      <w:r w:rsidR="00EF2302">
        <w:rPr>
          <w:lang w:val="en-US"/>
        </w:rPr>
        <w:t>, amend to read</w:t>
      </w:r>
    </w:p>
    <w:p w:rsidR="009D5934" w:rsidRPr="009D5934" w:rsidRDefault="00EF2302" w:rsidP="009D5934">
      <w:pPr>
        <w:pStyle w:val="SingleTxtG"/>
        <w:ind w:left="2268" w:hanging="1134"/>
      </w:pPr>
      <w:r>
        <w:rPr>
          <w:lang w:val="hu-HU"/>
        </w:rPr>
        <w:t>"</w:t>
      </w:r>
      <w:r w:rsidR="009D5934" w:rsidRPr="009D5934">
        <w:t>2.17.</w:t>
      </w:r>
      <w:r w:rsidR="009D5934" w:rsidRPr="009D5934">
        <w:tab/>
        <w:t>"</w:t>
      </w:r>
      <w:r w:rsidR="009D5934" w:rsidRPr="009D5934">
        <w:rPr>
          <w:i/>
        </w:rPr>
        <w:t>ISOFIX position</w:t>
      </w:r>
      <w:r w:rsidR="009D5934" w:rsidRPr="009D5934">
        <w:t xml:space="preserve">" means </w:t>
      </w:r>
      <w:r w:rsidR="009D5934" w:rsidRPr="009D5934">
        <w:rPr>
          <w:bCs/>
          <w:iCs/>
          <w:lang w:val="en-US"/>
        </w:rPr>
        <w:t xml:space="preserve">a position </w:t>
      </w:r>
      <w:r w:rsidR="009D5934" w:rsidRPr="009D5934">
        <w:t xml:space="preserve">which allows </w:t>
      </w:r>
      <w:r w:rsidR="009D5934" w:rsidRPr="009D5934">
        <w:rPr>
          <w:bCs/>
          <w:iCs/>
          <w:lang w:val="en-US"/>
        </w:rPr>
        <w:t>the installation of</w:t>
      </w:r>
      <w:r w:rsidR="009D5934" w:rsidRPr="009D5934">
        <w:t>:</w:t>
      </w:r>
    </w:p>
    <w:p w:rsidR="009D5934" w:rsidRPr="009D5934" w:rsidRDefault="009D5934" w:rsidP="009D5934">
      <w:pPr>
        <w:pStyle w:val="SingleTxtG"/>
        <w:ind w:left="2268" w:hanging="1134"/>
      </w:pPr>
      <w:r w:rsidRPr="009D5934" w:rsidDel="002714F6">
        <w:t xml:space="preserve"> </w:t>
      </w:r>
      <w:r w:rsidRPr="009D5934">
        <w:tab/>
        <w:t>…</w:t>
      </w:r>
    </w:p>
    <w:p w:rsidR="00EF2302" w:rsidRPr="009D5934" w:rsidRDefault="009D5934" w:rsidP="009D5934">
      <w:pPr>
        <w:pStyle w:val="SingleTxtG"/>
        <w:ind w:left="3402" w:hanging="1134"/>
        <w:rPr>
          <w:bCs/>
          <w:lang w:val="en-US"/>
        </w:rPr>
      </w:pPr>
      <w:r w:rsidRPr="009D5934">
        <w:rPr>
          <w:bCs/>
          <w:lang w:val="en-US"/>
        </w:rPr>
        <w:t>(f)</w:t>
      </w:r>
      <w:r w:rsidRPr="009D5934">
        <w:rPr>
          <w:bCs/>
          <w:lang w:val="en-US"/>
        </w:rPr>
        <w:tab/>
        <w:t xml:space="preserve">Or an </w:t>
      </w:r>
      <w:proofErr w:type="spellStart"/>
      <w:r w:rsidRPr="009D5934">
        <w:rPr>
          <w:bCs/>
          <w:lang w:val="en-US"/>
        </w:rPr>
        <w:t>i</w:t>
      </w:r>
      <w:proofErr w:type="spellEnd"/>
      <w:r w:rsidRPr="009D5934">
        <w:rPr>
          <w:bCs/>
          <w:lang w:val="en-US"/>
        </w:rPr>
        <w:t xml:space="preserve">-Size child restraint system of </w:t>
      </w:r>
      <w:r w:rsidRPr="009D5934">
        <w:rPr>
          <w:b/>
          <w:bCs/>
          <w:lang w:val="en-US"/>
        </w:rPr>
        <w:t>integral class</w:t>
      </w:r>
      <w:r w:rsidRPr="009D5934">
        <w:rPr>
          <w:bCs/>
          <w:lang w:val="en-US"/>
        </w:rPr>
        <w:t xml:space="preserve"> as </w:t>
      </w:r>
      <w:r w:rsidR="00E96DD2">
        <w:rPr>
          <w:bCs/>
          <w:lang w:val="en-US"/>
        </w:rPr>
        <w:t>defined in Regulation No. 129."</w:t>
      </w:r>
    </w:p>
    <w:p w:rsidR="00EF2302" w:rsidRPr="0012196E" w:rsidRDefault="00EF2302" w:rsidP="00EF2302">
      <w:pPr>
        <w:pStyle w:val="para"/>
        <w:rPr>
          <w:lang w:val="en-GB"/>
        </w:rPr>
      </w:pPr>
      <w:r w:rsidRPr="0012196E">
        <w:rPr>
          <w:i/>
          <w:lang w:val="en-GB"/>
        </w:rPr>
        <w:t xml:space="preserve">Paragraph </w:t>
      </w:r>
      <w:r w:rsidR="00B50A70">
        <w:rPr>
          <w:i/>
          <w:lang w:val="en-GB"/>
        </w:rPr>
        <w:t>2.29</w:t>
      </w:r>
      <w:r w:rsidRPr="0012196E">
        <w:rPr>
          <w:lang w:val="en-GB"/>
        </w:rPr>
        <w:t>., amend to read:</w:t>
      </w:r>
    </w:p>
    <w:p w:rsidR="00A3710C" w:rsidRDefault="003D2DBC" w:rsidP="00B50A70">
      <w:pPr>
        <w:pStyle w:val="para"/>
        <w:rPr>
          <w:lang w:val="en-GB"/>
        </w:rPr>
      </w:pPr>
      <w:r>
        <w:rPr>
          <w:lang w:val="en-GB"/>
        </w:rPr>
        <w:t>"</w:t>
      </w:r>
      <w:r w:rsidR="00B50A70" w:rsidRPr="00B50A70">
        <w:rPr>
          <w:lang w:val="en-GB"/>
        </w:rPr>
        <w:t>2.29.</w:t>
      </w:r>
      <w:r w:rsidR="00B50A70" w:rsidRPr="00B50A70">
        <w:rPr>
          <w:lang w:val="en-GB"/>
        </w:rPr>
        <w:tab/>
        <w:t>"</w:t>
      </w:r>
      <w:r w:rsidR="00B50A70" w:rsidRPr="0063469C">
        <w:rPr>
          <w:i/>
          <w:lang w:val="en-GB"/>
        </w:rPr>
        <w:t>A child restraint fixture</w:t>
      </w:r>
      <w:r w:rsidR="00B50A70" w:rsidRPr="00B50A70">
        <w:rPr>
          <w:lang w:val="en-GB"/>
        </w:rPr>
        <w:t xml:space="preserve">" means a fixture according to one of the </w:t>
      </w:r>
      <w:r w:rsidR="00B50A70" w:rsidRPr="00B50A70">
        <w:rPr>
          <w:strike/>
          <w:lang w:val="en-GB"/>
        </w:rPr>
        <w:t>eight</w:t>
      </w:r>
      <w:r w:rsidR="00B50A70" w:rsidRPr="00B50A70">
        <w:rPr>
          <w:lang w:val="en-GB"/>
        </w:rPr>
        <w:t xml:space="preserve"> ISOFIX size </w:t>
      </w:r>
      <w:r w:rsidR="00B50A70" w:rsidRPr="00B50A70">
        <w:rPr>
          <w:strike/>
          <w:lang w:val="en-GB"/>
        </w:rPr>
        <w:t xml:space="preserve">classes </w:t>
      </w:r>
      <w:r w:rsidR="00B50A70" w:rsidRPr="00B50A70">
        <w:rPr>
          <w:b/>
          <w:lang w:val="en-GB"/>
        </w:rPr>
        <w:t>envelopes</w:t>
      </w:r>
      <w:r w:rsidR="00B50A70" w:rsidRPr="00B50A70">
        <w:rPr>
          <w:lang w:val="en-GB"/>
        </w:rPr>
        <w:t xml:space="preserve"> defined in paragraph 4. of Annex 17 – Appendix 2 of Regulation No. 16 and particularly whose dimensions are given from Figure 1 to Figure 78 in the previous mentioned paragraph 4. Those child restraint fixtures (CRF) are used in Regulation No. 16, to check </w:t>
      </w:r>
      <w:r w:rsidR="00B50A70" w:rsidRPr="00B50A70">
        <w:rPr>
          <w:b/>
          <w:lang w:val="en-GB"/>
        </w:rPr>
        <w:t>which</w:t>
      </w:r>
      <w:r w:rsidR="00B50A70" w:rsidRPr="00B50A70">
        <w:rPr>
          <w:lang w:val="en-GB"/>
        </w:rPr>
        <w:t xml:space="preserve"> ISOFIX child restraint systems size </w:t>
      </w:r>
      <w:r w:rsidR="00B50A70" w:rsidRPr="00B50A70">
        <w:rPr>
          <w:b/>
          <w:lang w:val="en-GB"/>
        </w:rPr>
        <w:t>envelopes</w:t>
      </w:r>
      <w:r w:rsidR="00B50A70" w:rsidRPr="00B50A70">
        <w:rPr>
          <w:lang w:val="en-GB"/>
        </w:rPr>
        <w:t xml:space="preserve"> </w:t>
      </w:r>
      <w:r w:rsidR="00B50A70" w:rsidRPr="00B50A70">
        <w:rPr>
          <w:strike/>
          <w:lang w:val="en-GB"/>
        </w:rPr>
        <w:t xml:space="preserve">classes </w:t>
      </w:r>
      <w:r w:rsidR="00B50A70" w:rsidRPr="00B50A70">
        <w:rPr>
          <w:lang w:val="en-GB"/>
        </w:rPr>
        <w:t xml:space="preserve">can be accommodated on the vehicle ISOFIX positions. Also one of the CRF, so-called either ISO/F2 </w:t>
      </w:r>
      <w:r w:rsidR="00B50A70" w:rsidRPr="00B50A70">
        <w:rPr>
          <w:strike/>
          <w:lang w:val="en-GB"/>
        </w:rPr>
        <w:t xml:space="preserve">(B) </w:t>
      </w:r>
      <w:r w:rsidR="00B50A70" w:rsidRPr="00B50A70">
        <w:rPr>
          <w:lang w:val="en-GB"/>
        </w:rPr>
        <w:t>or ISO/F2X</w:t>
      </w:r>
      <w:r w:rsidR="00B50A70">
        <w:rPr>
          <w:lang w:val="en-GB"/>
        </w:rPr>
        <w:t xml:space="preserve"> </w:t>
      </w:r>
      <w:r w:rsidR="00B50A70" w:rsidRPr="00B50A70">
        <w:rPr>
          <w:strike/>
          <w:lang w:val="en-GB"/>
        </w:rPr>
        <w:t>(B1)</w:t>
      </w:r>
      <w:r w:rsidR="00B50A70" w:rsidRPr="00B50A70">
        <w:rPr>
          <w:lang w:val="en-GB"/>
        </w:rPr>
        <w:t xml:space="preserve"> which is described in Regulation No. 16 (Annex 17, Appendix 2), is used in this Regulation to check the location and the possibility of access to any ISOFIX anchorages system.</w:t>
      </w:r>
      <w:r w:rsidRPr="003D2DBC">
        <w:rPr>
          <w:lang w:val="en-GB"/>
        </w:rPr>
        <w:t>.</w:t>
      </w:r>
      <w:r>
        <w:rPr>
          <w:lang w:val="en-GB"/>
        </w:rPr>
        <w:t>"</w:t>
      </w:r>
    </w:p>
    <w:p w:rsidR="003D2DBC" w:rsidRPr="0012196E" w:rsidRDefault="003D2DBC" w:rsidP="003D2DBC">
      <w:pPr>
        <w:pStyle w:val="para"/>
        <w:rPr>
          <w:lang w:val="en-GB"/>
        </w:rPr>
      </w:pPr>
      <w:r w:rsidRPr="0012196E">
        <w:rPr>
          <w:i/>
          <w:lang w:val="en-GB"/>
        </w:rPr>
        <w:t xml:space="preserve">Paragraph </w:t>
      </w:r>
      <w:r w:rsidR="00B50A70">
        <w:rPr>
          <w:i/>
          <w:lang w:val="en-GB"/>
        </w:rPr>
        <w:t>5.2.2.3</w:t>
      </w:r>
      <w:r w:rsidRPr="0012196E">
        <w:rPr>
          <w:lang w:val="en-GB"/>
        </w:rPr>
        <w:t>., amend to read:</w:t>
      </w:r>
    </w:p>
    <w:p w:rsidR="003D2DBC" w:rsidRDefault="003D2DBC" w:rsidP="00B50A70">
      <w:pPr>
        <w:pStyle w:val="para"/>
        <w:rPr>
          <w:lang w:val="en-GB"/>
        </w:rPr>
      </w:pPr>
      <w:r>
        <w:rPr>
          <w:lang w:val="en-GB"/>
        </w:rPr>
        <w:t>"</w:t>
      </w:r>
      <w:r w:rsidR="00B50A70" w:rsidRPr="006F53AC">
        <w:rPr>
          <w:bCs/>
          <w:lang w:val="en-GB"/>
        </w:rPr>
        <w:t>5.2.</w:t>
      </w:r>
      <w:r w:rsidR="00B50A70" w:rsidRPr="00337465">
        <w:rPr>
          <w:bCs/>
          <w:lang w:val="en-GB"/>
        </w:rPr>
        <w:t>2.3.</w:t>
      </w:r>
      <w:r w:rsidR="00B50A70" w:rsidRPr="00337465">
        <w:rPr>
          <w:b/>
          <w:bCs/>
          <w:lang w:val="en-GB"/>
        </w:rPr>
        <w:t xml:space="preserve"> </w:t>
      </w:r>
      <w:r w:rsidR="00B50A70" w:rsidRPr="00337465">
        <w:rPr>
          <w:b/>
          <w:bCs/>
          <w:lang w:val="en-GB"/>
        </w:rPr>
        <w:tab/>
      </w:r>
      <w:r w:rsidR="00B50A70" w:rsidRPr="00337465">
        <w:rPr>
          <w:bCs/>
          <w:lang w:val="en-GB"/>
        </w:rPr>
        <w:t xml:space="preserve">An ISOFIX anchorage system, ISOFIX top tether anchorage and vehicle floor contact surface of </w:t>
      </w:r>
      <w:proofErr w:type="spellStart"/>
      <w:r w:rsidR="00B50A70" w:rsidRPr="00337465">
        <w:rPr>
          <w:bCs/>
          <w:lang w:val="en-GB"/>
        </w:rPr>
        <w:t>i</w:t>
      </w:r>
      <w:proofErr w:type="spellEnd"/>
      <w:r w:rsidR="00B50A70" w:rsidRPr="00337465">
        <w:rPr>
          <w:bCs/>
          <w:lang w:val="en-GB"/>
        </w:rPr>
        <w:t xml:space="preserve">-Size seating positions shall be designed for </w:t>
      </w:r>
      <w:proofErr w:type="spellStart"/>
      <w:r w:rsidR="00B50A70" w:rsidRPr="00337465">
        <w:rPr>
          <w:bCs/>
          <w:lang w:val="en-GB"/>
        </w:rPr>
        <w:t>i</w:t>
      </w:r>
      <w:proofErr w:type="spellEnd"/>
      <w:r w:rsidR="00B50A70" w:rsidRPr="00337465">
        <w:rPr>
          <w:bCs/>
          <w:lang w:val="en-GB"/>
        </w:rPr>
        <w:noBreakHyphen/>
        <w:t xml:space="preserve">Size child restraint system </w:t>
      </w:r>
      <w:r w:rsidR="00B50A70" w:rsidRPr="00337465">
        <w:rPr>
          <w:b/>
          <w:bCs/>
          <w:lang w:val="en-GB"/>
        </w:rPr>
        <w:t>of integral class</w:t>
      </w:r>
      <w:r w:rsidR="00B50A70" w:rsidRPr="006F53AC">
        <w:rPr>
          <w:bCs/>
          <w:lang w:val="en-GB"/>
        </w:rPr>
        <w:t xml:space="preserve"> </w:t>
      </w:r>
      <w:r w:rsidR="00B50A70" w:rsidRPr="00337465">
        <w:rPr>
          <w:bCs/>
          <w:lang w:val="en-GB"/>
        </w:rPr>
        <w:t>a</w:t>
      </w:r>
      <w:r w:rsidR="00B50A70">
        <w:rPr>
          <w:bCs/>
          <w:lang w:val="en-GB"/>
        </w:rPr>
        <w:t>s defined in Regulation No. 129</w:t>
      </w:r>
      <w:r w:rsidR="00E87B7A" w:rsidRPr="00E87B7A">
        <w:rPr>
          <w:lang w:val="en-GB"/>
        </w:rPr>
        <w:t>.</w:t>
      </w:r>
      <w:r>
        <w:rPr>
          <w:lang w:val="en-GB"/>
        </w:rPr>
        <w:t>"</w:t>
      </w:r>
    </w:p>
    <w:p w:rsidR="003D2DBC" w:rsidRPr="0012196E" w:rsidRDefault="003D2DBC" w:rsidP="003D2DBC">
      <w:pPr>
        <w:pStyle w:val="para"/>
        <w:rPr>
          <w:lang w:val="en-GB"/>
        </w:rPr>
      </w:pPr>
      <w:r w:rsidRPr="0012196E">
        <w:rPr>
          <w:i/>
          <w:lang w:val="en-GB"/>
        </w:rPr>
        <w:t xml:space="preserve">Paragraph </w:t>
      </w:r>
      <w:r w:rsidR="00B50A70">
        <w:rPr>
          <w:i/>
          <w:lang w:val="en-GB"/>
        </w:rPr>
        <w:t>5</w:t>
      </w:r>
      <w:r w:rsidR="00E87B7A">
        <w:rPr>
          <w:i/>
          <w:lang w:val="en-GB"/>
        </w:rPr>
        <w:t>.2</w:t>
      </w:r>
      <w:r w:rsidR="00B50A70">
        <w:rPr>
          <w:i/>
          <w:lang w:val="en-GB"/>
        </w:rPr>
        <w:t>.3.3</w:t>
      </w:r>
      <w:r w:rsidRPr="0012196E">
        <w:rPr>
          <w:lang w:val="en-GB"/>
        </w:rPr>
        <w:t>., amend to read:</w:t>
      </w:r>
    </w:p>
    <w:p w:rsidR="00B50A70" w:rsidRPr="006F53AC" w:rsidRDefault="003D2DBC" w:rsidP="00B50A70">
      <w:pPr>
        <w:spacing w:after="120"/>
        <w:ind w:left="2268" w:right="1134" w:hanging="1134"/>
        <w:jc w:val="both"/>
      </w:pPr>
      <w:r>
        <w:t>"</w:t>
      </w:r>
      <w:r w:rsidR="00B50A70" w:rsidRPr="00337465">
        <w:t>5.2.3.3.</w:t>
      </w:r>
      <w:r w:rsidR="00B50A70" w:rsidRPr="00337465">
        <w:tab/>
        <w:t xml:space="preserve">For any ISOFIX anchorages system installed in the vehicle, it shall be possible to attach either the ISOFIX child restraint fixture "ISO/F2" </w:t>
      </w:r>
      <w:r w:rsidR="00B50A70" w:rsidRPr="00CD3D46">
        <w:rPr>
          <w:strike/>
        </w:rPr>
        <w:t>(B)</w:t>
      </w:r>
      <w:r w:rsidR="00B50A70" w:rsidRPr="00CD3D46">
        <w:t xml:space="preserve"> </w:t>
      </w:r>
      <w:r w:rsidR="00B50A70" w:rsidRPr="006F53AC">
        <w:t xml:space="preserve">or "ISO/F2X" </w:t>
      </w:r>
      <w:r w:rsidR="00B50A70" w:rsidRPr="00CD3D46">
        <w:rPr>
          <w:strike/>
        </w:rPr>
        <w:t>(B1)</w:t>
      </w:r>
      <w:r w:rsidR="00B50A70" w:rsidRPr="00337465">
        <w:t xml:space="preserve"> </w:t>
      </w:r>
      <w:r w:rsidR="00B50A70" w:rsidRPr="006F53AC">
        <w:t>as defined by the vehicle manufacturer, described in Regulation No. 16 (Annex 17, Appendix 2).</w:t>
      </w:r>
    </w:p>
    <w:p w:rsidR="003D2DBC" w:rsidRPr="00B50A70" w:rsidRDefault="00B50A70" w:rsidP="00B50A70">
      <w:pPr>
        <w:spacing w:after="120"/>
        <w:ind w:left="2268" w:right="1134"/>
        <w:jc w:val="both"/>
        <w:rPr>
          <w:b/>
          <w:highlight w:val="cyan"/>
        </w:rPr>
      </w:pPr>
      <w:proofErr w:type="spellStart"/>
      <w:r w:rsidRPr="00337465">
        <w:rPr>
          <w:bCs/>
        </w:rPr>
        <w:t>i</w:t>
      </w:r>
      <w:proofErr w:type="spellEnd"/>
      <w:r w:rsidRPr="00337465">
        <w:rPr>
          <w:bCs/>
        </w:rPr>
        <w:t xml:space="preserve">-Size positions shall accommodate ISOFIX child restraint fixtures </w:t>
      </w:r>
      <w:r w:rsidRPr="00CD3D46">
        <w:rPr>
          <w:bCs/>
          <w:strike/>
        </w:rPr>
        <w:t xml:space="preserve">of size classes </w:t>
      </w:r>
      <w:r w:rsidRPr="006F53AC">
        <w:rPr>
          <w:bCs/>
        </w:rPr>
        <w:t xml:space="preserve">"ISO/F2X" </w:t>
      </w:r>
      <w:r w:rsidRPr="00CD3D46">
        <w:rPr>
          <w:bCs/>
          <w:strike/>
        </w:rPr>
        <w:t>(B1)</w:t>
      </w:r>
      <w:r w:rsidRPr="00CD3D46">
        <w:rPr>
          <w:bCs/>
        </w:rPr>
        <w:t>,</w:t>
      </w:r>
      <w:r w:rsidRPr="00337465">
        <w:rPr>
          <w:bCs/>
        </w:rPr>
        <w:t xml:space="preserve"> and "ISO/R2" </w:t>
      </w:r>
      <w:r w:rsidRPr="00CD3D46">
        <w:rPr>
          <w:bCs/>
          <w:strike/>
        </w:rPr>
        <w:t>(D)</w:t>
      </w:r>
      <w:r w:rsidRPr="006F53AC">
        <w:rPr>
          <w:bCs/>
        </w:rPr>
        <w:t xml:space="preserve"> together with the support leg installation assessment volume, as defined in Regulation No. 16 (Annex 17,</w:t>
      </w:r>
      <w:r w:rsidRPr="005E5BE9">
        <w:rPr>
          <w:bCs/>
        </w:rPr>
        <w:t xml:space="preserve"> </w:t>
      </w:r>
      <w:r w:rsidRPr="006F53AC">
        <w:rPr>
          <w:bCs/>
        </w:rPr>
        <w:t>Appendix 2).</w:t>
      </w:r>
      <w:r w:rsidRPr="00337465">
        <w:rPr>
          <w:bCs/>
        </w:rPr>
        <w:t xml:space="preserve"> </w:t>
      </w:r>
      <w:r w:rsidRPr="00337465">
        <w:rPr>
          <w:b/>
          <w:bCs/>
        </w:rPr>
        <w:t xml:space="preserve">In addition, </w:t>
      </w:r>
      <w:proofErr w:type="spellStart"/>
      <w:r w:rsidRPr="00337465">
        <w:rPr>
          <w:b/>
          <w:bCs/>
        </w:rPr>
        <w:t>i</w:t>
      </w:r>
      <w:proofErr w:type="spellEnd"/>
      <w:r w:rsidRPr="00337465">
        <w:rPr>
          <w:b/>
          <w:bCs/>
        </w:rPr>
        <w:t>-Size positions shall accommodate the child restraint fixture of class ISO/B2, as defined in Regulation No. 16 (Annex 17, Appendix 5)</w:t>
      </w:r>
      <w:r w:rsidR="003D2DBC" w:rsidRPr="003D2DBC">
        <w:t>.</w:t>
      </w:r>
      <w:r w:rsidR="003D2DBC">
        <w:t>"</w:t>
      </w:r>
    </w:p>
    <w:p w:rsidR="00D14E21" w:rsidRPr="0012196E" w:rsidRDefault="00D14E21" w:rsidP="00D14E21">
      <w:pPr>
        <w:pStyle w:val="para"/>
        <w:rPr>
          <w:lang w:val="en-GB"/>
        </w:rPr>
      </w:pPr>
      <w:r w:rsidRPr="0012196E">
        <w:rPr>
          <w:i/>
          <w:lang w:val="en-GB"/>
        </w:rPr>
        <w:t xml:space="preserve">Paragraph </w:t>
      </w:r>
      <w:r w:rsidR="00B50A70">
        <w:rPr>
          <w:i/>
          <w:lang w:val="en-GB"/>
        </w:rPr>
        <w:t>5</w:t>
      </w:r>
      <w:r w:rsidR="001C698B">
        <w:rPr>
          <w:i/>
          <w:lang w:val="en-GB"/>
        </w:rPr>
        <w:t>.2.</w:t>
      </w:r>
      <w:r w:rsidR="00B50A70">
        <w:rPr>
          <w:i/>
          <w:lang w:val="en-GB"/>
        </w:rPr>
        <w:t>3.4</w:t>
      </w:r>
      <w:r>
        <w:rPr>
          <w:i/>
          <w:lang w:val="en-GB"/>
        </w:rPr>
        <w:t>.</w:t>
      </w:r>
      <w:r w:rsidRPr="0012196E">
        <w:rPr>
          <w:lang w:val="en-GB"/>
        </w:rPr>
        <w:t>, amend to read:</w:t>
      </w:r>
    </w:p>
    <w:p w:rsidR="003D2DBC" w:rsidRDefault="00D14E21" w:rsidP="00B50A70">
      <w:pPr>
        <w:pStyle w:val="para"/>
        <w:rPr>
          <w:lang w:val="en-GB"/>
        </w:rPr>
      </w:pPr>
      <w:r>
        <w:rPr>
          <w:lang w:val="en-GB"/>
        </w:rPr>
        <w:t>"</w:t>
      </w:r>
      <w:r w:rsidR="00B50A70" w:rsidRPr="005E5BE9">
        <w:rPr>
          <w:lang w:val="en-GB"/>
        </w:rPr>
        <w:t>5.2.3.4.</w:t>
      </w:r>
      <w:r w:rsidR="00B50A70" w:rsidRPr="005E5BE9">
        <w:rPr>
          <w:lang w:val="en-GB"/>
        </w:rPr>
        <w:tab/>
      </w:r>
      <w:r w:rsidR="00B50A70" w:rsidRPr="00B50A70">
        <w:rPr>
          <w:lang w:val="en-GB"/>
        </w:rPr>
        <w:t xml:space="preserve"> … It shall be possible to install the ISOFIX child restraint fixture under the increased pitch angle. </w:t>
      </w:r>
      <w:r w:rsidR="00B50A70" w:rsidRPr="00B50A70">
        <w:rPr>
          <w:b/>
          <w:lang w:val="en-GB"/>
        </w:rPr>
        <w:t>This paragraph does not apply to child restraint fixtures of size ISO/B2.</w:t>
      </w:r>
      <w:r>
        <w:rPr>
          <w:lang w:val="en-GB"/>
        </w:rPr>
        <w:t>"</w:t>
      </w:r>
    </w:p>
    <w:p w:rsidR="00D14E21" w:rsidRPr="0012196E" w:rsidRDefault="00D14E21" w:rsidP="00D14E21">
      <w:pPr>
        <w:pStyle w:val="para"/>
        <w:rPr>
          <w:lang w:val="en-GB"/>
        </w:rPr>
      </w:pPr>
      <w:r w:rsidRPr="0012196E">
        <w:rPr>
          <w:i/>
          <w:lang w:val="en-GB"/>
        </w:rPr>
        <w:t xml:space="preserve">Paragraph </w:t>
      </w:r>
      <w:r w:rsidR="00B50A70">
        <w:rPr>
          <w:i/>
          <w:lang w:val="en-GB"/>
        </w:rPr>
        <w:t>5.2.</w:t>
      </w:r>
      <w:r w:rsidR="00FC5A40">
        <w:rPr>
          <w:i/>
          <w:lang w:val="en-GB"/>
        </w:rPr>
        <w:t>4</w:t>
      </w:r>
      <w:r w:rsidR="001C698B" w:rsidRPr="001C698B">
        <w:rPr>
          <w:i/>
          <w:lang w:val="en-GB"/>
        </w:rPr>
        <w:t>.</w:t>
      </w:r>
      <w:r w:rsidR="00FC5A40">
        <w:rPr>
          <w:i/>
          <w:lang w:val="en-GB"/>
        </w:rPr>
        <w:t>2</w:t>
      </w:r>
      <w:r w:rsidR="001C698B">
        <w:rPr>
          <w:i/>
          <w:lang w:val="en-GB"/>
        </w:rPr>
        <w:t>.</w:t>
      </w:r>
      <w:r w:rsidR="001C698B" w:rsidRPr="001C698B">
        <w:rPr>
          <w:i/>
          <w:lang w:val="en-GB"/>
        </w:rPr>
        <w:t xml:space="preserve">, </w:t>
      </w:r>
      <w:r w:rsidRPr="0012196E">
        <w:rPr>
          <w:lang w:val="en-GB"/>
        </w:rPr>
        <w:t>amend to read:</w:t>
      </w:r>
    </w:p>
    <w:p w:rsidR="00B50A70" w:rsidRPr="00337465" w:rsidRDefault="00D14E21" w:rsidP="00B50A70">
      <w:pPr>
        <w:pStyle w:val="para"/>
        <w:rPr>
          <w:lang w:val="en-GB"/>
        </w:rPr>
      </w:pPr>
      <w:r>
        <w:rPr>
          <w:lang w:val="en-GB"/>
        </w:rPr>
        <w:t>"</w:t>
      </w:r>
      <w:r w:rsidR="00B50A70" w:rsidRPr="0059255D">
        <w:rPr>
          <w:lang w:val="en-GB"/>
        </w:rPr>
        <w:t>5.</w:t>
      </w:r>
      <w:r w:rsidR="00B50A70" w:rsidRPr="005E5BE9">
        <w:rPr>
          <w:lang w:val="en-GB"/>
        </w:rPr>
        <w:t>2.4.2.</w:t>
      </w:r>
      <w:r w:rsidR="00B50A70" w:rsidRPr="005E5BE9">
        <w:rPr>
          <w:lang w:val="en-GB"/>
        </w:rPr>
        <w:tab/>
      </w:r>
      <w:r w:rsidR="00B50A70" w:rsidRPr="006F53AC">
        <w:rPr>
          <w:lang w:val="en-GB"/>
        </w:rPr>
        <w:t>The ISOFIX top tether anchorage zone may be alternatively locat</w:t>
      </w:r>
      <w:r w:rsidR="00B50A70" w:rsidRPr="00337465">
        <w:rPr>
          <w:lang w:val="en-GB"/>
        </w:rPr>
        <w:t xml:space="preserve">ed with the aid of the Fixture "ISO/F2" </w:t>
      </w:r>
      <w:r w:rsidR="00B50A70" w:rsidRPr="00CD3D46">
        <w:rPr>
          <w:strike/>
          <w:lang w:val="en-GB"/>
        </w:rPr>
        <w:t>(B)</w:t>
      </w:r>
      <w:r w:rsidR="00B50A70" w:rsidRPr="00337465">
        <w:rPr>
          <w:lang w:val="en-GB"/>
        </w:rPr>
        <w:t>,</w:t>
      </w:r>
      <w:r w:rsidR="00B50A70" w:rsidRPr="006F53AC">
        <w:rPr>
          <w:lang w:val="en-GB"/>
        </w:rPr>
        <w:t xml:space="preserve"> as defined in Regulation No. 16 (</w:t>
      </w:r>
      <w:r w:rsidR="00B50A70" w:rsidRPr="00337465">
        <w:rPr>
          <w:lang w:val="en-GB"/>
        </w:rPr>
        <w:t>Annex 17, Appendix 2, Figure 2), in an ISOFIX position equipped with ISOFIX low anchorages as shown in Figure 11 of Annex 9.</w:t>
      </w:r>
    </w:p>
    <w:p w:rsidR="00B50A70" w:rsidRPr="006F53AC" w:rsidRDefault="00B50A70" w:rsidP="00B50A70">
      <w:pPr>
        <w:pStyle w:val="para"/>
        <w:rPr>
          <w:lang w:val="en-GB"/>
        </w:rPr>
      </w:pPr>
      <w:r w:rsidRPr="00337465">
        <w:rPr>
          <w:lang w:val="en-GB"/>
        </w:rPr>
        <w:tab/>
      </w:r>
      <w:r>
        <w:rPr>
          <w:lang w:val="en-GB"/>
        </w:rPr>
        <w:t>…</w:t>
      </w:r>
    </w:p>
    <w:p w:rsidR="00B50A70" w:rsidRPr="00337465" w:rsidRDefault="00B50A70" w:rsidP="00B50A70">
      <w:pPr>
        <w:pStyle w:val="para"/>
        <w:rPr>
          <w:lang w:val="en-GB"/>
        </w:rPr>
      </w:pPr>
      <w:r w:rsidRPr="00337465">
        <w:rPr>
          <w:lang w:val="en-GB"/>
        </w:rPr>
        <w:lastRenderedPageBreak/>
        <w:tab/>
        <w:t xml:space="preserve">In the side view, the ISOFIX top tether anchorage shall lie behind the </w:t>
      </w:r>
      <w:bookmarkStart w:id="1" w:name="OLE_LINK1"/>
      <w:r w:rsidRPr="00337465">
        <w:rPr>
          <w:lang w:val="en-GB"/>
        </w:rPr>
        <w:t xml:space="preserve">"ISO/F2" </w:t>
      </w:r>
      <w:r w:rsidRPr="00CD3D46">
        <w:rPr>
          <w:strike/>
          <w:lang w:val="en-GB"/>
        </w:rPr>
        <w:t>(B)</w:t>
      </w:r>
      <w:r w:rsidRPr="006F53AC">
        <w:rPr>
          <w:lang w:val="en-GB"/>
        </w:rPr>
        <w:t xml:space="preserve"> fixture </w:t>
      </w:r>
      <w:bookmarkEnd w:id="1"/>
      <w:r w:rsidRPr="006F53AC">
        <w:rPr>
          <w:lang w:val="en-GB"/>
        </w:rPr>
        <w:t xml:space="preserve">rear face. </w:t>
      </w:r>
    </w:p>
    <w:p w:rsidR="00B50A70" w:rsidRPr="005E5BE9" w:rsidRDefault="00B50A70" w:rsidP="00B50A70">
      <w:pPr>
        <w:pStyle w:val="para"/>
        <w:rPr>
          <w:lang w:val="en-GB"/>
        </w:rPr>
      </w:pPr>
      <w:r w:rsidRPr="00337465">
        <w:rPr>
          <w:lang w:val="en-GB"/>
        </w:rPr>
        <w:tab/>
        <w:t xml:space="preserve">The intersection between the "ISO/F2" </w:t>
      </w:r>
      <w:r w:rsidRPr="00CD3D46">
        <w:rPr>
          <w:strike/>
          <w:lang w:val="en-GB"/>
        </w:rPr>
        <w:t>(B)</w:t>
      </w:r>
      <w:r w:rsidRPr="006F53AC">
        <w:rPr>
          <w:lang w:val="en-GB"/>
        </w:rPr>
        <w:t xml:space="preserve"> fixture rear face and the horizontal line (</w:t>
      </w:r>
      <w:r w:rsidRPr="00337465">
        <w:rPr>
          <w:lang w:val="en-GB"/>
        </w:rPr>
        <w:t>Annex 9, Figure 11, reference 3) containing the last rigid point of a hardness greater than 50 Shore A at the top of the seat back defines the reference point 4 (Annex 9, Figure 11) on the centreline of the "ISO/F2" </w:t>
      </w:r>
      <w:r w:rsidRPr="00CD3D46">
        <w:rPr>
          <w:strike/>
          <w:lang w:val="en-GB"/>
        </w:rPr>
        <w:t>(B)</w:t>
      </w:r>
      <w:r w:rsidRPr="006F53AC">
        <w:rPr>
          <w:lang w:val="en-GB"/>
        </w:rPr>
        <w:t xml:space="preserve"> fixture</w:t>
      </w:r>
      <w:r w:rsidRPr="00337465">
        <w:rPr>
          <w:lang w:val="en-GB"/>
        </w:rPr>
        <w:t>. At this reference</w:t>
      </w:r>
      <w:r w:rsidRPr="005E5BE9">
        <w:rPr>
          <w:lang w:val="en-GB"/>
        </w:rPr>
        <w:t xml:space="preserve"> point, a maximum angle of 45° above the horizontal line defines the upper limit of the top tether anchorage zone. </w:t>
      </w:r>
    </w:p>
    <w:p w:rsidR="00B50A70" w:rsidRPr="005E5BE9" w:rsidRDefault="00B50A70" w:rsidP="00B50A70">
      <w:pPr>
        <w:pStyle w:val="para"/>
        <w:rPr>
          <w:lang w:val="en-GB"/>
        </w:rPr>
      </w:pPr>
      <w:r w:rsidRPr="005E5BE9">
        <w:rPr>
          <w:lang w:val="en-GB"/>
        </w:rPr>
        <w:tab/>
      </w:r>
      <w:r>
        <w:rPr>
          <w:lang w:val="en-GB"/>
        </w:rPr>
        <w:t>…</w:t>
      </w:r>
    </w:p>
    <w:p w:rsidR="00B50A70" w:rsidRPr="006F53AC" w:rsidRDefault="00B50A70" w:rsidP="00B50A70">
      <w:pPr>
        <w:pStyle w:val="para"/>
        <w:rPr>
          <w:lang w:val="en-GB"/>
        </w:rPr>
      </w:pPr>
      <w:r w:rsidRPr="0059255D">
        <w:rPr>
          <w:lang w:val="en-GB"/>
        </w:rPr>
        <w:tab/>
      </w:r>
      <w:r w:rsidRPr="006F53AC">
        <w:rPr>
          <w:lang w:val="en-GB"/>
        </w:rPr>
        <w:t xml:space="preserve">The origin of the ISOFIX top tether strap (5) is located at the intersection of the "ISO/F2" </w:t>
      </w:r>
      <w:r w:rsidRPr="00CD3D46">
        <w:rPr>
          <w:strike/>
          <w:lang w:val="en-GB"/>
        </w:rPr>
        <w:t>(B)</w:t>
      </w:r>
      <w:r w:rsidRPr="006F53AC">
        <w:rPr>
          <w:lang w:val="en-GB"/>
        </w:rPr>
        <w:t xml:space="preserve"> fixture with a plan</w:t>
      </w:r>
      <w:r w:rsidRPr="00337465">
        <w:rPr>
          <w:lang w:val="en-GB"/>
        </w:rPr>
        <w:t xml:space="preserve">e 550 mm distant above the "ISO/F2" </w:t>
      </w:r>
      <w:r w:rsidRPr="00CD3D46">
        <w:rPr>
          <w:strike/>
          <w:lang w:val="en-GB"/>
        </w:rPr>
        <w:t>(B)</w:t>
      </w:r>
      <w:r w:rsidRPr="006F53AC">
        <w:rPr>
          <w:lang w:val="en-GB"/>
        </w:rPr>
        <w:t xml:space="preserve"> fixture horizontal face (1) on the "ISO/F</w:t>
      </w:r>
      <w:r w:rsidRPr="00CD3D46">
        <w:rPr>
          <w:lang w:val="en-GB"/>
        </w:rPr>
        <w:t>2</w:t>
      </w:r>
      <w:r w:rsidRPr="00337465">
        <w:rPr>
          <w:b/>
          <w:lang w:val="en-GB"/>
        </w:rPr>
        <w:t xml:space="preserve">" </w:t>
      </w:r>
      <w:r w:rsidRPr="00CD3D46">
        <w:rPr>
          <w:strike/>
          <w:lang w:val="en-GB"/>
        </w:rPr>
        <w:t>(B)</w:t>
      </w:r>
      <w:r w:rsidRPr="006F53AC">
        <w:rPr>
          <w:lang w:val="en-GB"/>
        </w:rPr>
        <w:t xml:space="preserve"> fixture centreline (6).</w:t>
      </w:r>
    </w:p>
    <w:p w:rsidR="00B50A70" w:rsidRPr="0003633E" w:rsidRDefault="00B50A70" w:rsidP="00B50A70">
      <w:pPr>
        <w:pStyle w:val="para"/>
        <w:rPr>
          <w:lang w:val="en-GB"/>
        </w:rPr>
      </w:pPr>
      <w:r w:rsidRPr="00337465">
        <w:rPr>
          <w:lang w:val="en-GB"/>
        </w:rPr>
        <w:tab/>
        <w:t xml:space="preserve">Further, the ISOFIX top tether anchorage shall be more than 200 mm but not more than 2000 mm from the origin of the ISOFIX top tether strap on the rear face of the "ISO/F2" </w:t>
      </w:r>
      <w:r w:rsidRPr="00CD3D46">
        <w:rPr>
          <w:strike/>
          <w:lang w:val="en-GB"/>
        </w:rPr>
        <w:t>(B)</w:t>
      </w:r>
      <w:r w:rsidRPr="006F53AC">
        <w:rPr>
          <w:lang w:val="en-GB"/>
        </w:rPr>
        <w:t xml:space="preserve"> fixture, measured along the strap when it is drawn over the seat back to the ISOFIX top tether anchorage</w:t>
      </w:r>
      <w:r w:rsidRPr="0003633E">
        <w:rPr>
          <w:lang w:val="en-GB"/>
        </w:rPr>
        <w:t>.</w:t>
      </w:r>
      <w:r w:rsidR="00FC5A40">
        <w:rPr>
          <w:lang w:val="en-GB"/>
        </w:rPr>
        <w:t>"</w:t>
      </w:r>
    </w:p>
    <w:p w:rsidR="00D14E21" w:rsidRDefault="00D14E21" w:rsidP="001C698B">
      <w:pPr>
        <w:pStyle w:val="para"/>
        <w:rPr>
          <w:lang w:val="en-GB"/>
        </w:rPr>
      </w:pPr>
    </w:p>
    <w:p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rsidR="003B6E40" w:rsidRPr="00B522C5" w:rsidRDefault="00FE23D3" w:rsidP="00FE23D3">
      <w:pPr>
        <w:pStyle w:val="ListParagraph"/>
        <w:ind w:left="1134" w:right="1134" w:firstLine="555"/>
        <w:jc w:val="both"/>
        <w:rPr>
          <w:bCs/>
          <w:spacing w:val="0"/>
          <w:lang w:eastAsia="en-US"/>
        </w:rPr>
      </w:pPr>
      <w:r>
        <w:rPr>
          <w:bCs/>
          <w:spacing w:val="0"/>
          <w:lang w:eastAsia="en-US"/>
        </w:rPr>
        <w:t>Two "Booster Seat"</w:t>
      </w:r>
      <w:r w:rsidR="00B522C5" w:rsidRPr="00B522C5">
        <w:rPr>
          <w:bCs/>
          <w:spacing w:val="0"/>
          <w:lang w:eastAsia="en-US"/>
        </w:rPr>
        <w:t xml:space="preserve"> fixtures (ISO/B2 and ISO/B3) were added to Regulation No. 16 to coincide with the </w:t>
      </w:r>
      <w:r>
        <w:rPr>
          <w:bCs/>
          <w:spacing w:val="0"/>
          <w:lang w:eastAsia="en-US"/>
        </w:rPr>
        <w:t xml:space="preserve">implementation of Phase 2 of </w:t>
      </w:r>
      <w:r w:rsidR="00B522C5" w:rsidRPr="00B522C5">
        <w:rPr>
          <w:bCs/>
          <w:spacing w:val="0"/>
          <w:lang w:eastAsia="en-US"/>
        </w:rPr>
        <w:t>Regulation No. 129. These fixtures were developed within ISO/TC 22/SC 36/WG 2 (Child Restraint Systems) and follow the principle already established in Regulations No</w:t>
      </w:r>
      <w:r>
        <w:rPr>
          <w:bCs/>
          <w:spacing w:val="0"/>
          <w:lang w:eastAsia="en-US"/>
        </w:rPr>
        <w:t>s. 16 and</w:t>
      </w:r>
      <w:r w:rsidR="00B522C5" w:rsidRPr="00B522C5">
        <w:rPr>
          <w:bCs/>
          <w:spacing w:val="0"/>
          <w:lang w:eastAsia="en-US"/>
        </w:rPr>
        <w:t xml:space="preserve"> 129 to ensure child restraint to ca</w:t>
      </w:r>
      <w:r>
        <w:rPr>
          <w:bCs/>
          <w:spacing w:val="0"/>
          <w:lang w:eastAsia="en-US"/>
        </w:rPr>
        <w:t>r compatibility. An additional "</w:t>
      </w:r>
      <w:r w:rsidR="00B522C5" w:rsidRPr="00B522C5">
        <w:rPr>
          <w:bCs/>
          <w:spacing w:val="0"/>
          <w:lang w:eastAsia="en-US"/>
        </w:rPr>
        <w:t>Reduced-S</w:t>
      </w:r>
      <w:r>
        <w:rPr>
          <w:bCs/>
          <w:spacing w:val="0"/>
          <w:lang w:eastAsia="en-US"/>
        </w:rPr>
        <w:t>ize Rearward Facing toddler CRS"</w:t>
      </w:r>
      <w:r w:rsidR="00B522C5" w:rsidRPr="00B522C5">
        <w:rPr>
          <w:bCs/>
          <w:spacing w:val="0"/>
          <w:lang w:eastAsia="en-US"/>
        </w:rPr>
        <w:t xml:space="preserve"> fixture (ISO/R2x) was added to facilitate compatibility in small cars/seating positions. The ISO/B2 booster seat fixture was added in </w:t>
      </w:r>
      <w:proofErr w:type="gramStart"/>
      <w:r w:rsidR="00B522C5" w:rsidRPr="00B522C5">
        <w:rPr>
          <w:bCs/>
          <w:spacing w:val="0"/>
          <w:lang w:eastAsia="en-US"/>
        </w:rPr>
        <w:t xml:space="preserve">the </w:t>
      </w:r>
      <w:proofErr w:type="spellStart"/>
      <w:r w:rsidR="00B522C5" w:rsidRPr="00B522C5">
        <w:rPr>
          <w:bCs/>
          <w:spacing w:val="0"/>
          <w:lang w:eastAsia="en-US"/>
        </w:rPr>
        <w:t>i</w:t>
      </w:r>
      <w:proofErr w:type="spellEnd"/>
      <w:proofErr w:type="gramEnd"/>
      <w:r w:rsidR="00B522C5" w:rsidRPr="00B522C5">
        <w:rPr>
          <w:bCs/>
          <w:spacing w:val="0"/>
          <w:lang w:eastAsia="en-US"/>
        </w:rPr>
        <w:t>-Size concept. Lateral facing fixtures (ISO/L1 and ISO/</w:t>
      </w:r>
      <w:r w:rsidR="00B522C5">
        <w:rPr>
          <w:bCs/>
          <w:spacing w:val="0"/>
          <w:lang w:eastAsia="en-US"/>
        </w:rPr>
        <w:t>L2) have been upgraded</w:t>
      </w:r>
      <w:r w:rsidR="003B6E40" w:rsidRPr="00B522C5">
        <w:rPr>
          <w:bCs/>
        </w:rPr>
        <w:t xml:space="preserve">. </w:t>
      </w:r>
    </w:p>
    <w:p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p>
    <w:sectPr w:rsidR="00915EF6" w:rsidRPr="00CD216A" w:rsidSect="005030D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D9" w:rsidRDefault="00CD22D9"/>
  </w:endnote>
  <w:endnote w:type="continuationSeparator" w:id="0">
    <w:p w:rsidR="00CD22D9" w:rsidRDefault="00CD22D9"/>
  </w:endnote>
  <w:endnote w:type="continuationNotice" w:id="1">
    <w:p w:rsidR="00CD22D9" w:rsidRDefault="00CD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1D15CC">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1D15CC">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4B" w:rsidRDefault="00802B52" w:rsidP="00802B52">
    <w:pPr>
      <w:pStyle w:val="Footer"/>
    </w:pPr>
    <w:r>
      <w:rPr>
        <w:rFonts w:ascii="C39T30Lfz" w:hAnsi="C39T30Lfz"/>
        <w:noProof/>
        <w:sz w:val="56"/>
        <w:lang w:eastAsia="en-GB"/>
      </w:rPr>
      <w:drawing>
        <wp:anchor distT="0" distB="0" distL="114300" distR="114300" simplePos="0" relativeHeight="251660288" behindDoc="0" locked="0" layoutInCell="1" allowOverlap="1" wp14:anchorId="7AD70BCE" wp14:editId="26ECE456">
          <wp:simplePos x="0" y="0"/>
          <wp:positionH relativeFrom="column">
            <wp:posOffset>5477510</wp:posOffset>
          </wp:positionH>
          <wp:positionV relativeFrom="paragraph">
            <wp:posOffset>15240</wp:posOffset>
          </wp:positionV>
          <wp:extent cx="638175" cy="638175"/>
          <wp:effectExtent l="0" t="0" r="9525" b="9525"/>
          <wp:wrapNone/>
          <wp:docPr id="2" name="Picture 1" descr="http://undocs.org/m2/QRCode.ashx?DS=ECE/TRANS/WP.29/GRSP/2016/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B52" w:rsidRDefault="00802B52" w:rsidP="00802B52">
    <w:pPr>
      <w:pStyle w:val="Footer"/>
      <w:ind w:right="1134"/>
      <w:rPr>
        <w:sz w:val="20"/>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6D23BECC" wp14:editId="0F5B8249">
          <wp:simplePos x="0" y="0"/>
          <wp:positionH relativeFrom="margin">
            <wp:posOffset>4308475</wp:posOffset>
          </wp:positionH>
          <wp:positionV relativeFrom="margin">
            <wp:posOffset>8148320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GE.16-18304(E)</w:t>
    </w:r>
  </w:p>
  <w:p w:rsidR="00802B52" w:rsidRPr="00802B52" w:rsidRDefault="00802B52" w:rsidP="00802B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D9" w:rsidRPr="000B175B" w:rsidRDefault="00CD22D9" w:rsidP="000B175B">
      <w:pPr>
        <w:tabs>
          <w:tab w:val="right" w:pos="2155"/>
        </w:tabs>
        <w:spacing w:after="80"/>
        <w:ind w:left="680"/>
        <w:rPr>
          <w:u w:val="single"/>
        </w:rPr>
      </w:pPr>
      <w:r>
        <w:rPr>
          <w:u w:val="single"/>
        </w:rPr>
        <w:tab/>
      </w:r>
    </w:p>
  </w:footnote>
  <w:footnote w:type="continuationSeparator" w:id="0">
    <w:p w:rsidR="00CD22D9" w:rsidRPr="00FC68B7" w:rsidRDefault="00CD22D9" w:rsidP="00FC68B7">
      <w:pPr>
        <w:tabs>
          <w:tab w:val="left" w:pos="2155"/>
        </w:tabs>
        <w:spacing w:after="80"/>
        <w:ind w:left="680"/>
        <w:rPr>
          <w:u w:val="single"/>
        </w:rPr>
      </w:pPr>
      <w:r>
        <w:rPr>
          <w:u w:val="single"/>
        </w:rPr>
        <w:tab/>
      </w:r>
    </w:p>
  </w:footnote>
  <w:footnote w:type="continuationNotice" w:id="1">
    <w:p w:rsidR="00CD22D9" w:rsidRDefault="00CD22D9"/>
  </w:footnote>
  <w:footnote w:id="2">
    <w:p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 xml:space="preserve">In accordance with the </w:t>
      </w:r>
      <w:proofErr w:type="spellStart"/>
      <w:r w:rsidR="00320E0F" w:rsidRPr="00B42826">
        <w:rPr>
          <w:szCs w:val="18"/>
          <w:lang w:val="en-US"/>
        </w:rPr>
        <w:t>programme</w:t>
      </w:r>
      <w:proofErr w:type="spellEnd"/>
      <w:r w:rsidR="00320E0F"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E769E1">
    <w:pPr>
      <w:pStyle w:val="Header"/>
    </w:pPr>
    <w:r>
      <w:t>EC</w:t>
    </w:r>
    <w:r w:rsidR="00146CA7">
      <w:t>E/TRANS/WP.29/GRSP/201</w:t>
    </w:r>
    <w:r w:rsidR="00E065D8">
      <w:t>6</w:t>
    </w:r>
    <w:r w:rsidR="003E0B92">
      <w:t>/</w:t>
    </w:r>
    <w:r w:rsidR="008D5C4B">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91329B" w:rsidP="005030D4">
    <w:pPr>
      <w:pStyle w:val="Header"/>
      <w:jc w:val="right"/>
    </w:pPr>
    <w:r>
      <w:t>ECE/TRANS/WP.29/GRSP/201</w:t>
    </w:r>
    <w:r w:rsidR="00E065D8">
      <w:t>6</w:t>
    </w:r>
    <w:r w:rsidR="00860425">
      <w:t>/</w:t>
    </w:r>
    <w:r w:rsidR="008D5C4B">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527D5A3A"/>
    <w:multiLevelType w:val="hybridMultilevel"/>
    <w:tmpl w:val="44246A2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0"/>
  </w:num>
  <w:num w:numId="15">
    <w:abstractNumId w:val="21"/>
  </w:num>
  <w:num w:numId="16">
    <w:abstractNumId w:val="10"/>
  </w:num>
  <w:num w:numId="17">
    <w:abstractNumId w:val="15"/>
  </w:num>
  <w:num w:numId="18">
    <w:abstractNumId w:val="11"/>
  </w:num>
  <w:num w:numId="19">
    <w:abstractNumId w:val="16"/>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15636"/>
    <w:rsid w:val="00046169"/>
    <w:rsid w:val="00046B1F"/>
    <w:rsid w:val="00046CCC"/>
    <w:rsid w:val="00050F6B"/>
    <w:rsid w:val="00052635"/>
    <w:rsid w:val="00057E97"/>
    <w:rsid w:val="000646F4"/>
    <w:rsid w:val="00072C8C"/>
    <w:rsid w:val="000733B5"/>
    <w:rsid w:val="000815CE"/>
    <w:rsid w:val="00081815"/>
    <w:rsid w:val="000931C0"/>
    <w:rsid w:val="000B0595"/>
    <w:rsid w:val="000B175B"/>
    <w:rsid w:val="000B2F02"/>
    <w:rsid w:val="000B3A0F"/>
    <w:rsid w:val="000B4AB5"/>
    <w:rsid w:val="000B4EF7"/>
    <w:rsid w:val="000C2C03"/>
    <w:rsid w:val="000C2D2E"/>
    <w:rsid w:val="000E0415"/>
    <w:rsid w:val="000F3965"/>
    <w:rsid w:val="001003CF"/>
    <w:rsid w:val="001013D3"/>
    <w:rsid w:val="001103AA"/>
    <w:rsid w:val="0011666B"/>
    <w:rsid w:val="0012196E"/>
    <w:rsid w:val="00132153"/>
    <w:rsid w:val="00146CA7"/>
    <w:rsid w:val="00152073"/>
    <w:rsid w:val="00165F3A"/>
    <w:rsid w:val="00182290"/>
    <w:rsid w:val="0018794E"/>
    <w:rsid w:val="00197585"/>
    <w:rsid w:val="001A3955"/>
    <w:rsid w:val="001A4E4D"/>
    <w:rsid w:val="001B4B04"/>
    <w:rsid w:val="001C6663"/>
    <w:rsid w:val="001C698B"/>
    <w:rsid w:val="001C7895"/>
    <w:rsid w:val="001D0C8C"/>
    <w:rsid w:val="001D1419"/>
    <w:rsid w:val="001D149B"/>
    <w:rsid w:val="001D15CC"/>
    <w:rsid w:val="001D26DF"/>
    <w:rsid w:val="001D2DEB"/>
    <w:rsid w:val="001D3A03"/>
    <w:rsid w:val="001E7B67"/>
    <w:rsid w:val="00202DA8"/>
    <w:rsid w:val="002057C2"/>
    <w:rsid w:val="00211E0B"/>
    <w:rsid w:val="0022322E"/>
    <w:rsid w:val="00246F62"/>
    <w:rsid w:val="0024772E"/>
    <w:rsid w:val="00254040"/>
    <w:rsid w:val="002542B6"/>
    <w:rsid w:val="0026075A"/>
    <w:rsid w:val="00264216"/>
    <w:rsid w:val="002644FD"/>
    <w:rsid w:val="00267F5F"/>
    <w:rsid w:val="002749A3"/>
    <w:rsid w:val="00277FCC"/>
    <w:rsid w:val="002848E5"/>
    <w:rsid w:val="00286B4D"/>
    <w:rsid w:val="00293A5C"/>
    <w:rsid w:val="00297ECE"/>
    <w:rsid w:val="002B3CFD"/>
    <w:rsid w:val="002B6420"/>
    <w:rsid w:val="002D029B"/>
    <w:rsid w:val="002D4643"/>
    <w:rsid w:val="002E3C7C"/>
    <w:rsid w:val="002E7B98"/>
    <w:rsid w:val="002F175C"/>
    <w:rsid w:val="002F5C63"/>
    <w:rsid w:val="002F7DE0"/>
    <w:rsid w:val="00302E18"/>
    <w:rsid w:val="00313535"/>
    <w:rsid w:val="00320E0F"/>
    <w:rsid w:val="003229D8"/>
    <w:rsid w:val="00327A59"/>
    <w:rsid w:val="003309FD"/>
    <w:rsid w:val="00352709"/>
    <w:rsid w:val="00353EE3"/>
    <w:rsid w:val="003619B5"/>
    <w:rsid w:val="00361AC3"/>
    <w:rsid w:val="00365763"/>
    <w:rsid w:val="00371178"/>
    <w:rsid w:val="003746DB"/>
    <w:rsid w:val="0038184B"/>
    <w:rsid w:val="00392120"/>
    <w:rsid w:val="00392E47"/>
    <w:rsid w:val="0039461E"/>
    <w:rsid w:val="003A6810"/>
    <w:rsid w:val="003B5B46"/>
    <w:rsid w:val="003B6E40"/>
    <w:rsid w:val="003C2CC4"/>
    <w:rsid w:val="003C534D"/>
    <w:rsid w:val="003D2DBC"/>
    <w:rsid w:val="003D4B23"/>
    <w:rsid w:val="003D58DF"/>
    <w:rsid w:val="003D6191"/>
    <w:rsid w:val="003E0B92"/>
    <w:rsid w:val="003E130E"/>
    <w:rsid w:val="003E2607"/>
    <w:rsid w:val="003F5805"/>
    <w:rsid w:val="003F64DC"/>
    <w:rsid w:val="004071E9"/>
    <w:rsid w:val="00407361"/>
    <w:rsid w:val="00410C89"/>
    <w:rsid w:val="00422E03"/>
    <w:rsid w:val="00424E25"/>
    <w:rsid w:val="00426B9B"/>
    <w:rsid w:val="004325CB"/>
    <w:rsid w:val="00436926"/>
    <w:rsid w:val="00442A83"/>
    <w:rsid w:val="0045495B"/>
    <w:rsid w:val="00455CB3"/>
    <w:rsid w:val="004561E5"/>
    <w:rsid w:val="00465335"/>
    <w:rsid w:val="00465BE7"/>
    <w:rsid w:val="004662E1"/>
    <w:rsid w:val="00476E89"/>
    <w:rsid w:val="0048397A"/>
    <w:rsid w:val="00485CBB"/>
    <w:rsid w:val="004866B7"/>
    <w:rsid w:val="00490CBD"/>
    <w:rsid w:val="00491A5E"/>
    <w:rsid w:val="004A15F1"/>
    <w:rsid w:val="004A6736"/>
    <w:rsid w:val="004A6B18"/>
    <w:rsid w:val="004B11AB"/>
    <w:rsid w:val="004C2461"/>
    <w:rsid w:val="004C7462"/>
    <w:rsid w:val="004E035B"/>
    <w:rsid w:val="004E3CDF"/>
    <w:rsid w:val="004E77B2"/>
    <w:rsid w:val="005030D4"/>
    <w:rsid w:val="00504B2D"/>
    <w:rsid w:val="00510298"/>
    <w:rsid w:val="0051570C"/>
    <w:rsid w:val="0052136D"/>
    <w:rsid w:val="0052775E"/>
    <w:rsid w:val="005342AA"/>
    <w:rsid w:val="005420F2"/>
    <w:rsid w:val="0056209A"/>
    <w:rsid w:val="005628B6"/>
    <w:rsid w:val="00570776"/>
    <w:rsid w:val="00582341"/>
    <w:rsid w:val="005938C9"/>
    <w:rsid w:val="005941EC"/>
    <w:rsid w:val="00596232"/>
    <w:rsid w:val="0059724D"/>
    <w:rsid w:val="005A2D70"/>
    <w:rsid w:val="005B320C"/>
    <w:rsid w:val="005B3DB3"/>
    <w:rsid w:val="005B4E13"/>
    <w:rsid w:val="005B6A91"/>
    <w:rsid w:val="005C342F"/>
    <w:rsid w:val="005C7D1E"/>
    <w:rsid w:val="005D0CB5"/>
    <w:rsid w:val="005D393C"/>
    <w:rsid w:val="005F7B75"/>
    <w:rsid w:val="006001EE"/>
    <w:rsid w:val="006042BF"/>
    <w:rsid w:val="00605042"/>
    <w:rsid w:val="00611FC4"/>
    <w:rsid w:val="00614489"/>
    <w:rsid w:val="006176FB"/>
    <w:rsid w:val="00620F41"/>
    <w:rsid w:val="006317CB"/>
    <w:rsid w:val="0063469C"/>
    <w:rsid w:val="00640B26"/>
    <w:rsid w:val="00641748"/>
    <w:rsid w:val="00652D0A"/>
    <w:rsid w:val="006545BB"/>
    <w:rsid w:val="00662BB6"/>
    <w:rsid w:val="00671B51"/>
    <w:rsid w:val="0067362F"/>
    <w:rsid w:val="00676606"/>
    <w:rsid w:val="006836CA"/>
    <w:rsid w:val="00684C21"/>
    <w:rsid w:val="006A2530"/>
    <w:rsid w:val="006C3589"/>
    <w:rsid w:val="006D0B20"/>
    <w:rsid w:val="006D37AF"/>
    <w:rsid w:val="006D51D0"/>
    <w:rsid w:val="006D5FB9"/>
    <w:rsid w:val="006D658E"/>
    <w:rsid w:val="006D68C1"/>
    <w:rsid w:val="006E4465"/>
    <w:rsid w:val="006E4F58"/>
    <w:rsid w:val="006E564B"/>
    <w:rsid w:val="006E7191"/>
    <w:rsid w:val="00702BE6"/>
    <w:rsid w:val="00703577"/>
    <w:rsid w:val="00705894"/>
    <w:rsid w:val="00723C13"/>
    <w:rsid w:val="0072632A"/>
    <w:rsid w:val="0072779C"/>
    <w:rsid w:val="007327D5"/>
    <w:rsid w:val="007537BD"/>
    <w:rsid w:val="00754672"/>
    <w:rsid w:val="007629C8"/>
    <w:rsid w:val="00766954"/>
    <w:rsid w:val="0077047D"/>
    <w:rsid w:val="00792645"/>
    <w:rsid w:val="00795E7E"/>
    <w:rsid w:val="007A745D"/>
    <w:rsid w:val="007B6BA5"/>
    <w:rsid w:val="007C3390"/>
    <w:rsid w:val="007C4F4B"/>
    <w:rsid w:val="007D4901"/>
    <w:rsid w:val="007E01E9"/>
    <w:rsid w:val="007E22BE"/>
    <w:rsid w:val="007E63F3"/>
    <w:rsid w:val="007E785B"/>
    <w:rsid w:val="007F6611"/>
    <w:rsid w:val="00802B52"/>
    <w:rsid w:val="00811920"/>
    <w:rsid w:val="00815AD0"/>
    <w:rsid w:val="00815EDB"/>
    <w:rsid w:val="008242D7"/>
    <w:rsid w:val="008257B1"/>
    <w:rsid w:val="00832334"/>
    <w:rsid w:val="00843191"/>
    <w:rsid w:val="00843767"/>
    <w:rsid w:val="00855412"/>
    <w:rsid w:val="00860425"/>
    <w:rsid w:val="0086097E"/>
    <w:rsid w:val="00867296"/>
    <w:rsid w:val="008679D9"/>
    <w:rsid w:val="00877065"/>
    <w:rsid w:val="008809E0"/>
    <w:rsid w:val="00886D91"/>
    <w:rsid w:val="008878DE"/>
    <w:rsid w:val="00887EA5"/>
    <w:rsid w:val="008979B1"/>
    <w:rsid w:val="008A1ED5"/>
    <w:rsid w:val="008A6A2A"/>
    <w:rsid w:val="008A6B25"/>
    <w:rsid w:val="008A6C4F"/>
    <w:rsid w:val="008B2335"/>
    <w:rsid w:val="008B2E36"/>
    <w:rsid w:val="008D5C4B"/>
    <w:rsid w:val="008D7CA7"/>
    <w:rsid w:val="008E0678"/>
    <w:rsid w:val="008E5511"/>
    <w:rsid w:val="008F31D2"/>
    <w:rsid w:val="008F7CCC"/>
    <w:rsid w:val="00905628"/>
    <w:rsid w:val="0091329B"/>
    <w:rsid w:val="00915EF6"/>
    <w:rsid w:val="009223CA"/>
    <w:rsid w:val="00923FB1"/>
    <w:rsid w:val="00930927"/>
    <w:rsid w:val="00940F93"/>
    <w:rsid w:val="009448C3"/>
    <w:rsid w:val="0095173D"/>
    <w:rsid w:val="00954DA7"/>
    <w:rsid w:val="00961326"/>
    <w:rsid w:val="009676A5"/>
    <w:rsid w:val="00975819"/>
    <w:rsid w:val="009760F3"/>
    <w:rsid w:val="00976CFB"/>
    <w:rsid w:val="0098042E"/>
    <w:rsid w:val="00982FD2"/>
    <w:rsid w:val="009A0830"/>
    <w:rsid w:val="009A0E8D"/>
    <w:rsid w:val="009B26E7"/>
    <w:rsid w:val="009B2866"/>
    <w:rsid w:val="009B64BB"/>
    <w:rsid w:val="009C40EE"/>
    <w:rsid w:val="009D5816"/>
    <w:rsid w:val="009D5934"/>
    <w:rsid w:val="009D7AA1"/>
    <w:rsid w:val="009F4207"/>
    <w:rsid w:val="009F6FD0"/>
    <w:rsid w:val="00A00697"/>
    <w:rsid w:val="00A00A3F"/>
    <w:rsid w:val="00A01489"/>
    <w:rsid w:val="00A3026E"/>
    <w:rsid w:val="00A338F1"/>
    <w:rsid w:val="00A35BE0"/>
    <w:rsid w:val="00A3710C"/>
    <w:rsid w:val="00A413AA"/>
    <w:rsid w:val="00A6129C"/>
    <w:rsid w:val="00A677E9"/>
    <w:rsid w:val="00A72F22"/>
    <w:rsid w:val="00A7360F"/>
    <w:rsid w:val="00A748A6"/>
    <w:rsid w:val="00A769F4"/>
    <w:rsid w:val="00A776B4"/>
    <w:rsid w:val="00A84838"/>
    <w:rsid w:val="00A855BC"/>
    <w:rsid w:val="00A86874"/>
    <w:rsid w:val="00A94361"/>
    <w:rsid w:val="00AA293C"/>
    <w:rsid w:val="00AA3F0A"/>
    <w:rsid w:val="00AB530B"/>
    <w:rsid w:val="00AB7887"/>
    <w:rsid w:val="00AC30B1"/>
    <w:rsid w:val="00AD5A4F"/>
    <w:rsid w:val="00AF37FD"/>
    <w:rsid w:val="00AF7DDD"/>
    <w:rsid w:val="00B064F6"/>
    <w:rsid w:val="00B254FB"/>
    <w:rsid w:val="00B30179"/>
    <w:rsid w:val="00B421C1"/>
    <w:rsid w:val="00B50A70"/>
    <w:rsid w:val="00B522C5"/>
    <w:rsid w:val="00B53C21"/>
    <w:rsid w:val="00B54300"/>
    <w:rsid w:val="00B544EE"/>
    <w:rsid w:val="00B55C71"/>
    <w:rsid w:val="00B56E4A"/>
    <w:rsid w:val="00B56E9C"/>
    <w:rsid w:val="00B61287"/>
    <w:rsid w:val="00B64B0E"/>
    <w:rsid w:val="00B64B1F"/>
    <w:rsid w:val="00B6553F"/>
    <w:rsid w:val="00B7179E"/>
    <w:rsid w:val="00B77D05"/>
    <w:rsid w:val="00B81206"/>
    <w:rsid w:val="00B81E12"/>
    <w:rsid w:val="00B8700E"/>
    <w:rsid w:val="00B87FFA"/>
    <w:rsid w:val="00B92198"/>
    <w:rsid w:val="00B93765"/>
    <w:rsid w:val="00BA26D8"/>
    <w:rsid w:val="00BA5998"/>
    <w:rsid w:val="00BB5E55"/>
    <w:rsid w:val="00BC3EAA"/>
    <w:rsid w:val="00BC3FA0"/>
    <w:rsid w:val="00BC41EC"/>
    <w:rsid w:val="00BC74E9"/>
    <w:rsid w:val="00BD1C24"/>
    <w:rsid w:val="00BF30B3"/>
    <w:rsid w:val="00BF67E3"/>
    <w:rsid w:val="00BF68A8"/>
    <w:rsid w:val="00C038BE"/>
    <w:rsid w:val="00C11A03"/>
    <w:rsid w:val="00C124EA"/>
    <w:rsid w:val="00C13AFA"/>
    <w:rsid w:val="00C22C0C"/>
    <w:rsid w:val="00C37FB4"/>
    <w:rsid w:val="00C42731"/>
    <w:rsid w:val="00C445C8"/>
    <w:rsid w:val="00C4527F"/>
    <w:rsid w:val="00C463DD"/>
    <w:rsid w:val="00C4724C"/>
    <w:rsid w:val="00C629A0"/>
    <w:rsid w:val="00C64629"/>
    <w:rsid w:val="00C6567B"/>
    <w:rsid w:val="00C745C3"/>
    <w:rsid w:val="00C750B4"/>
    <w:rsid w:val="00C76927"/>
    <w:rsid w:val="00C83287"/>
    <w:rsid w:val="00C96DF2"/>
    <w:rsid w:val="00CA57E6"/>
    <w:rsid w:val="00CB3E03"/>
    <w:rsid w:val="00CC267E"/>
    <w:rsid w:val="00CD1BE7"/>
    <w:rsid w:val="00CD216A"/>
    <w:rsid w:val="00CD22D9"/>
    <w:rsid w:val="00CD3D46"/>
    <w:rsid w:val="00CD4AA6"/>
    <w:rsid w:val="00CE4A8F"/>
    <w:rsid w:val="00CE764B"/>
    <w:rsid w:val="00D02DB3"/>
    <w:rsid w:val="00D14E21"/>
    <w:rsid w:val="00D2031B"/>
    <w:rsid w:val="00D20388"/>
    <w:rsid w:val="00D231D3"/>
    <w:rsid w:val="00D248B6"/>
    <w:rsid w:val="00D25FE2"/>
    <w:rsid w:val="00D26E07"/>
    <w:rsid w:val="00D303D9"/>
    <w:rsid w:val="00D43252"/>
    <w:rsid w:val="00D47EEA"/>
    <w:rsid w:val="00D50E38"/>
    <w:rsid w:val="00D62FC3"/>
    <w:rsid w:val="00D773DF"/>
    <w:rsid w:val="00D87BE4"/>
    <w:rsid w:val="00D95303"/>
    <w:rsid w:val="00D978C6"/>
    <w:rsid w:val="00DA3C1C"/>
    <w:rsid w:val="00DA6FFB"/>
    <w:rsid w:val="00DB0530"/>
    <w:rsid w:val="00DB59DC"/>
    <w:rsid w:val="00DC6D39"/>
    <w:rsid w:val="00E046DF"/>
    <w:rsid w:val="00E065D8"/>
    <w:rsid w:val="00E22B0C"/>
    <w:rsid w:val="00E24C25"/>
    <w:rsid w:val="00E27346"/>
    <w:rsid w:val="00E40A45"/>
    <w:rsid w:val="00E560CA"/>
    <w:rsid w:val="00E71BC8"/>
    <w:rsid w:val="00E7260F"/>
    <w:rsid w:val="00E72A92"/>
    <w:rsid w:val="00E73F5D"/>
    <w:rsid w:val="00E769E1"/>
    <w:rsid w:val="00E77615"/>
    <w:rsid w:val="00E77E4E"/>
    <w:rsid w:val="00E87B7A"/>
    <w:rsid w:val="00E96630"/>
    <w:rsid w:val="00E96DD2"/>
    <w:rsid w:val="00EA1F68"/>
    <w:rsid w:val="00EA2A77"/>
    <w:rsid w:val="00EB12FC"/>
    <w:rsid w:val="00ED7A2A"/>
    <w:rsid w:val="00EF1D7F"/>
    <w:rsid w:val="00EF2302"/>
    <w:rsid w:val="00F04A9D"/>
    <w:rsid w:val="00F31E5F"/>
    <w:rsid w:val="00F33918"/>
    <w:rsid w:val="00F44DE7"/>
    <w:rsid w:val="00F6100A"/>
    <w:rsid w:val="00F76465"/>
    <w:rsid w:val="00F93781"/>
    <w:rsid w:val="00FA50BC"/>
    <w:rsid w:val="00FB613B"/>
    <w:rsid w:val="00FC0409"/>
    <w:rsid w:val="00FC2443"/>
    <w:rsid w:val="00FC5A40"/>
    <w:rsid w:val="00FC68B7"/>
    <w:rsid w:val="00FD3F98"/>
    <w:rsid w:val="00FE106A"/>
    <w:rsid w:val="00FE23D3"/>
    <w:rsid w:val="00FE7450"/>
    <w:rsid w:val="00FF111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915746385">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46B6-AE38-484E-BB9A-69534F2A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754</Words>
  <Characters>4303</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1618304</vt:lpstr>
      <vt:lpstr>United Nations</vt:lpstr>
      <vt:lpstr>United Nations</vt:lpstr>
    </vt:vector>
  </TitlesOfParts>
  <Company>CSD</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1618304</dc:title>
  <dc:subject>ECE/TRANS/WP.29/GRSP/2016/20</dc:subject>
  <dc:creator>Gianotti</dc:creator>
  <cp:lastModifiedBy>Benedicte Boudol</cp:lastModifiedBy>
  <cp:revision>2</cp:revision>
  <cp:lastPrinted>2016-09-20T09:35:00Z</cp:lastPrinted>
  <dcterms:created xsi:type="dcterms:W3CDTF">2016-10-21T13:59:00Z</dcterms:created>
  <dcterms:modified xsi:type="dcterms:W3CDTF">2016-10-21T13:59:00Z</dcterms:modified>
</cp:coreProperties>
</file>