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D13DCC" w:rsidRPr="006500BA" w14:paraId="7E65B692" w14:textId="77777777" w:rsidTr="00C6661D">
        <w:trPr>
          <w:trHeight w:val="851"/>
        </w:trPr>
        <w:tc>
          <w:tcPr>
            <w:tcW w:w="1259" w:type="dxa"/>
            <w:tcBorders>
              <w:top w:val="nil"/>
              <w:left w:val="nil"/>
              <w:bottom w:val="single" w:sz="4" w:space="0" w:color="auto"/>
              <w:right w:val="nil"/>
            </w:tcBorders>
          </w:tcPr>
          <w:p w14:paraId="34B14EEB" w14:textId="77777777" w:rsidR="00D13DCC" w:rsidRPr="006500BA" w:rsidRDefault="00D13DCC" w:rsidP="00C6661D">
            <w:pPr>
              <w:spacing w:after="80" w:line="340" w:lineRule="exact"/>
            </w:pPr>
          </w:p>
        </w:tc>
        <w:tc>
          <w:tcPr>
            <w:tcW w:w="2236" w:type="dxa"/>
            <w:tcBorders>
              <w:top w:val="nil"/>
              <w:left w:val="nil"/>
              <w:bottom w:val="single" w:sz="4" w:space="0" w:color="auto"/>
              <w:right w:val="nil"/>
            </w:tcBorders>
            <w:vAlign w:val="bottom"/>
          </w:tcPr>
          <w:p w14:paraId="112D6F3B" w14:textId="77777777" w:rsidR="00D13DCC" w:rsidRPr="006500BA" w:rsidRDefault="00D13DCC" w:rsidP="00C6661D">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1710E674" w14:textId="7B2B0608" w:rsidR="00D13DCC" w:rsidRPr="006500BA" w:rsidRDefault="00D13DCC" w:rsidP="00FB528C">
            <w:pPr>
              <w:jc w:val="right"/>
            </w:pPr>
            <w:r w:rsidRPr="00771489">
              <w:rPr>
                <w:sz w:val="40"/>
              </w:rPr>
              <w:t>ST</w:t>
            </w:r>
            <w:r w:rsidR="00634235">
              <w:t>/SG/AC.10/C.4</w:t>
            </w:r>
            <w:bookmarkStart w:id="0" w:name="_GoBack"/>
            <w:bookmarkEnd w:id="0"/>
            <w:r>
              <w:t>/201</w:t>
            </w:r>
            <w:r w:rsidR="00DB3FEF">
              <w:t>7</w:t>
            </w:r>
            <w:r>
              <w:t>/</w:t>
            </w:r>
            <w:r w:rsidR="00FB528C">
              <w:t>3</w:t>
            </w:r>
          </w:p>
        </w:tc>
      </w:tr>
      <w:tr w:rsidR="00D13DCC" w:rsidRPr="006500BA" w14:paraId="29A883D2" w14:textId="77777777" w:rsidTr="00C6661D">
        <w:trPr>
          <w:trHeight w:val="2835"/>
        </w:trPr>
        <w:tc>
          <w:tcPr>
            <w:tcW w:w="1259" w:type="dxa"/>
            <w:tcBorders>
              <w:top w:val="single" w:sz="4" w:space="0" w:color="auto"/>
              <w:left w:val="nil"/>
              <w:bottom w:val="single" w:sz="12" w:space="0" w:color="auto"/>
              <w:right w:val="nil"/>
            </w:tcBorders>
          </w:tcPr>
          <w:p w14:paraId="1F19F55A" w14:textId="77777777" w:rsidR="00D13DCC" w:rsidRPr="006500BA" w:rsidRDefault="00BB07EF" w:rsidP="00C6661D">
            <w:pPr>
              <w:spacing w:before="120"/>
              <w:jc w:val="center"/>
            </w:pPr>
            <w:r>
              <w:rPr>
                <w:noProof/>
                <w:lang w:eastAsia="en-GB"/>
              </w:rPr>
              <w:drawing>
                <wp:inline distT="0" distB="0" distL="0" distR="0" wp14:anchorId="5C9579E2" wp14:editId="6D71A7EB">
                  <wp:extent cx="714375" cy="590550"/>
                  <wp:effectExtent l="0" t="0" r="9525"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1E65057" w14:textId="77777777" w:rsidR="00D13DCC" w:rsidRPr="006500BA" w:rsidRDefault="00D13DCC" w:rsidP="00C6661D">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3BA500DB" w14:textId="77777777" w:rsidR="00D13DCC" w:rsidRDefault="00D13DCC" w:rsidP="00C6661D">
            <w:pPr>
              <w:spacing w:before="240" w:line="240" w:lineRule="exact"/>
            </w:pPr>
            <w:r>
              <w:t>Distr.: General</w:t>
            </w:r>
          </w:p>
          <w:p w14:paraId="441EB6F0" w14:textId="475EC108" w:rsidR="00D13DCC" w:rsidRDefault="006F1C86" w:rsidP="00C6661D">
            <w:pPr>
              <w:spacing w:line="240" w:lineRule="exact"/>
            </w:pPr>
            <w:r>
              <w:t xml:space="preserve">25 </w:t>
            </w:r>
            <w:r w:rsidR="00D13DCC">
              <w:t xml:space="preserve">April </w:t>
            </w:r>
            <w:r w:rsidR="00DB3FEF">
              <w:t>2017</w:t>
            </w:r>
          </w:p>
          <w:p w14:paraId="695CE5CF" w14:textId="77777777" w:rsidR="00D13DCC" w:rsidRDefault="00D13DCC" w:rsidP="00C6661D">
            <w:pPr>
              <w:spacing w:line="240" w:lineRule="exact"/>
            </w:pPr>
          </w:p>
          <w:p w14:paraId="2BE92120" w14:textId="77777777" w:rsidR="00D13DCC" w:rsidRPr="006500BA" w:rsidRDefault="00D13DCC" w:rsidP="00C6661D">
            <w:pPr>
              <w:spacing w:line="240" w:lineRule="exact"/>
            </w:pPr>
            <w:r>
              <w:t>Original: English</w:t>
            </w:r>
          </w:p>
        </w:tc>
      </w:tr>
    </w:tbl>
    <w:p w14:paraId="40D5D5CC" w14:textId="77777777" w:rsidR="00DB3FEF" w:rsidRPr="009F0F06" w:rsidRDefault="00DB3FEF" w:rsidP="00DB3FEF">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677CA06" w14:textId="77777777" w:rsidR="00DB3FEF" w:rsidRPr="009F0F06" w:rsidRDefault="00DB3FEF" w:rsidP="00DB3FEF">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1C8E3CFF" w14:textId="77777777" w:rsidR="00DB3FEF" w:rsidRDefault="00DB3FEF" w:rsidP="00DB3FEF">
      <w:pPr>
        <w:spacing w:before="120"/>
        <w:rPr>
          <w:b/>
        </w:rPr>
      </w:pPr>
      <w:r>
        <w:rPr>
          <w:b/>
        </w:rPr>
        <w:t xml:space="preserve">Thirty-third </w:t>
      </w:r>
      <w:proofErr w:type="gramStart"/>
      <w:r>
        <w:rPr>
          <w:b/>
        </w:rPr>
        <w:t>session</w:t>
      </w:r>
      <w:proofErr w:type="gramEnd"/>
    </w:p>
    <w:p w14:paraId="17C6BCEF" w14:textId="77777777" w:rsidR="00DB3FEF" w:rsidRDefault="00DB3FEF" w:rsidP="00DB3FEF">
      <w:r>
        <w:t>Geneva, 10-12 July 2017</w:t>
      </w:r>
    </w:p>
    <w:p w14:paraId="3E4ADC70" w14:textId="77777777" w:rsidR="00DB3FEF" w:rsidRDefault="00DB3FEF" w:rsidP="00DB3FEF">
      <w:r>
        <w:t>Item 2 (c) of the provisional agenda</w:t>
      </w:r>
    </w:p>
    <w:p w14:paraId="58F796B1" w14:textId="77777777" w:rsidR="00DB3FEF" w:rsidRPr="00787FB2" w:rsidRDefault="00DB3FEF" w:rsidP="00DB3FEF">
      <w:pPr>
        <w:rPr>
          <w:b/>
        </w:rPr>
      </w:pPr>
      <w:r w:rsidRPr="00787FB2">
        <w:rPr>
          <w:b/>
        </w:rPr>
        <w:t>Classification criteria and related hazard communication:</w:t>
      </w:r>
    </w:p>
    <w:p w14:paraId="2D5CF49F" w14:textId="77777777" w:rsidR="00DB3FEF" w:rsidRDefault="00DB3FEF" w:rsidP="00DB3FEF">
      <w:r w:rsidRPr="00787FB2">
        <w:rPr>
          <w:b/>
        </w:rPr>
        <w:t>Dust explosion hazards</w:t>
      </w:r>
    </w:p>
    <w:p w14:paraId="622135F3" w14:textId="0C4AB985" w:rsidR="00DB3FEF" w:rsidRPr="00FC7B88" w:rsidRDefault="00C6661D" w:rsidP="00DB3FEF">
      <w:pPr>
        <w:pStyle w:val="HChG"/>
        <w:rPr>
          <w:rFonts w:eastAsia="MS Mincho"/>
        </w:rPr>
      </w:pPr>
      <w:r>
        <w:tab/>
      </w:r>
      <w:r>
        <w:tab/>
      </w:r>
      <w:r w:rsidR="00DB3FEF" w:rsidRPr="00FC7B88">
        <w:rPr>
          <w:rFonts w:eastAsia="MS Mincho"/>
        </w:rPr>
        <w:t xml:space="preserve">Proposed annex to address dust explosion hazards </w:t>
      </w:r>
    </w:p>
    <w:p w14:paraId="2F1FA257" w14:textId="7825D130" w:rsidR="00DB3FEF" w:rsidRDefault="00DB3FEF" w:rsidP="00DB3FEF">
      <w:pPr>
        <w:pStyle w:val="H1G"/>
      </w:pPr>
      <w:r>
        <w:tab/>
      </w:r>
      <w:r>
        <w:tab/>
        <w:t>Transmitted by the expert from the United States on behalf of the correspondence group</w:t>
      </w:r>
      <w:r w:rsidR="00183B43">
        <w:rPr>
          <w:rStyle w:val="FootnoteReference"/>
        </w:rPr>
        <w:footnoteReference w:id="2"/>
      </w:r>
    </w:p>
    <w:p w14:paraId="6BA3AF21" w14:textId="77777777" w:rsidR="00DB3FEF" w:rsidRDefault="00DB3FEF" w:rsidP="00DB3FEF">
      <w:pPr>
        <w:pStyle w:val="HChG"/>
      </w:pPr>
      <w:r>
        <w:rPr>
          <w:rFonts w:eastAsia="MS Mincho"/>
        </w:rPr>
        <w:tab/>
      </w:r>
      <w:r>
        <w:rPr>
          <w:rFonts w:eastAsia="MS Mincho"/>
        </w:rPr>
        <w:tab/>
      </w:r>
      <w:r>
        <w:t xml:space="preserve">Introduction </w:t>
      </w:r>
    </w:p>
    <w:p w14:paraId="018288CB" w14:textId="09AA9B56" w:rsidR="00DB3FEF" w:rsidRPr="00FC7B88" w:rsidRDefault="00DB3FEF" w:rsidP="00DB3FEF">
      <w:pPr>
        <w:pStyle w:val="SingleTxtG"/>
      </w:pPr>
      <w:r w:rsidRPr="00FC7B88">
        <w:t>1.</w:t>
      </w:r>
      <w:r w:rsidRPr="00FC7B88">
        <w:tab/>
        <w:t xml:space="preserve">At the </w:t>
      </w:r>
      <w:r>
        <w:t>thirty-second</w:t>
      </w:r>
      <w:r w:rsidRPr="00FC7B88">
        <w:t xml:space="preserve"> session of the </w:t>
      </w:r>
      <w:r>
        <w:t>Sub-Committee</w:t>
      </w:r>
      <w:r w:rsidRPr="00FC7B88">
        <w:t xml:space="preserve">, the correspondence group submitted an informal paper presenting a draft annex addressing dust explosion hazards for </w:t>
      </w:r>
      <w:r>
        <w:t xml:space="preserve">its </w:t>
      </w:r>
      <w:r w:rsidR="003D1DD3">
        <w:t>consideration.   The Sub-C</w:t>
      </w:r>
      <w:r w:rsidRPr="00FC7B88">
        <w:t xml:space="preserve">ommittee noted the work done by the correspondence group and requested a working paper at the next session.  This working paper presents a revised annex – the result of the work by the correspondence group since the </w:t>
      </w:r>
      <w:r>
        <w:t>thirty-second</w:t>
      </w:r>
      <w:r w:rsidRPr="00FC7B88">
        <w:t xml:space="preserve"> session.  The paper also provides a review of the work performed by the correspondence group identified to address dust explosion hazards in the GHS.  </w:t>
      </w:r>
    </w:p>
    <w:p w14:paraId="07C67458" w14:textId="4EEB04A7" w:rsidR="00DB3FEF" w:rsidRPr="00FC7B88" w:rsidRDefault="00DB3FEF" w:rsidP="00DB3FEF">
      <w:pPr>
        <w:pStyle w:val="HChG"/>
        <w:rPr>
          <w:rFonts w:eastAsia="MS Mincho"/>
        </w:rPr>
      </w:pPr>
      <w:r>
        <w:rPr>
          <w:rFonts w:eastAsia="MS Mincho"/>
        </w:rPr>
        <w:tab/>
      </w:r>
      <w:r>
        <w:rPr>
          <w:rFonts w:eastAsia="MS Mincho"/>
        </w:rPr>
        <w:tab/>
      </w:r>
      <w:r w:rsidRPr="00FC7B88">
        <w:rPr>
          <w:rFonts w:eastAsia="MS Mincho"/>
        </w:rPr>
        <w:t>Background</w:t>
      </w:r>
    </w:p>
    <w:p w14:paraId="636A07F8" w14:textId="2B616830" w:rsidR="00DB3FEF" w:rsidRPr="00FC7B88" w:rsidRDefault="00DB3FEF" w:rsidP="00DB3FEF">
      <w:pPr>
        <w:pStyle w:val="SingleTxtG"/>
      </w:pPr>
      <w:r w:rsidRPr="008A64F8">
        <w:t>2.</w:t>
      </w:r>
      <w:r w:rsidRPr="008A64F8">
        <w:tab/>
        <w:t xml:space="preserve">At the seventeenth session of the </w:t>
      </w:r>
      <w:r>
        <w:t>Sub-Committee</w:t>
      </w:r>
      <w:r w:rsidRPr="008A64F8">
        <w:t xml:space="preserve">, the expert from the United States introduced a paper proposing that the hazards presented by dust explosions be included in the GHS </w:t>
      </w:r>
      <w:r>
        <w:t>(</w:t>
      </w:r>
      <w:r w:rsidRPr="00FC7B88">
        <w:t>ST/SG/AC.10/C.4/2009/6</w:t>
      </w:r>
      <w:r>
        <w:t>)</w:t>
      </w:r>
      <w:r w:rsidRPr="00FC7B88">
        <w:t>.  The Sub-</w:t>
      </w:r>
      <w:r w:rsidR="00373601">
        <w:t>C</w:t>
      </w:r>
      <w:r w:rsidR="00373601" w:rsidRPr="00FC7B88">
        <w:t xml:space="preserve">ommittee </w:t>
      </w:r>
      <w:r w:rsidRPr="00FC7B88">
        <w:t xml:space="preserve">agreed that work could begin on the topic, including an analysis of existing practices and regulations addressing dust </w:t>
      </w:r>
      <w:r w:rsidRPr="00FC7B88">
        <w:lastRenderedPageBreak/>
        <w:t xml:space="preserve">explosion hazards </w:t>
      </w:r>
      <w:r>
        <w:t>(</w:t>
      </w:r>
      <w:r w:rsidRPr="00FC7B88">
        <w:t>ST/SG/AC.10/C.4/34</w:t>
      </w:r>
      <w:r w:rsidR="00373601">
        <w:t>, paragraphs 9 to 13</w:t>
      </w:r>
      <w:r>
        <w:t>)</w:t>
      </w:r>
      <w:r w:rsidRPr="00FC7B88">
        <w:t xml:space="preserve">.  Over the next biennium, the correspondence group developed and distributed a survey to experts representing member countries and non-governmental organizations.  </w:t>
      </w:r>
    </w:p>
    <w:p w14:paraId="75C09CAE" w14:textId="2FB10BD2" w:rsidR="00DB3FEF" w:rsidRPr="00FC7B88" w:rsidRDefault="00DB3FEF" w:rsidP="00DB3FEF">
      <w:pPr>
        <w:pStyle w:val="SingleTxtG"/>
      </w:pPr>
      <w:r w:rsidRPr="00FC7B88">
        <w:t>3.</w:t>
      </w:r>
      <w:r w:rsidRPr="00FC7B88">
        <w:tab/>
        <w:t xml:space="preserve">Upon completion of the survey, the correspondence group identified three </w:t>
      </w:r>
      <w:proofErr w:type="spellStart"/>
      <w:r w:rsidRPr="00FC7B88">
        <w:t>workstreams</w:t>
      </w:r>
      <w:proofErr w:type="spellEnd"/>
      <w:r w:rsidRPr="00FC7B88">
        <w:t xml:space="preserve"> to address how dust explosion hazards should be addressed in the GHS </w:t>
      </w:r>
      <w:r>
        <w:t>(</w:t>
      </w:r>
      <w:r w:rsidRPr="00FC7B88">
        <w:t xml:space="preserve">see </w:t>
      </w:r>
      <w:r>
        <w:t>informal document INF.21, thirty-third session)</w:t>
      </w:r>
      <w:r w:rsidRPr="00FC7B88">
        <w:t xml:space="preserve">.  These </w:t>
      </w:r>
      <w:proofErr w:type="spellStart"/>
      <w:r w:rsidRPr="00FC7B88">
        <w:t>workstreams</w:t>
      </w:r>
      <w:proofErr w:type="spellEnd"/>
      <w:r w:rsidRPr="00FC7B88">
        <w:t xml:space="preserve"> are listed below:</w:t>
      </w:r>
    </w:p>
    <w:p w14:paraId="7947B0CD" w14:textId="77777777" w:rsidR="00DB3FEF" w:rsidRDefault="00DB3FEF" w:rsidP="00DB3FEF">
      <w:pPr>
        <w:pStyle w:val="Bullet1G"/>
        <w:numPr>
          <w:ilvl w:val="0"/>
          <w:numId w:val="17"/>
        </w:numPr>
      </w:pPr>
      <w:proofErr w:type="spellStart"/>
      <w:r w:rsidRPr="00F16667">
        <w:rPr>
          <w:u w:val="single"/>
        </w:rPr>
        <w:t>Workstream</w:t>
      </w:r>
      <w:proofErr w:type="spellEnd"/>
      <w:r w:rsidRPr="00F16667">
        <w:rPr>
          <w:u w:val="single"/>
        </w:rPr>
        <w:t xml:space="preserve"> 1:</w:t>
      </w:r>
      <w:r>
        <w:t xml:space="preserve">  review the existing national consensus and reference regulations developed by competent authorities, identify the common pieces of information used to communicate the hazards, and determine how and if this information is to be addressed; </w:t>
      </w:r>
    </w:p>
    <w:p w14:paraId="4E569066" w14:textId="77777777" w:rsidR="00DB3FEF" w:rsidRDefault="00DB3FEF" w:rsidP="00DB3FEF">
      <w:pPr>
        <w:pStyle w:val="Bullet1G"/>
        <w:numPr>
          <w:ilvl w:val="0"/>
          <w:numId w:val="17"/>
        </w:numPr>
      </w:pPr>
      <w:proofErr w:type="spellStart"/>
      <w:r w:rsidRPr="00F16667">
        <w:rPr>
          <w:u w:val="single"/>
        </w:rPr>
        <w:t>Workstream</w:t>
      </w:r>
      <w:proofErr w:type="spellEnd"/>
      <w:r w:rsidRPr="00F16667">
        <w:rPr>
          <w:u w:val="single"/>
        </w:rPr>
        <w:t xml:space="preserve"> </w:t>
      </w:r>
      <w:r>
        <w:rPr>
          <w:u w:val="single"/>
        </w:rPr>
        <w:t xml:space="preserve"> </w:t>
      </w:r>
      <w:r w:rsidRPr="00F16667">
        <w:rPr>
          <w:u w:val="single"/>
        </w:rPr>
        <w:t>2:</w:t>
      </w:r>
      <w:r>
        <w:t xml:space="preserve">  ensure that any information proposed to be included in section 9 of the Safety Data Sheet (SDS) is communicated to the informal group on Section 9 of Annex 4; </w:t>
      </w:r>
    </w:p>
    <w:p w14:paraId="69EE707E" w14:textId="77777777" w:rsidR="00DB3FEF" w:rsidRDefault="00DB3FEF" w:rsidP="00DB3FEF">
      <w:pPr>
        <w:pStyle w:val="Bullet1G"/>
        <w:numPr>
          <w:ilvl w:val="0"/>
          <w:numId w:val="17"/>
        </w:numPr>
        <w:rPr>
          <w:bCs/>
        </w:rPr>
      </w:pPr>
      <w:proofErr w:type="spellStart"/>
      <w:r w:rsidRPr="00F16667">
        <w:rPr>
          <w:u w:val="single"/>
        </w:rPr>
        <w:t>Workstream</w:t>
      </w:r>
      <w:proofErr w:type="spellEnd"/>
      <w:r w:rsidRPr="00F16667">
        <w:rPr>
          <w:u w:val="single"/>
        </w:rPr>
        <w:t xml:space="preserve"> 3:</w:t>
      </w:r>
      <w:r>
        <w:t xml:space="preserve">  start the discussion and develop an outline or work plan for a separate chapter in the GHS containing more detailed information on the conditions under which a dust explosion hazard could be encountered.</w:t>
      </w:r>
    </w:p>
    <w:p w14:paraId="7B5E9100" w14:textId="6D6DE110" w:rsidR="00DB3FEF" w:rsidRPr="00FC7B88" w:rsidRDefault="00DB3FEF" w:rsidP="00DB3FEF">
      <w:pPr>
        <w:pStyle w:val="SingleTxtG"/>
      </w:pPr>
      <w:r w:rsidRPr="00FC7B88">
        <w:t>4.</w:t>
      </w:r>
      <w:r w:rsidRPr="00FC7B88">
        <w:tab/>
        <w:t xml:space="preserve">Over the next several sessions, the correspondence group worked on issues associated with </w:t>
      </w:r>
      <w:proofErr w:type="spellStart"/>
      <w:r w:rsidRPr="00FC7B88">
        <w:t>Workstreams</w:t>
      </w:r>
      <w:proofErr w:type="spellEnd"/>
      <w:r w:rsidRPr="00FC7B88">
        <w:t xml:space="preserve"> 1 and 2.  At its </w:t>
      </w:r>
      <w:r>
        <w:t>twenty-fourth</w:t>
      </w:r>
      <w:r w:rsidRPr="00FC7B88">
        <w:t xml:space="preserve"> session, the </w:t>
      </w:r>
      <w:r>
        <w:t>Sub-Committee</w:t>
      </w:r>
      <w:r w:rsidRPr="00FC7B88">
        <w:t xml:space="preserve"> adopted the proposals to provide guidance on communication of dust explosion hazards on the </w:t>
      </w:r>
      <w:r>
        <w:t>SDS</w:t>
      </w:r>
      <w:r w:rsidRPr="00FC7B88">
        <w:t xml:space="preserve"> in annex 4 to the GHS </w:t>
      </w:r>
      <w:r>
        <w:t>(</w:t>
      </w:r>
      <w:r w:rsidRPr="00FC7B88">
        <w:t>see ST/SG/AC.10/C.4/48</w:t>
      </w:r>
      <w:r w:rsidR="00EC71A2">
        <w:t>,</w:t>
      </w:r>
      <w:r w:rsidR="00373601">
        <w:t xml:space="preserve"> paragraph 32</w:t>
      </w:r>
      <w:r>
        <w:t>)</w:t>
      </w:r>
      <w:r w:rsidRPr="00FC7B88">
        <w:t>.</w:t>
      </w:r>
    </w:p>
    <w:p w14:paraId="75ED972C" w14:textId="00591839" w:rsidR="00DB3FEF" w:rsidRPr="00FC7B88" w:rsidRDefault="00DB3FEF" w:rsidP="00DB3FEF">
      <w:pPr>
        <w:pStyle w:val="SingleTxtG"/>
      </w:pPr>
      <w:r>
        <w:t>5</w:t>
      </w:r>
      <w:r w:rsidRPr="00FC7B88">
        <w:t>.</w:t>
      </w:r>
      <w:r w:rsidRPr="00FC7B88">
        <w:tab/>
        <w:t xml:space="preserve">Over the next several sessions, the correspondence group continued work on </w:t>
      </w:r>
      <w:proofErr w:type="spellStart"/>
      <w:r w:rsidR="00EC71A2" w:rsidRPr="00FC7B88">
        <w:t>Workstream</w:t>
      </w:r>
      <w:proofErr w:type="spellEnd"/>
      <w:r w:rsidR="00EC71A2" w:rsidRPr="00FC7B88">
        <w:t xml:space="preserve"> </w:t>
      </w:r>
      <w:r w:rsidRPr="00FC7B88">
        <w:t xml:space="preserve">3.  At the </w:t>
      </w:r>
      <w:r>
        <w:t>thirtieth</w:t>
      </w:r>
      <w:r w:rsidRPr="00FC7B88">
        <w:t xml:space="preserve"> session, the Sub-</w:t>
      </w:r>
      <w:r>
        <w:t>C</w:t>
      </w:r>
      <w:r w:rsidRPr="00FC7B88">
        <w:t xml:space="preserve">ommittee noted that the correspondence group agreed that work on </w:t>
      </w:r>
      <w:proofErr w:type="spellStart"/>
      <w:r w:rsidR="00EC71A2" w:rsidRPr="00FC7B88">
        <w:t>Workstream</w:t>
      </w:r>
      <w:proofErr w:type="spellEnd"/>
      <w:r w:rsidR="00EC71A2" w:rsidRPr="00FC7B88">
        <w:t xml:space="preserve"> </w:t>
      </w:r>
      <w:r w:rsidRPr="00FC7B88">
        <w:t xml:space="preserve">3 should proceed by providing guidance in the form of an annex to the GHS, using a “thought-starter” provided by the expert from Germany. It would include definitions and hazard identification criteria and address risk management options, and would provide guidance for harmonized hazard communication for those competent authorities who might wish to use it </w:t>
      </w:r>
      <w:r>
        <w:t>(</w:t>
      </w:r>
      <w:r w:rsidRPr="00FC7B88">
        <w:t>see ST/SG/AC.10/C.4/60</w:t>
      </w:r>
      <w:r w:rsidR="00373601">
        <w:t>, paragraphs 13 to 19</w:t>
      </w:r>
      <w:r>
        <w:t>)</w:t>
      </w:r>
      <w:r w:rsidRPr="00FC7B88">
        <w:t xml:space="preserve">.  </w:t>
      </w:r>
    </w:p>
    <w:p w14:paraId="36CD5BA9" w14:textId="31C55408" w:rsidR="00DB3FEF" w:rsidRPr="00FC7B88" w:rsidRDefault="00DB3FEF" w:rsidP="00DB3FEF">
      <w:pPr>
        <w:pStyle w:val="SingleTxtG"/>
      </w:pPr>
      <w:r>
        <w:t>6</w:t>
      </w:r>
      <w:r w:rsidRPr="00FC7B88">
        <w:t>.</w:t>
      </w:r>
      <w:r w:rsidRPr="00FC7B88">
        <w:tab/>
        <w:t xml:space="preserve">The development of the annex proceeded quickly, resulting in an informal </w:t>
      </w:r>
      <w:r>
        <w:t>document</w:t>
      </w:r>
      <w:r w:rsidRPr="00FC7B88">
        <w:t xml:space="preserve"> presenting a draft annex for consideration by the </w:t>
      </w:r>
      <w:r>
        <w:t>Sub-Committee</w:t>
      </w:r>
      <w:r w:rsidRPr="00FC7B88">
        <w:t xml:space="preserve"> at the </w:t>
      </w:r>
      <w:r>
        <w:t>thirty-second</w:t>
      </w:r>
      <w:r w:rsidRPr="00FC7B88">
        <w:t xml:space="preserve"> session </w:t>
      </w:r>
      <w:r>
        <w:t>(</w:t>
      </w:r>
      <w:r w:rsidRPr="00FC7B88">
        <w:t>see INF.23</w:t>
      </w:r>
      <w:r>
        <w:t>, thirty-second session)</w:t>
      </w:r>
      <w:r w:rsidRPr="00FC7B88">
        <w:t xml:space="preserve">.  At the </w:t>
      </w:r>
      <w:r>
        <w:t>thirty-second</w:t>
      </w:r>
      <w:r w:rsidRPr="00FC7B88">
        <w:t xml:space="preserve"> session the </w:t>
      </w:r>
      <w:r w:rsidR="00373601">
        <w:br/>
      </w:r>
      <w:r w:rsidRPr="00FC7B88">
        <w:t>Sub-</w:t>
      </w:r>
      <w:r>
        <w:t>C</w:t>
      </w:r>
      <w:r w:rsidRPr="00FC7B88">
        <w:t xml:space="preserve">ommittee noted the work by the correspondence group and its intent to submit a formal proposal for the thirty-third session </w:t>
      </w:r>
      <w:r>
        <w:t>(</w:t>
      </w:r>
      <w:r w:rsidRPr="00FC7B88">
        <w:t>see ST/SG/AC.10/C.4/64</w:t>
      </w:r>
      <w:r w:rsidR="00373601">
        <w:t>, paragraphs 26 and 27</w:t>
      </w:r>
      <w:r>
        <w:t>)</w:t>
      </w:r>
      <w:r w:rsidRPr="00FC7B88">
        <w:t xml:space="preserve">.  </w:t>
      </w:r>
    </w:p>
    <w:p w14:paraId="7F4232CA" w14:textId="77777777" w:rsidR="00DB3FEF" w:rsidRPr="00FC7B88" w:rsidRDefault="00DB3FEF" w:rsidP="00DB3FEF">
      <w:pPr>
        <w:pStyle w:val="HChG"/>
        <w:rPr>
          <w:rFonts w:eastAsia="MS Mincho"/>
        </w:rPr>
      </w:pPr>
      <w:r w:rsidRPr="00FC7B88">
        <w:rPr>
          <w:rFonts w:eastAsia="MS Mincho"/>
        </w:rPr>
        <w:tab/>
      </w:r>
      <w:r w:rsidRPr="00FC7B88">
        <w:rPr>
          <w:rFonts w:eastAsia="MS Mincho"/>
        </w:rPr>
        <w:tab/>
        <w:t xml:space="preserve">Overview of </w:t>
      </w:r>
      <w:r>
        <w:rPr>
          <w:rFonts w:eastAsia="MS Mincho"/>
        </w:rPr>
        <w:t>d</w:t>
      </w:r>
      <w:r w:rsidRPr="00FC7B88">
        <w:rPr>
          <w:rFonts w:eastAsia="MS Mincho"/>
        </w:rPr>
        <w:t xml:space="preserve">ust </w:t>
      </w:r>
      <w:r>
        <w:rPr>
          <w:rFonts w:eastAsia="MS Mincho"/>
        </w:rPr>
        <w:t>e</w:t>
      </w:r>
      <w:r w:rsidRPr="00FC7B88">
        <w:rPr>
          <w:rFonts w:eastAsia="MS Mincho"/>
        </w:rPr>
        <w:t xml:space="preserve">xplosion </w:t>
      </w:r>
      <w:r>
        <w:rPr>
          <w:rFonts w:eastAsia="MS Mincho"/>
        </w:rPr>
        <w:t>h</w:t>
      </w:r>
      <w:r w:rsidRPr="00FC7B88">
        <w:rPr>
          <w:rFonts w:eastAsia="MS Mincho"/>
        </w:rPr>
        <w:t xml:space="preserve">azard </w:t>
      </w:r>
      <w:r>
        <w:rPr>
          <w:rFonts w:eastAsia="MS Mincho"/>
        </w:rPr>
        <w:t>a</w:t>
      </w:r>
      <w:r w:rsidRPr="00FC7B88">
        <w:rPr>
          <w:rFonts w:eastAsia="MS Mincho"/>
        </w:rPr>
        <w:t xml:space="preserve">nnex </w:t>
      </w:r>
    </w:p>
    <w:p w14:paraId="29A36BC4" w14:textId="77777777" w:rsidR="00DB3FEF" w:rsidRDefault="00DB3FEF" w:rsidP="00DB3FEF">
      <w:pPr>
        <w:pStyle w:val="SingleTxtG"/>
      </w:pPr>
      <w:r>
        <w:t>7.</w:t>
      </w:r>
      <w:r>
        <w:tab/>
        <w:t>Because of the complexity and severity of the hazards associated with dust explosions, the content and purpose of the annex is slightly different than that of many of the chapters in the GHS.  The annex</w:t>
      </w:r>
      <w:r w:rsidRPr="00420AD2">
        <w:t xml:space="preserve"> </w:t>
      </w:r>
      <w:r>
        <w:t>provides guidance on the factors that contribute to a</w:t>
      </w:r>
      <w:r w:rsidRPr="00420AD2">
        <w:t xml:space="preserve"> dust explosion hazard</w:t>
      </w:r>
      <w:r>
        <w:t xml:space="preserve"> and on hazard identification and the need for </w:t>
      </w:r>
      <w:r w:rsidRPr="00420AD2">
        <w:t>risk assessment, prevention, mitigation</w:t>
      </w:r>
      <w:r>
        <w:t xml:space="preserve">, </w:t>
      </w:r>
      <w:r w:rsidRPr="00420AD2">
        <w:t>and communication.</w:t>
      </w:r>
      <w:r>
        <w:t xml:space="preserve">  Dust hazards may present themselves in two ways - as a hazard present in the supplied form, as well as a hazard that may result from downstream processing.  </w:t>
      </w:r>
    </w:p>
    <w:p w14:paraId="7D6A05C2" w14:textId="729EED4B" w:rsidR="00DB3FEF" w:rsidRDefault="00DB3FEF" w:rsidP="00DB3FEF">
      <w:pPr>
        <w:pStyle w:val="SingleTxtG"/>
      </w:pPr>
      <w:r>
        <w:t>8.</w:t>
      </w:r>
      <w:r>
        <w:tab/>
        <w:t>The annex is organized as follows:</w:t>
      </w:r>
    </w:p>
    <w:p w14:paraId="676BCF39" w14:textId="77777777" w:rsidR="00DB3FEF" w:rsidRDefault="00DB3FEF" w:rsidP="00DB3FEF">
      <w:pPr>
        <w:pStyle w:val="Bullet1G"/>
        <w:numPr>
          <w:ilvl w:val="0"/>
          <w:numId w:val="17"/>
        </w:numPr>
      </w:pPr>
      <w:r>
        <w:t xml:space="preserve">Section 2.2 “Definitions”:  Similar to other sections of the GHS, the annex includes a section on definitions.  The correspondence group used definitions from recognized international and national sources.  </w:t>
      </w:r>
    </w:p>
    <w:p w14:paraId="2DF99F57" w14:textId="77777777" w:rsidR="00DB3FEF" w:rsidRDefault="00DB3FEF" w:rsidP="00DB3FEF">
      <w:pPr>
        <w:pStyle w:val="Bullet1G"/>
        <w:numPr>
          <w:ilvl w:val="0"/>
          <w:numId w:val="17"/>
        </w:numPr>
      </w:pPr>
      <w:r>
        <w:lastRenderedPageBreak/>
        <w:t>Section 2.3 “Identification of combustible dust”:  A decision flow</w:t>
      </w:r>
      <w:r w:rsidR="00C2533D">
        <w:t xml:space="preserve"> </w:t>
      </w:r>
      <w:r>
        <w:t>chart is included so users may more easily understand the factors associated with determining whether a substance, mixture, or solid material should be identified as a combustible dust.  Immediately following the flow</w:t>
      </w:r>
      <w:r w:rsidR="00C2533D">
        <w:t xml:space="preserve"> </w:t>
      </w:r>
      <w:r>
        <w:t>chart, each of the decision boxes is explained in greater detail.</w:t>
      </w:r>
    </w:p>
    <w:p w14:paraId="5C629A14" w14:textId="77777777" w:rsidR="00DB3FEF" w:rsidRDefault="00DB3FEF" w:rsidP="00DB3FEF">
      <w:pPr>
        <w:pStyle w:val="Bullet1G"/>
        <w:numPr>
          <w:ilvl w:val="0"/>
          <w:numId w:val="17"/>
        </w:numPr>
      </w:pPr>
      <w:r>
        <w:t>Section 2.4 “Factors contributing to a dust explosion”: Various factors that contribute to a dust explosion are discussed in this section.</w:t>
      </w:r>
    </w:p>
    <w:p w14:paraId="4DBDEA6D" w14:textId="77777777" w:rsidR="00DB3FEF" w:rsidRDefault="00DB3FEF" w:rsidP="00DB3FEF">
      <w:pPr>
        <w:pStyle w:val="Bullet1G"/>
        <w:numPr>
          <w:ilvl w:val="0"/>
          <w:numId w:val="17"/>
        </w:numPr>
      </w:pPr>
      <w:r>
        <w:t>Section 2.5 “Other factors impacting the severity of a dust explosion”:  The more significant factors that impact the severity of the explosion discussed in this section.</w:t>
      </w:r>
    </w:p>
    <w:p w14:paraId="09D7266D" w14:textId="77777777" w:rsidR="00DB3FEF" w:rsidRDefault="00DB3FEF" w:rsidP="00DB3FEF">
      <w:pPr>
        <w:pStyle w:val="Bullet1G"/>
        <w:numPr>
          <w:ilvl w:val="0"/>
          <w:numId w:val="17"/>
        </w:numPr>
      </w:pPr>
      <w:r>
        <w:t xml:space="preserve">Section 2.6 “Hazard prevention, risk assessment and mitigation”:  Within this section of the annex, two tables are presented to better explain the types of issues that should be considered.  The first table presents </w:t>
      </w:r>
      <w:r w:rsidRPr="005F4603">
        <w:t>the principles of explosion protection</w:t>
      </w:r>
      <w:r>
        <w:t xml:space="preserve">, and includes </w:t>
      </w:r>
      <w:r w:rsidRPr="005F4603">
        <w:t xml:space="preserve">both preventive and </w:t>
      </w:r>
      <w:proofErr w:type="spellStart"/>
      <w:r w:rsidRPr="005F4603">
        <w:t>mitigative</w:t>
      </w:r>
      <w:proofErr w:type="spellEnd"/>
      <w:r w:rsidRPr="005F4603">
        <w:t xml:space="preserve"> measures, </w:t>
      </w:r>
      <w:r>
        <w:t xml:space="preserve">as well as the </w:t>
      </w:r>
      <w:r w:rsidRPr="005F4603">
        <w:t xml:space="preserve">safety characteristics </w:t>
      </w:r>
      <w:r>
        <w:t xml:space="preserve">that </w:t>
      </w:r>
      <w:r w:rsidRPr="005F4603">
        <w:t xml:space="preserve">are most relevant to </w:t>
      </w:r>
      <w:r>
        <w:t>the</w:t>
      </w:r>
      <w:r w:rsidRPr="005F4603">
        <w:t xml:space="preserve"> measure</w:t>
      </w:r>
      <w:r>
        <w:t>s</w:t>
      </w:r>
      <w:r w:rsidRPr="005F4603">
        <w:t xml:space="preserve"> proposed.  The </w:t>
      </w:r>
      <w:r>
        <w:t xml:space="preserve">second </w:t>
      </w:r>
      <w:r w:rsidRPr="005F4603">
        <w:t xml:space="preserve">table </w:t>
      </w:r>
      <w:r w:rsidRPr="00AD712E">
        <w:t xml:space="preserve">uses ignition sources as an example to explain the type of evaluation necessary when considering potential dust explosion protection measures during operations.  </w:t>
      </w:r>
    </w:p>
    <w:p w14:paraId="1DE9DA5F" w14:textId="77777777" w:rsidR="00DB3FEF" w:rsidRDefault="00DB3FEF" w:rsidP="00DB3FEF">
      <w:pPr>
        <w:pStyle w:val="Bullet1G"/>
        <w:numPr>
          <w:ilvl w:val="0"/>
          <w:numId w:val="17"/>
        </w:numPr>
      </w:pPr>
      <w:r>
        <w:t xml:space="preserve">Section 2.7 “Supplemental information for hazard and risk communication”:  For those implementing countries who may wish to have a common way to communicate, this section references the Annex 4 guidance which provides suggested statements for specific sections of the SDS. This section also provides additional suggested phrases for communicating the hazard and risk. </w:t>
      </w:r>
    </w:p>
    <w:p w14:paraId="2F6B3FE3" w14:textId="77777777" w:rsidR="00DB3FEF" w:rsidRDefault="00DB3FEF" w:rsidP="00DB3FEF">
      <w:pPr>
        <w:pStyle w:val="Bullet1G"/>
        <w:numPr>
          <w:ilvl w:val="0"/>
          <w:numId w:val="17"/>
        </w:numPr>
      </w:pPr>
      <w:r>
        <w:t xml:space="preserve">Section 2.8 “References”:  The last section of the annex includes a listing of references on test methods and specifically notes a few existing regulations and guidance documents. </w:t>
      </w:r>
    </w:p>
    <w:p w14:paraId="407EA4FB" w14:textId="77777777" w:rsidR="00DB3FEF" w:rsidRPr="00FC7B88" w:rsidRDefault="00DB3FEF" w:rsidP="00DB3FEF">
      <w:pPr>
        <w:pStyle w:val="HChG"/>
        <w:rPr>
          <w:rFonts w:eastAsia="MS Mincho"/>
        </w:rPr>
      </w:pPr>
      <w:r>
        <w:tab/>
      </w:r>
      <w:r>
        <w:tab/>
      </w:r>
      <w:r w:rsidRPr="00FC7B88">
        <w:t>Proposal</w:t>
      </w:r>
      <w:r w:rsidRPr="00FC7B88">
        <w:rPr>
          <w:rFonts w:eastAsia="MS Mincho"/>
        </w:rPr>
        <w:t xml:space="preserve"> </w:t>
      </w:r>
    </w:p>
    <w:p w14:paraId="558C0FE4" w14:textId="76BCBA36" w:rsidR="00DB3FEF" w:rsidRPr="008E68CF" w:rsidRDefault="00DB3FEF" w:rsidP="00DB3FEF">
      <w:pPr>
        <w:pStyle w:val="SingleTxtG"/>
      </w:pPr>
      <w:r>
        <w:t>9.</w:t>
      </w:r>
      <w:r>
        <w:tab/>
      </w:r>
      <w:r w:rsidRPr="008E68CF">
        <w:t xml:space="preserve">The correspondence group invites the Sub-Committee to consider the recommended </w:t>
      </w:r>
      <w:r>
        <w:t>annex</w:t>
      </w:r>
      <w:r w:rsidRPr="008E68CF">
        <w:t xml:space="preserve"> to the GHS</w:t>
      </w:r>
      <w:r w:rsidR="00B36766">
        <w:t xml:space="preserve"> and the consequential amendments</w:t>
      </w:r>
      <w:r w:rsidRPr="008E68CF">
        <w:t xml:space="preserve"> as set forth in </w:t>
      </w:r>
      <w:r w:rsidR="00FB528C">
        <w:t>annexes</w:t>
      </w:r>
      <w:r w:rsidRPr="008E68CF">
        <w:t xml:space="preserve"> </w:t>
      </w:r>
      <w:r w:rsidR="00B36766">
        <w:t xml:space="preserve">1 and 2 </w:t>
      </w:r>
      <w:r w:rsidRPr="008E68CF">
        <w:t xml:space="preserve">of this document. </w:t>
      </w:r>
    </w:p>
    <w:p w14:paraId="794A8E71" w14:textId="1738A1AB" w:rsidR="00DB3FEF" w:rsidRDefault="00FF2395" w:rsidP="00DB3FEF">
      <w:pPr>
        <w:pStyle w:val="HChG"/>
      </w:pPr>
      <w:r w:rsidRPr="00DB3FEF">
        <w:rPr>
          <w:bCs/>
          <w:highlight w:val="yellow"/>
        </w:rPr>
        <w:br w:type="page"/>
      </w:r>
      <w:r w:rsidR="00DB3FEF">
        <w:lastRenderedPageBreak/>
        <w:tab/>
      </w:r>
      <w:r w:rsidR="00DB3FEF">
        <w:tab/>
      </w:r>
      <w:r w:rsidR="00DB3FEF" w:rsidRPr="00D21EFE">
        <w:t>Annex</w:t>
      </w:r>
      <w:r w:rsidR="00B36766">
        <w:t xml:space="preserve"> 1</w:t>
      </w:r>
    </w:p>
    <w:p w14:paraId="1ED8800D" w14:textId="5505CBDE" w:rsidR="00DB3FEF" w:rsidRDefault="00DB3FEF" w:rsidP="00DB3FEF">
      <w:pPr>
        <w:pStyle w:val="HChG"/>
        <w:spacing w:line="240" w:lineRule="exact"/>
        <w:ind w:left="1138" w:right="1138" w:firstLine="0"/>
        <w:jc w:val="center"/>
      </w:pPr>
      <w:r>
        <w:t xml:space="preserve">“Annex </w:t>
      </w:r>
      <w:r w:rsidR="00A52F7D">
        <w:t>11</w:t>
      </w:r>
    </w:p>
    <w:p w14:paraId="72B52752" w14:textId="77777777" w:rsidR="00DB3FEF" w:rsidRPr="00292F9E" w:rsidRDefault="00DB3FEF" w:rsidP="00DB3FEF">
      <w:pPr>
        <w:pStyle w:val="HChG"/>
        <w:jc w:val="center"/>
      </w:pPr>
      <w:r>
        <w:tab/>
      </w:r>
      <w:r>
        <w:tab/>
      </w:r>
      <w:r w:rsidRPr="00292F9E">
        <w:t>GUIDANCE ON OTHER HAZARDS NOT RESULTING IN CLASSIFICATION</w:t>
      </w:r>
    </w:p>
    <w:p w14:paraId="2AB26243" w14:textId="5A6AF816" w:rsidR="00DB3FEF" w:rsidRPr="00375E0F" w:rsidRDefault="00DB3FEF" w:rsidP="00DB3FEF">
      <w:pPr>
        <w:pStyle w:val="H1G"/>
        <w:rPr>
          <w:sz w:val="20"/>
        </w:rPr>
      </w:pPr>
      <w:r>
        <w:tab/>
      </w:r>
      <w:r>
        <w:tab/>
      </w:r>
      <w:r w:rsidR="00A52F7D" w:rsidRPr="00375E0F">
        <w:rPr>
          <w:sz w:val="20"/>
        </w:rPr>
        <w:t>A</w:t>
      </w:r>
      <w:r w:rsidR="00A52F7D">
        <w:rPr>
          <w:sz w:val="20"/>
        </w:rPr>
        <w:t>11</w:t>
      </w:r>
      <w:r w:rsidRPr="00375E0F">
        <w:rPr>
          <w:sz w:val="20"/>
        </w:rPr>
        <w:t>.1</w:t>
      </w:r>
      <w:r w:rsidRPr="00375E0F">
        <w:rPr>
          <w:sz w:val="20"/>
        </w:rPr>
        <w:tab/>
      </w:r>
      <w:r w:rsidRPr="00375E0F">
        <w:rPr>
          <w:sz w:val="20"/>
        </w:rPr>
        <w:tab/>
        <w:t>Introduction</w:t>
      </w:r>
    </w:p>
    <w:p w14:paraId="1870665B" w14:textId="77777777" w:rsidR="00DB3FEF" w:rsidRPr="00375E0F" w:rsidRDefault="00DB3FEF" w:rsidP="00DB3FEF">
      <w:pPr>
        <w:pStyle w:val="SingleTxtG"/>
        <w:tabs>
          <w:tab w:val="left" w:pos="2268"/>
        </w:tabs>
      </w:pPr>
      <w:r w:rsidRPr="00375E0F">
        <w:tab/>
        <w:t xml:space="preserve">This guidance aims to provide information that facilitates the identification of hazards which do not result in classification, but which may need to be </w:t>
      </w:r>
      <w:proofErr w:type="spellStart"/>
      <w:r w:rsidRPr="00375E0F">
        <w:t>assessed</w:t>
      </w:r>
      <w:proofErr w:type="spellEnd"/>
      <w:r w:rsidRPr="00375E0F">
        <w:t xml:space="preserve"> and communicated.</w:t>
      </w:r>
    </w:p>
    <w:p w14:paraId="2B136583" w14:textId="54BC482C" w:rsidR="00DB3FEF" w:rsidRPr="00375E0F" w:rsidRDefault="00DB3FEF" w:rsidP="00DB3FEF">
      <w:pPr>
        <w:pStyle w:val="H1G"/>
        <w:rPr>
          <w:sz w:val="20"/>
        </w:rPr>
      </w:pPr>
      <w:r w:rsidRPr="00375E0F">
        <w:rPr>
          <w:sz w:val="20"/>
        </w:rPr>
        <w:tab/>
      </w:r>
      <w:r w:rsidRPr="00375E0F">
        <w:rPr>
          <w:sz w:val="20"/>
        </w:rPr>
        <w:tab/>
      </w:r>
      <w:r w:rsidR="00A52F7D" w:rsidRPr="00375E0F">
        <w:rPr>
          <w:sz w:val="20"/>
        </w:rPr>
        <w:t>A</w:t>
      </w:r>
      <w:r w:rsidR="00A52F7D">
        <w:rPr>
          <w:sz w:val="20"/>
        </w:rPr>
        <w:t>11</w:t>
      </w:r>
      <w:r w:rsidRPr="00375E0F">
        <w:rPr>
          <w:sz w:val="20"/>
        </w:rPr>
        <w:t>.2</w:t>
      </w:r>
      <w:r w:rsidRPr="00375E0F">
        <w:rPr>
          <w:sz w:val="20"/>
        </w:rPr>
        <w:tab/>
      </w:r>
      <w:r w:rsidRPr="00375E0F">
        <w:rPr>
          <w:sz w:val="20"/>
        </w:rPr>
        <w:tab/>
        <w:t>Dust explosions</w:t>
      </w:r>
    </w:p>
    <w:p w14:paraId="222A0BC3" w14:textId="77777777" w:rsidR="00DB3FEF" w:rsidRPr="00375E0F" w:rsidRDefault="00DB3FEF" w:rsidP="00DB3FEF">
      <w:pPr>
        <w:pStyle w:val="SingleTxtG"/>
      </w:pPr>
      <w:r w:rsidRPr="00375E0F">
        <w:t>This section provides guidance on the factors that contribute to a dust explosion hazard and on hazard identification and the need for risk assessment, prevention, mitigation, and communication.</w:t>
      </w:r>
    </w:p>
    <w:p w14:paraId="42120205" w14:textId="56299434" w:rsidR="00DB3FEF" w:rsidRPr="00375E0F" w:rsidRDefault="00DB3FEF" w:rsidP="00DB3FEF">
      <w:pPr>
        <w:pStyle w:val="H23G"/>
        <w:rPr>
          <w:i/>
        </w:rPr>
      </w:pPr>
      <w:r w:rsidRPr="00375E0F">
        <w:tab/>
      </w:r>
      <w:r w:rsidRPr="00375E0F">
        <w:tab/>
      </w:r>
      <w:r w:rsidR="00A52F7D" w:rsidRPr="00375E0F">
        <w:t>A</w:t>
      </w:r>
      <w:r w:rsidR="00A52F7D">
        <w:t>11</w:t>
      </w:r>
      <w:r w:rsidRPr="00375E0F">
        <w:t>.2.1</w:t>
      </w:r>
      <w:r w:rsidRPr="00375E0F">
        <w:tab/>
      </w:r>
      <w:r w:rsidRPr="00375E0F">
        <w:rPr>
          <w:i/>
        </w:rPr>
        <w:t>Scope and applicability</w:t>
      </w:r>
    </w:p>
    <w:p w14:paraId="47E44CE9" w14:textId="14276F07" w:rsidR="00DB3FEF" w:rsidRPr="005F4603" w:rsidRDefault="00A52F7D" w:rsidP="00DB3FEF">
      <w:pPr>
        <w:pStyle w:val="SingleTxtG"/>
      </w:pPr>
      <w:r w:rsidRPr="00375E0F">
        <w:t>A</w:t>
      </w:r>
      <w:r>
        <w:t>11.</w:t>
      </w:r>
      <w:r w:rsidRPr="00375E0F">
        <w:t>2</w:t>
      </w:r>
      <w:r w:rsidR="00DB3FEF" w:rsidRPr="00375E0F">
        <w:t>.1.1</w:t>
      </w:r>
      <w:r w:rsidR="00DB3FEF" w:rsidRPr="00375E0F">
        <w:tab/>
        <w:t>Any solid substance or mixture, which is combustible, may pose a dust explosion risk when in the form of fine particles in an</w:t>
      </w:r>
      <w:r w:rsidR="00DB3FEF" w:rsidRPr="003E18A3">
        <w:t xml:space="preserve"> oxidizing atmosphere such as air. </w:t>
      </w:r>
      <w:r w:rsidR="00DB3FEF">
        <w:t>A</w:t>
      </w:r>
      <w:r w:rsidR="00DB3FEF" w:rsidRPr="003E18A3">
        <w:t xml:space="preserve"> risk assessment </w:t>
      </w:r>
      <w:r w:rsidR="00DB3FEF">
        <w:t>may be needed for many</w:t>
      </w:r>
      <w:r w:rsidR="00DB3FEF" w:rsidRPr="003E18A3">
        <w:t xml:space="preserve"> substances</w:t>
      </w:r>
      <w:r w:rsidR="00DB3FEF">
        <w:t xml:space="preserve">, </w:t>
      </w:r>
      <w:r w:rsidR="00DB3FEF" w:rsidRPr="003E18A3">
        <w:t>mixtures</w:t>
      </w:r>
      <w:r w:rsidR="00DB3FEF">
        <w:t>, or solid materials, not just those</w:t>
      </w:r>
      <w:r w:rsidR="00DB3FEF" w:rsidRPr="003E18A3">
        <w:t xml:space="preserve"> classified as flammable solids according to Chapter 2.7.  In addition, dusts may be formed (intentionally or unintentionally) during transfer or movement, or in a facility during handling or mechanical processing (e.g., milling, grinding) of substances/mixtures/</w:t>
      </w:r>
      <w:r w:rsidR="00DB3FEF">
        <w:t>solid material</w:t>
      </w:r>
      <w:r w:rsidR="00DB3FEF" w:rsidRPr="003E18A3">
        <w:t>s (e.g., agricultural commodities, wood products, pharmaceuticals, dyes, coal, metals, plastics).  Thus, the possibil</w:t>
      </w:r>
      <w:r w:rsidR="00DB3FEF" w:rsidRPr="005F4603">
        <w:t xml:space="preserve">ity of the formation of small particles and their potential accumulation should </w:t>
      </w:r>
      <w:r w:rsidR="00DB3FEF">
        <w:t xml:space="preserve">also </w:t>
      </w:r>
      <w:r w:rsidR="00DB3FEF" w:rsidRPr="005F4603">
        <w:t xml:space="preserve">be assessed. </w:t>
      </w:r>
      <w:r w:rsidR="00DB3FEF">
        <w:t>Where</w:t>
      </w:r>
      <w:r w:rsidR="00DB3FEF" w:rsidRPr="005F4603">
        <w:t xml:space="preserve"> a dust explosion risk is identified, effective </w:t>
      </w:r>
      <w:r w:rsidR="00DB3FEF">
        <w:t xml:space="preserve">preventive and protective </w:t>
      </w:r>
      <w:r w:rsidR="00DB3FEF" w:rsidRPr="005F4603">
        <w:t>measures should be implemented as required by national legislation, regulations, or standards.</w:t>
      </w:r>
    </w:p>
    <w:p w14:paraId="1C677158" w14:textId="47DB14BE" w:rsidR="00DB3FEF" w:rsidRPr="00030D6B" w:rsidRDefault="00A52F7D" w:rsidP="00DB3FEF">
      <w:pPr>
        <w:pStyle w:val="SingleTxtG"/>
      </w:pPr>
      <w:r w:rsidRPr="00F47103">
        <w:t>A</w:t>
      </w:r>
      <w:r>
        <w:t>11</w:t>
      </w:r>
      <w:r w:rsidR="00DB3FEF" w:rsidRPr="00F47103">
        <w:t>.</w:t>
      </w:r>
      <w:r w:rsidR="00DB3FEF">
        <w:t>2.1.2</w:t>
      </w:r>
      <w:r w:rsidR="00DB3FEF" w:rsidRPr="00F47103">
        <w:tab/>
        <w:t>This</w:t>
      </w:r>
      <w:r w:rsidR="00DB3FEF" w:rsidRPr="00030D6B">
        <w:t xml:space="preserve"> guidance </w:t>
      </w:r>
      <w:r w:rsidR="00DB3FEF">
        <w:t>identifies</w:t>
      </w:r>
      <w:r w:rsidR="00DB3FEF" w:rsidRPr="00030D6B">
        <w:t xml:space="preserve"> when combustible dusts may be present and thus, when the risk of a dust explosion should be considered. The guidance</w:t>
      </w:r>
      <w:r w:rsidR="00DB3FEF">
        <w:t>:</w:t>
      </w:r>
    </w:p>
    <w:p w14:paraId="4774099F" w14:textId="3F160246" w:rsidR="00DB3FEF" w:rsidRPr="00030D6B" w:rsidDel="00AB20B9" w:rsidRDefault="00DB3FEF" w:rsidP="00DB3FEF">
      <w:pPr>
        <w:pStyle w:val="SingleTxtG"/>
        <w:ind w:left="2835" w:hanging="567"/>
      </w:pPr>
      <w:r w:rsidDel="00AB20B9">
        <w:t>(a)</w:t>
      </w:r>
      <w:r w:rsidDel="00AB20B9">
        <w:tab/>
      </w:r>
      <w:r w:rsidR="00983648" w:rsidRPr="00030D6B">
        <w:t>Gives a flow</w:t>
      </w:r>
      <w:r w:rsidR="00983648">
        <w:t xml:space="preserve"> </w:t>
      </w:r>
      <w:r w:rsidR="00983648" w:rsidRPr="00030D6B">
        <w:t>chart s</w:t>
      </w:r>
      <w:r w:rsidR="00983648">
        <w:t>pecifying</w:t>
      </w:r>
      <w:r w:rsidR="00983648" w:rsidRPr="00030D6B">
        <w:t xml:space="preserve"> the </w:t>
      </w:r>
      <w:r w:rsidR="00983648">
        <w:t>key</w:t>
      </w:r>
      <w:r w:rsidR="00983648" w:rsidRPr="00030D6B">
        <w:t xml:space="preserve"> steps to identify possible dust explosion</w:t>
      </w:r>
      <w:r w:rsidR="00983648">
        <w:t xml:space="preserve">s; </w:t>
      </w:r>
    </w:p>
    <w:p w14:paraId="49A1EBA2" w14:textId="4CCF975F" w:rsidR="00DB3FEF" w:rsidRDefault="00DB3FEF" w:rsidP="00DB3FEF">
      <w:pPr>
        <w:pStyle w:val="SingleTxtG"/>
        <w:ind w:left="2835" w:hanging="567"/>
      </w:pPr>
      <w:r>
        <w:t>(</w:t>
      </w:r>
      <w:proofErr w:type="gramStart"/>
      <w:r>
        <w:t>b</w:t>
      </w:r>
      <w:proofErr w:type="gramEnd"/>
      <w:r>
        <w:t>)</w:t>
      </w:r>
      <w:r>
        <w:tab/>
      </w:r>
      <w:r w:rsidR="00983648" w:rsidDel="00AB20B9">
        <w:t>Ident</w:t>
      </w:r>
      <w:r w:rsidR="00983648" w:rsidRPr="00030D6B" w:rsidDel="00AB20B9">
        <w:t>ifies the factors contributing to a dust explosion</w:t>
      </w:r>
      <w:r w:rsidR="00983648" w:rsidDel="00AB20B9">
        <w:t>;</w:t>
      </w:r>
      <w:r w:rsidR="00983648">
        <w:t xml:space="preserve"> </w:t>
      </w:r>
    </w:p>
    <w:p w14:paraId="63D97BA5" w14:textId="77777777" w:rsidR="00DB3FEF" w:rsidRPr="00030D6B" w:rsidRDefault="00DB3FEF" w:rsidP="00DB3FEF">
      <w:pPr>
        <w:pStyle w:val="SingleTxtG"/>
        <w:ind w:left="2835" w:hanging="567"/>
      </w:pPr>
      <w:r>
        <w:t>(c)</w:t>
      </w:r>
      <w:r>
        <w:tab/>
        <w:t>Set</w:t>
      </w:r>
      <w:r w:rsidRPr="00030D6B">
        <w:t xml:space="preserve">s </w:t>
      </w:r>
      <w:r>
        <w:t xml:space="preserve">out </w:t>
      </w:r>
      <w:r w:rsidRPr="00030D6B">
        <w:t xml:space="preserve">principles of </w:t>
      </w:r>
      <w:r>
        <w:t xml:space="preserve">hazard and </w:t>
      </w:r>
      <w:r w:rsidRPr="00030D6B">
        <w:t>risk management</w:t>
      </w:r>
      <w:r>
        <w:t>;</w:t>
      </w:r>
      <w:r w:rsidRPr="00030D6B">
        <w:t xml:space="preserve"> and</w:t>
      </w:r>
    </w:p>
    <w:p w14:paraId="296941F5" w14:textId="77777777" w:rsidR="00DB3FEF" w:rsidRPr="00030D6B" w:rsidRDefault="00DB3FEF" w:rsidP="00DB3FEF">
      <w:pPr>
        <w:pStyle w:val="SingleTxtG"/>
        <w:ind w:left="2835" w:hanging="567"/>
      </w:pPr>
      <w:r>
        <w:t>(</w:t>
      </w:r>
      <w:proofErr w:type="gramStart"/>
      <w:r>
        <w:t>d</w:t>
      </w:r>
      <w:proofErr w:type="gramEnd"/>
      <w:r>
        <w:t>)</w:t>
      </w:r>
      <w:r>
        <w:tab/>
        <w:t>Indicates where</w:t>
      </w:r>
      <w:r w:rsidRPr="00030D6B">
        <w:t xml:space="preserve"> expert knowledge is required.</w:t>
      </w:r>
    </w:p>
    <w:p w14:paraId="461425C0" w14:textId="3AB79584" w:rsidR="00DB3FEF" w:rsidRPr="00292F9E" w:rsidRDefault="00DB3FEF" w:rsidP="006F1C86">
      <w:pPr>
        <w:pStyle w:val="H23G"/>
        <w:jc w:val="both"/>
      </w:pPr>
      <w:r>
        <w:tab/>
      </w:r>
      <w:r>
        <w:tab/>
      </w:r>
      <w:r w:rsidR="00A52F7D" w:rsidRPr="005F4603">
        <w:t>A</w:t>
      </w:r>
      <w:r w:rsidR="00A52F7D">
        <w:t>11</w:t>
      </w:r>
      <w:r w:rsidRPr="005F4603">
        <w:t>.2.2</w:t>
      </w:r>
      <w:r w:rsidRPr="005F4603">
        <w:tab/>
      </w:r>
      <w:r w:rsidRPr="00375E0F">
        <w:rPr>
          <w:i/>
        </w:rPr>
        <w:t>Definitions</w:t>
      </w:r>
    </w:p>
    <w:p w14:paraId="0DF9171C" w14:textId="77777777" w:rsidR="00DB3FEF" w:rsidRPr="00292F9E" w:rsidRDefault="00DB3FEF" w:rsidP="006F1C86">
      <w:pPr>
        <w:pStyle w:val="SingleTxtG"/>
        <w:rPr>
          <w:rStyle w:val="Emphasis"/>
          <w:i w:val="0"/>
          <w:iCs w:val="0"/>
        </w:rPr>
      </w:pPr>
      <w:r w:rsidRPr="00292F9E">
        <w:rPr>
          <w:rStyle w:val="Emphasis"/>
          <w:i w:val="0"/>
          <w:iCs w:val="0"/>
        </w:rPr>
        <w:t>In this section, the following terms, specific to dust explosion hazards and risks, are used:</w:t>
      </w:r>
    </w:p>
    <w:p w14:paraId="27F85747" w14:textId="539F571A" w:rsidR="00DB3FEF" w:rsidRPr="005F4603" w:rsidRDefault="00DB3FEF" w:rsidP="006F1C86">
      <w:pPr>
        <w:pStyle w:val="SingleTxtG"/>
      </w:pPr>
      <w:r w:rsidRPr="00C2533D">
        <w:rPr>
          <w:rStyle w:val="Emphasis"/>
          <w:b/>
        </w:rPr>
        <w:t>Combustible dust</w:t>
      </w:r>
      <w:r w:rsidRPr="00C2533D">
        <w:rPr>
          <w:i/>
        </w:rPr>
        <w:t>:</w:t>
      </w:r>
      <w:r w:rsidRPr="005F4603">
        <w:t xml:space="preserve"> </w:t>
      </w:r>
      <w:r>
        <w:t>F</w:t>
      </w:r>
      <w:r w:rsidRPr="005F4603">
        <w:t>inely divided solid particles of a substance or mixture that are liable to catch fire or explode on ignition when dispersed in air or other oxidizing media</w:t>
      </w:r>
      <w:r w:rsidR="00C2533D">
        <w:t>;</w:t>
      </w:r>
      <w:r w:rsidRPr="005F4603">
        <w:t xml:space="preserve"> </w:t>
      </w:r>
    </w:p>
    <w:p w14:paraId="7D390AEB" w14:textId="22DD7483" w:rsidR="00DB3FEF" w:rsidRPr="005F4603" w:rsidRDefault="00DB3FEF" w:rsidP="006F1C86">
      <w:pPr>
        <w:pStyle w:val="SingleTxtG"/>
      </w:pPr>
      <w:r w:rsidRPr="00C2533D">
        <w:rPr>
          <w:rStyle w:val="Emphasis"/>
          <w:b/>
        </w:rPr>
        <w:t>Combustion</w:t>
      </w:r>
      <w:r w:rsidRPr="005F4603">
        <w:rPr>
          <w:b/>
          <w:i/>
        </w:rPr>
        <w:t>:</w:t>
      </w:r>
      <w:r w:rsidRPr="005F4603">
        <w:t xml:space="preserve"> Energy releasing (exothermic) oxidation reaction of </w:t>
      </w:r>
      <w:r>
        <w:t>(or</w:t>
      </w:r>
      <w:r w:rsidRPr="005F4603">
        <w:t xml:space="preserve"> with) combustible</w:t>
      </w:r>
      <w:r>
        <w:t xml:space="preserve"> substances/mixtures/solid materials</w:t>
      </w:r>
      <w:r w:rsidR="00C2533D">
        <w:t>;</w:t>
      </w:r>
    </w:p>
    <w:p w14:paraId="1064C831" w14:textId="24CB86EE" w:rsidR="00DB3FEF" w:rsidRDefault="00DB3FEF" w:rsidP="006F1C86">
      <w:pPr>
        <w:pStyle w:val="SingleTxtG"/>
      </w:pPr>
      <w:r w:rsidRPr="00C2533D">
        <w:rPr>
          <w:b/>
          <w:i/>
        </w:rPr>
        <w:lastRenderedPageBreak/>
        <w:t>Dispersion</w:t>
      </w:r>
      <w:r w:rsidRPr="005F4603">
        <w:rPr>
          <w:i/>
        </w:rPr>
        <w:t>:</w:t>
      </w:r>
      <w:r w:rsidRPr="005F4603">
        <w:t xml:space="preserve"> Distribution of fine dust particles in the form of a cloud</w:t>
      </w:r>
      <w:r w:rsidR="00C2533D">
        <w:t>;</w:t>
      </w:r>
    </w:p>
    <w:p w14:paraId="0560CC28" w14:textId="77777777" w:rsidR="00C2533D" w:rsidRPr="003E18A3" w:rsidRDefault="00C2533D" w:rsidP="006F1C86">
      <w:pPr>
        <w:pStyle w:val="SingleTxtG"/>
      </w:pPr>
      <w:r w:rsidRPr="00C2533D">
        <w:rPr>
          <w:rStyle w:val="Emphasis"/>
          <w:b/>
        </w:rPr>
        <w:t>Dust deflagration index (</w:t>
      </w:r>
      <w:proofErr w:type="spellStart"/>
      <w:r w:rsidRPr="00C2533D">
        <w:rPr>
          <w:rStyle w:val="Emphasis"/>
          <w:b/>
        </w:rPr>
        <w:t>K</w:t>
      </w:r>
      <w:r w:rsidRPr="00C2533D">
        <w:rPr>
          <w:rStyle w:val="Emphasis"/>
          <w:b/>
          <w:vertAlign w:val="subscript"/>
        </w:rPr>
        <w:t>st</w:t>
      </w:r>
      <w:proofErr w:type="spellEnd"/>
      <w:r w:rsidRPr="00C2533D">
        <w:rPr>
          <w:rStyle w:val="Emphasis"/>
          <w:b/>
        </w:rPr>
        <w:t>)</w:t>
      </w:r>
      <w:r w:rsidRPr="005F4603">
        <w:rPr>
          <w:b/>
          <w:i/>
        </w:rPr>
        <w:t>:</w:t>
      </w:r>
      <w:r w:rsidRPr="005F4603">
        <w:t xml:space="preserve"> </w:t>
      </w:r>
      <w:r>
        <w:t>A</w:t>
      </w:r>
      <w:r w:rsidRPr="005F4603">
        <w:t xml:space="preserve"> safety characteristic related to the severity of a dust explosion.  The larger the value </w:t>
      </w:r>
      <w:proofErr w:type="gramStart"/>
      <w:r w:rsidRPr="005F4603">
        <w:t xml:space="preserve">for </w:t>
      </w:r>
      <w:proofErr w:type="gramEnd"/>
      <m:oMath>
        <m:sSub>
          <m:sSubPr>
            <m:ctrlPr>
              <w:rPr>
                <w:rFonts w:ascii="Cambria Math" w:hAnsi="Cambria Math"/>
              </w:rPr>
            </m:ctrlPr>
          </m:sSubPr>
          <m:e>
            <m:r>
              <w:rPr>
                <w:rFonts w:ascii="Cambria Math" w:hAnsi="Cambria Math"/>
              </w:rPr>
              <m:t>K</m:t>
            </m:r>
          </m:e>
          <m:sub>
            <m:r>
              <w:rPr>
                <w:rFonts w:ascii="Cambria Math" w:hAnsi="Cambria Math"/>
              </w:rPr>
              <m:t>st</m:t>
            </m:r>
          </m:sub>
        </m:sSub>
      </m:oMath>
      <w:r w:rsidRPr="005F4603">
        <w:t>, the more severe the explosion.</w:t>
      </w:r>
      <w:r>
        <w:t xml:space="preserve"> </w:t>
      </w:r>
      <w:r w:rsidRPr="005F4603">
        <w:t xml:space="preserve"> </w:t>
      </w:r>
      <w:proofErr w:type="spellStart"/>
      <w:r w:rsidRPr="001B7B25">
        <w:rPr>
          <w:i/>
        </w:rPr>
        <w:t>K</w:t>
      </w:r>
      <w:r w:rsidRPr="001B7B25">
        <w:rPr>
          <w:i/>
          <w:vertAlign w:val="subscript"/>
        </w:rPr>
        <w:t>st</w:t>
      </w:r>
      <w:proofErr w:type="spellEnd"/>
      <w:r>
        <w:t xml:space="preserve"> is d</w:t>
      </w:r>
      <w:r w:rsidRPr="001B7338">
        <w:t>ust specific</w:t>
      </w:r>
      <w:r>
        <w:t xml:space="preserve"> and</w:t>
      </w:r>
      <w:r w:rsidRPr="001B7338">
        <w:t xml:space="preserve"> volume independent</w:t>
      </w:r>
      <w:r>
        <w:t>,</w:t>
      </w:r>
      <w:r w:rsidRPr="001B7338">
        <w:t xml:space="preserve"> </w:t>
      </w:r>
      <w:r>
        <w:t>and</w:t>
      </w:r>
      <w:r w:rsidRPr="001B7338">
        <w:t xml:space="preserve"> is calculated using the cubic law equation:</w:t>
      </w:r>
    </w:p>
    <w:p w14:paraId="6D84D187" w14:textId="77777777" w:rsidR="00C2533D" w:rsidRPr="00BB07EF" w:rsidRDefault="00634235" w:rsidP="006F1C86">
      <w:pPr>
        <w:pStyle w:val="NormalIndent"/>
        <w:ind w:right="1134"/>
        <w:jc w:val="both"/>
      </w:pPr>
      <m:oMathPara>
        <m:oMathParaPr>
          <m:jc m:val="center"/>
        </m:oMathParaPr>
        <m:oMath>
          <m:sSub>
            <m:sSubPr>
              <m:ctrlPr>
                <w:rPr>
                  <w:rFonts w:ascii="Cambria Math" w:hAnsi="Cambria Math"/>
                </w:rPr>
              </m:ctrlPr>
            </m:sSubPr>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p</m:t>
                          </m:r>
                        </m:sub>
                      </m:sSub>
                    </m:num>
                    <m:den>
                      <m:sSub>
                        <m:sSubPr>
                          <m:ctrlPr>
                            <w:rPr>
                              <w:rFonts w:ascii="Cambria Math" w:hAnsi="Cambria Math"/>
                            </w:rPr>
                          </m:ctrlPr>
                        </m:sSubPr>
                        <m:e>
                          <m:r>
                            <w:rPr>
                              <w:rFonts w:ascii="Cambria Math" w:hAnsi="Cambria Math"/>
                            </w:rPr>
                            <m:t>d</m:t>
                          </m:r>
                        </m:e>
                        <m:sub>
                          <m:r>
                            <w:rPr>
                              <w:rFonts w:ascii="Cambria Math" w:hAnsi="Cambria Math"/>
                            </w:rPr>
                            <m:t>t</m:t>
                          </m:r>
                        </m:sub>
                      </m:sSub>
                    </m:den>
                  </m:f>
                </m:e>
              </m:d>
            </m:e>
            <m:sub>
              <m:r>
                <w:rPr>
                  <w:rFonts w:ascii="Cambria Math" w:hAnsi="Cambria Math"/>
                </w:rPr>
                <m:t>max</m:t>
              </m:r>
            </m:sub>
          </m:sSub>
          <m:r>
            <m:rPr>
              <m:sty m:val="p"/>
            </m:rPr>
            <w:rPr>
              <w:rFonts w:ascii="Cambria Math" w:hAnsi="Cambria Math"/>
            </w:rPr>
            <m:t>∙</m:t>
          </m:r>
          <m:sSup>
            <m:sSupPr>
              <m:ctrlPr>
                <w:rPr>
                  <w:rFonts w:ascii="Cambria Math" w:hAnsi="Cambria Math"/>
                </w:rPr>
              </m:ctrlPr>
            </m:sSupPr>
            <m:e>
              <m:r>
                <w:rPr>
                  <w:rFonts w:ascii="Cambria Math" w:hAnsi="Cambria Math"/>
                </w:rPr>
                <m:t>V</m:t>
              </m:r>
            </m:e>
            <m:sup>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up>
          </m:sSup>
          <m:r>
            <m:rPr>
              <m:sty m:val="p"/>
            </m:rPr>
            <w:rPr>
              <w:rFonts w:ascii="Cambria Math" w:hAnsi="Cambria Math"/>
            </w:rPr>
            <m:t>=</m:t>
          </m:r>
          <m:r>
            <w:rPr>
              <w:rFonts w:ascii="Cambria Math" w:hAnsi="Cambria Math"/>
            </w:rPr>
            <m:t>const</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st</m:t>
              </m:r>
            </m:sub>
          </m:sSub>
        </m:oMath>
      </m:oMathPara>
    </w:p>
    <w:p w14:paraId="1B670E53" w14:textId="77777777" w:rsidR="00C2533D" w:rsidRPr="005F4603" w:rsidRDefault="00C2533D" w:rsidP="006F1C86">
      <w:pPr>
        <w:pStyle w:val="NormalIndent"/>
        <w:ind w:left="1701" w:right="1134"/>
        <w:jc w:val="both"/>
      </w:pPr>
      <w:proofErr w:type="gramStart"/>
      <w:r w:rsidRPr="005F4603">
        <w:t>where</w:t>
      </w:r>
      <w:proofErr w:type="gramEnd"/>
      <w:r w:rsidRPr="005F4603">
        <w:t>:</w:t>
      </w:r>
    </w:p>
    <w:p w14:paraId="5B9D3761" w14:textId="77777777" w:rsidR="00C2533D" w:rsidRPr="005F4603" w:rsidRDefault="00C2533D" w:rsidP="006F1C86">
      <w:pPr>
        <w:pStyle w:val="NormalIndent"/>
        <w:ind w:left="1701" w:right="1134"/>
        <w:jc w:val="both"/>
      </w:pPr>
      <w:r w:rsidRPr="005F4603">
        <w:t>(</w:t>
      </w:r>
      <w:proofErr w:type="spellStart"/>
      <w:r w:rsidRPr="005F4603">
        <w:rPr>
          <w:i/>
        </w:rPr>
        <w:t>d</w:t>
      </w:r>
      <w:r w:rsidRPr="005F4603">
        <w:rPr>
          <w:i/>
          <w:vertAlign w:val="subscript"/>
        </w:rPr>
        <w:t>p</w:t>
      </w:r>
      <w:proofErr w:type="spellEnd"/>
      <w:r w:rsidRPr="005F4603">
        <w:rPr>
          <w:i/>
        </w:rPr>
        <w:t>/</w:t>
      </w:r>
      <w:proofErr w:type="spellStart"/>
      <w:r w:rsidRPr="005F4603">
        <w:rPr>
          <w:i/>
        </w:rPr>
        <w:t>d</w:t>
      </w:r>
      <w:r w:rsidRPr="005F4603">
        <w:rPr>
          <w:i/>
          <w:vertAlign w:val="subscript"/>
        </w:rPr>
        <w:t>t</w:t>
      </w:r>
      <w:proofErr w:type="spellEnd"/>
      <w:proofErr w:type="gramStart"/>
      <w:r w:rsidRPr="005F4603">
        <w:rPr>
          <w:i/>
        </w:rPr>
        <w:t>)</w:t>
      </w:r>
      <w:r w:rsidRPr="005F4603">
        <w:rPr>
          <w:i/>
          <w:vertAlign w:val="subscript"/>
        </w:rPr>
        <w:t>max</w:t>
      </w:r>
      <w:proofErr w:type="gramEnd"/>
      <w:r w:rsidRPr="005F4603">
        <w:rPr>
          <w:i/>
        </w:rPr>
        <w:t xml:space="preserve"> = </w:t>
      </w:r>
      <w:r w:rsidRPr="005F4603">
        <w:t>maximum rate of pressure rise</w:t>
      </w:r>
    </w:p>
    <w:p w14:paraId="39626B0A" w14:textId="77777777" w:rsidR="00C2533D" w:rsidRPr="005F4603" w:rsidRDefault="00C2533D" w:rsidP="006F1C86">
      <w:pPr>
        <w:pStyle w:val="NormalIndent"/>
        <w:ind w:left="1701" w:right="1134"/>
        <w:jc w:val="both"/>
      </w:pPr>
      <w:r w:rsidRPr="005F4603">
        <w:rPr>
          <w:i/>
        </w:rPr>
        <w:t>V</w:t>
      </w:r>
      <w:r w:rsidRPr="005F4603">
        <w:t xml:space="preserve"> = volume of testing chamber</w:t>
      </w:r>
    </w:p>
    <w:p w14:paraId="0FB14091" w14:textId="77777777" w:rsidR="00C2533D" w:rsidRPr="005F4603" w:rsidRDefault="00C2533D" w:rsidP="006F1C86">
      <w:pPr>
        <w:pStyle w:val="NormalIndent"/>
        <w:ind w:left="1701" w:right="1134"/>
        <w:jc w:val="both"/>
        <w:rPr>
          <w:rStyle w:val="Emphasis"/>
          <w:b/>
        </w:rPr>
      </w:pPr>
      <w:r w:rsidRPr="005F4603">
        <w:rPr>
          <w:rStyle w:val="Emphasis"/>
        </w:rPr>
        <w:t xml:space="preserve">Dusts are classified into dust explosion </w:t>
      </w:r>
      <w:r w:rsidRPr="005F4603">
        <w:t>classes</w:t>
      </w:r>
      <w:r w:rsidRPr="005F4603">
        <w:rPr>
          <w:rStyle w:val="Emphasis"/>
        </w:rPr>
        <w:t xml:space="preserve"> according to their </w:t>
      </w:r>
      <w:proofErr w:type="spellStart"/>
      <w:r w:rsidRPr="005F4603">
        <w:rPr>
          <w:rStyle w:val="Emphasis"/>
        </w:rPr>
        <w:t>K</w:t>
      </w:r>
      <w:r w:rsidRPr="005F4603">
        <w:rPr>
          <w:rStyle w:val="Emphasis"/>
          <w:vertAlign w:val="subscript"/>
        </w:rPr>
        <w:t>st</w:t>
      </w:r>
      <w:proofErr w:type="spellEnd"/>
      <w:r w:rsidRPr="005F4603">
        <w:rPr>
          <w:rStyle w:val="Emphasis"/>
        </w:rPr>
        <w:t xml:space="preserve"> value:</w:t>
      </w:r>
    </w:p>
    <w:p w14:paraId="1E06BDAA" w14:textId="77777777" w:rsidR="00C2533D" w:rsidRPr="005F4603" w:rsidRDefault="00C2533D" w:rsidP="006F1C86">
      <w:pPr>
        <w:pStyle w:val="NormalIndent"/>
        <w:ind w:left="1701" w:right="1134"/>
        <w:jc w:val="both"/>
        <w:rPr>
          <w:rStyle w:val="Emphasis"/>
          <w:b/>
        </w:rPr>
      </w:pPr>
      <w:r w:rsidRPr="00C06C62">
        <w:t>St</w:t>
      </w:r>
      <w:r w:rsidRPr="005F4603">
        <w:rPr>
          <w:rStyle w:val="Emphasis"/>
        </w:rPr>
        <w:t xml:space="preserve"> 1: 0 &lt; </w:t>
      </w:r>
      <w:proofErr w:type="spellStart"/>
      <w:r w:rsidRPr="005F4603">
        <w:rPr>
          <w:rStyle w:val="Emphasis"/>
        </w:rPr>
        <w:t>K</w:t>
      </w:r>
      <w:r w:rsidRPr="005F4603">
        <w:rPr>
          <w:rStyle w:val="Emphasis"/>
          <w:vertAlign w:val="subscript"/>
        </w:rPr>
        <w:t>st</w:t>
      </w:r>
      <w:proofErr w:type="spellEnd"/>
      <w:r w:rsidRPr="005F4603">
        <w:rPr>
          <w:rStyle w:val="Emphasis"/>
        </w:rPr>
        <w:t xml:space="preserve"> ≤ 200 bar m s</w:t>
      </w:r>
      <w:r w:rsidRPr="005F4603">
        <w:rPr>
          <w:rStyle w:val="Emphasis"/>
          <w:vertAlign w:val="superscript"/>
        </w:rPr>
        <w:t>-1</w:t>
      </w:r>
    </w:p>
    <w:p w14:paraId="03A6E513" w14:textId="77777777" w:rsidR="00C2533D" w:rsidRPr="005F4603" w:rsidRDefault="00C2533D" w:rsidP="006F1C86">
      <w:pPr>
        <w:pStyle w:val="NormalIndent"/>
        <w:ind w:left="1701" w:right="1134"/>
        <w:jc w:val="both"/>
        <w:rPr>
          <w:rStyle w:val="Emphasis"/>
          <w:b/>
        </w:rPr>
      </w:pPr>
      <w:r w:rsidRPr="00C06C62">
        <w:t>St</w:t>
      </w:r>
      <w:r w:rsidRPr="005F4603">
        <w:rPr>
          <w:rStyle w:val="Emphasis"/>
        </w:rPr>
        <w:t xml:space="preserve"> 2: 200 &lt; </w:t>
      </w:r>
      <w:proofErr w:type="spellStart"/>
      <w:r w:rsidRPr="005F4603">
        <w:rPr>
          <w:rStyle w:val="Emphasis"/>
        </w:rPr>
        <w:t>K</w:t>
      </w:r>
      <w:r w:rsidRPr="005F4603">
        <w:rPr>
          <w:rStyle w:val="Emphasis"/>
          <w:vertAlign w:val="subscript"/>
        </w:rPr>
        <w:t>st</w:t>
      </w:r>
      <w:proofErr w:type="spellEnd"/>
      <w:r w:rsidRPr="005F4603">
        <w:rPr>
          <w:rStyle w:val="Emphasis"/>
        </w:rPr>
        <w:t xml:space="preserve"> ≤ 300 bar m s</w:t>
      </w:r>
      <w:r w:rsidRPr="005F4603">
        <w:rPr>
          <w:rStyle w:val="Emphasis"/>
          <w:vertAlign w:val="superscript"/>
        </w:rPr>
        <w:t>-1</w:t>
      </w:r>
    </w:p>
    <w:p w14:paraId="34AEB3DD" w14:textId="77777777" w:rsidR="00C2533D" w:rsidRPr="005F4603" w:rsidRDefault="00C2533D" w:rsidP="006F1C86">
      <w:pPr>
        <w:pStyle w:val="NormalIndent"/>
        <w:ind w:left="1701" w:right="1134"/>
        <w:jc w:val="both"/>
        <w:rPr>
          <w:rStyle w:val="Emphasis"/>
          <w:b/>
        </w:rPr>
      </w:pPr>
      <w:r w:rsidRPr="005F4603">
        <w:rPr>
          <w:rStyle w:val="Emphasis"/>
        </w:rPr>
        <w:t xml:space="preserve">St 3: </w:t>
      </w:r>
      <w:proofErr w:type="spellStart"/>
      <w:r w:rsidRPr="005F4603">
        <w:rPr>
          <w:rStyle w:val="Emphasis"/>
        </w:rPr>
        <w:t>K</w:t>
      </w:r>
      <w:r w:rsidRPr="005F4603">
        <w:rPr>
          <w:rStyle w:val="Emphasis"/>
          <w:vertAlign w:val="subscript"/>
        </w:rPr>
        <w:t>st</w:t>
      </w:r>
      <w:proofErr w:type="spellEnd"/>
      <w:r w:rsidRPr="005F4603">
        <w:rPr>
          <w:rStyle w:val="Emphasis"/>
        </w:rPr>
        <w:t xml:space="preserve"> &gt; 300 </w:t>
      </w:r>
      <w:r w:rsidRPr="005F4603">
        <w:t>bar</w:t>
      </w:r>
      <w:r w:rsidRPr="005F4603">
        <w:rPr>
          <w:rStyle w:val="Emphasis"/>
        </w:rPr>
        <w:t xml:space="preserve"> m s</w:t>
      </w:r>
      <w:r w:rsidRPr="005F4603">
        <w:rPr>
          <w:rStyle w:val="Emphasis"/>
          <w:vertAlign w:val="superscript"/>
        </w:rPr>
        <w:t>-1</w:t>
      </w:r>
    </w:p>
    <w:p w14:paraId="2D36F456" w14:textId="77777777" w:rsidR="00C2533D" w:rsidRPr="005F4603" w:rsidRDefault="00C2533D" w:rsidP="006F1C86">
      <w:pPr>
        <w:pStyle w:val="NormalIndent"/>
        <w:spacing w:after="240" w:line="240" w:lineRule="auto"/>
        <w:ind w:left="1701" w:right="1134"/>
        <w:jc w:val="both"/>
        <w:rPr>
          <w:rStyle w:val="Emphasis"/>
          <w:b/>
        </w:rPr>
      </w:pPr>
      <w:r w:rsidRPr="005F4603">
        <w:rPr>
          <w:rStyle w:val="Emphasis"/>
        </w:rPr>
        <w:t xml:space="preserve">The </w:t>
      </w:r>
      <w:proofErr w:type="spellStart"/>
      <w:r w:rsidRPr="005F4603">
        <w:rPr>
          <w:rStyle w:val="Emphasis"/>
        </w:rPr>
        <w:t>K</w:t>
      </w:r>
      <w:r w:rsidRPr="005F4603">
        <w:rPr>
          <w:rStyle w:val="Emphasis"/>
          <w:vertAlign w:val="subscript"/>
        </w:rPr>
        <w:t>st</w:t>
      </w:r>
      <w:proofErr w:type="spellEnd"/>
      <w:r w:rsidRPr="005F4603">
        <w:rPr>
          <w:rStyle w:val="Emphasis"/>
        </w:rPr>
        <w:t xml:space="preserve"> value and </w:t>
      </w:r>
      <w:r>
        <w:rPr>
          <w:rStyle w:val="Emphasis"/>
        </w:rPr>
        <w:t xml:space="preserve">the </w:t>
      </w:r>
      <w:r w:rsidRPr="005F4603">
        <w:rPr>
          <w:rStyle w:val="Emphasis"/>
        </w:rPr>
        <w:t xml:space="preserve">maximum explosion pressure are used to design </w:t>
      </w:r>
      <w:r>
        <w:rPr>
          <w:rStyle w:val="Emphasis"/>
        </w:rPr>
        <w:t xml:space="preserve">appropriate </w:t>
      </w:r>
      <w:r w:rsidRPr="005F4603">
        <w:rPr>
          <w:rStyle w:val="Emphasis"/>
        </w:rPr>
        <w:t xml:space="preserve">safety measures (e.g. pressure </w:t>
      </w:r>
      <w:r>
        <w:rPr>
          <w:rStyle w:val="Emphasis"/>
        </w:rPr>
        <w:t xml:space="preserve">relief </w:t>
      </w:r>
      <w:r w:rsidRPr="005F4603">
        <w:rPr>
          <w:rStyle w:val="Emphasis"/>
        </w:rPr>
        <w:t xml:space="preserve">venting). </w:t>
      </w:r>
    </w:p>
    <w:p w14:paraId="304852EC" w14:textId="2F041AEC" w:rsidR="00C2533D" w:rsidRPr="003E18A3" w:rsidRDefault="00C2533D" w:rsidP="006F1C86">
      <w:pPr>
        <w:pStyle w:val="SingleTxtG"/>
      </w:pPr>
      <w:proofErr w:type="spellStart"/>
      <w:r w:rsidRPr="00C2533D">
        <w:rPr>
          <w:rStyle w:val="Emphasis"/>
          <w:b/>
        </w:rPr>
        <w:t>Explosible</w:t>
      </w:r>
      <w:proofErr w:type="spellEnd"/>
      <w:r w:rsidRPr="00C2533D">
        <w:rPr>
          <w:rStyle w:val="Emphasis"/>
          <w:b/>
        </w:rPr>
        <w:t xml:space="preserve"> dust atmosphere</w:t>
      </w:r>
      <w:r w:rsidRPr="001B7338">
        <w:rPr>
          <w:b/>
          <w:i/>
        </w:rPr>
        <w:t>:</w:t>
      </w:r>
      <w:r w:rsidRPr="001B7338">
        <w:t xml:space="preserve"> A dispersion of a combustible dust in</w:t>
      </w:r>
      <w:r w:rsidRPr="003E18A3">
        <w:t xml:space="preserve"> air which after ignition results in a self-sustaining flame propagation</w:t>
      </w:r>
      <w:r>
        <w:t>;</w:t>
      </w:r>
    </w:p>
    <w:p w14:paraId="61A1ECBE" w14:textId="3B1FB259" w:rsidR="00DB3FEF" w:rsidRDefault="00DB3FEF" w:rsidP="006F1C86">
      <w:pPr>
        <w:pStyle w:val="SingleTxtG"/>
        <w:spacing w:after="240"/>
      </w:pPr>
      <w:r w:rsidRPr="00C2533D">
        <w:rPr>
          <w:rStyle w:val="Emphasis"/>
          <w:b/>
        </w:rPr>
        <w:t>Explosion</w:t>
      </w:r>
      <w:r w:rsidRPr="005F4603">
        <w:rPr>
          <w:b/>
          <w:i/>
        </w:rPr>
        <w:t xml:space="preserve">: </w:t>
      </w:r>
      <w:r w:rsidRPr="005F4603">
        <w:t xml:space="preserve">Abrupt oxidation or decomposition reaction producing an increase in </w:t>
      </w:r>
      <w:r w:rsidR="00C2533D" w:rsidRPr="005F4603">
        <w:t>temperature, pressure, or both simultaneously</w:t>
      </w:r>
      <w:r w:rsidR="00C2533D">
        <w:t>;</w:t>
      </w:r>
      <w:r w:rsidR="00C2533D" w:rsidRPr="005F4603">
        <w:rPr>
          <w:rStyle w:val="FootnoteReference"/>
        </w:rPr>
        <w:footnoteReference w:id="3"/>
      </w:r>
    </w:p>
    <w:p w14:paraId="1C041A07" w14:textId="4A09E3B0" w:rsidR="00C2533D" w:rsidRDefault="00C2533D" w:rsidP="006F1C86">
      <w:pPr>
        <w:pStyle w:val="SingleTxtG"/>
        <w:spacing w:before="240" w:after="240"/>
      </w:pPr>
      <w:r w:rsidRPr="00C2533D">
        <w:rPr>
          <w:rStyle w:val="Emphasis"/>
          <w:b/>
        </w:rPr>
        <w:t>Limiting oxygen concentration (LOC)</w:t>
      </w:r>
      <w:r w:rsidRPr="005F4603">
        <w:rPr>
          <w:b/>
          <w:i/>
        </w:rPr>
        <w:t>:</w:t>
      </w:r>
      <w:r w:rsidRPr="005F4603">
        <w:t xml:space="preserve"> maximum oxygen concentration in a mixture of a combustible dust and air and an inert gas, in which an explosion will not occur, determined under specific test conditions</w:t>
      </w:r>
      <w:r>
        <w:t>;</w:t>
      </w:r>
    </w:p>
    <w:p w14:paraId="646752AF" w14:textId="7870AB3B" w:rsidR="00C2533D" w:rsidRPr="003E18A3" w:rsidRDefault="00C2533D" w:rsidP="006F1C86">
      <w:pPr>
        <w:pStyle w:val="SingleTxtG"/>
      </w:pPr>
      <w:r w:rsidRPr="00C2533D">
        <w:rPr>
          <w:rStyle w:val="Emphasis"/>
          <w:b/>
        </w:rPr>
        <w:t>Maximum explosion pressure</w:t>
      </w:r>
      <w:r w:rsidRPr="003E18A3">
        <w:rPr>
          <w:b/>
          <w:i/>
        </w:rPr>
        <w:t>:</w:t>
      </w:r>
      <w:r w:rsidRPr="003E18A3">
        <w:t xml:space="preserve"> Highest pressure registered in a closed vessel for a dust explosion at optimum concentration</w:t>
      </w:r>
      <w:r>
        <w:t>;</w:t>
      </w:r>
      <w:r w:rsidRPr="003E18A3">
        <w:t xml:space="preserve"> </w:t>
      </w:r>
    </w:p>
    <w:p w14:paraId="6ADC031A" w14:textId="1565DD8A" w:rsidR="00DB3FEF" w:rsidRPr="003E18A3" w:rsidRDefault="00DB3FEF" w:rsidP="006F1C86">
      <w:pPr>
        <w:pStyle w:val="SingleTxtG"/>
      </w:pPr>
      <w:r w:rsidRPr="00C2533D">
        <w:rPr>
          <w:rStyle w:val="Emphasis"/>
          <w:b/>
        </w:rPr>
        <w:t xml:space="preserve">Minimum </w:t>
      </w:r>
      <w:proofErr w:type="spellStart"/>
      <w:r w:rsidRPr="00C2533D">
        <w:rPr>
          <w:rStyle w:val="Emphasis"/>
          <w:b/>
        </w:rPr>
        <w:t>Explosible</w:t>
      </w:r>
      <w:proofErr w:type="spellEnd"/>
      <w:r w:rsidRPr="00C2533D">
        <w:rPr>
          <w:rStyle w:val="Emphasis"/>
          <w:b/>
        </w:rPr>
        <w:t xml:space="preserve"> Concentration (MEC)/Lower </w:t>
      </w:r>
      <w:proofErr w:type="spellStart"/>
      <w:r w:rsidRPr="00C2533D">
        <w:rPr>
          <w:rStyle w:val="Emphasis"/>
          <w:b/>
        </w:rPr>
        <w:t>Explosible</w:t>
      </w:r>
      <w:proofErr w:type="spellEnd"/>
      <w:r w:rsidRPr="00C2533D">
        <w:rPr>
          <w:rStyle w:val="Emphasis"/>
          <w:b/>
        </w:rPr>
        <w:t xml:space="preserve"> Limit (LEL):</w:t>
      </w:r>
      <w:r w:rsidRPr="001B7338">
        <w:rPr>
          <w:rStyle w:val="Emphasis"/>
          <w:i w:val="0"/>
        </w:rPr>
        <w:t xml:space="preserve"> </w:t>
      </w:r>
      <w:r w:rsidRPr="001B7338">
        <w:t>The minimum concentration of a combustible dust dispersed in air measured in mass unit per volume that will support an explosion</w:t>
      </w:r>
      <w:r w:rsidR="00C2533D">
        <w:t>;</w:t>
      </w:r>
      <w:r w:rsidRPr="001B7338">
        <w:t xml:space="preserve">  </w:t>
      </w:r>
    </w:p>
    <w:p w14:paraId="156FDC22" w14:textId="7FF0A835" w:rsidR="00DB3FEF" w:rsidRPr="005F4603" w:rsidRDefault="00DB3FEF" w:rsidP="006F1C86">
      <w:pPr>
        <w:pStyle w:val="SingleTxtG"/>
      </w:pPr>
      <w:r w:rsidRPr="00C2533D">
        <w:rPr>
          <w:rStyle w:val="Emphasis"/>
          <w:b/>
        </w:rPr>
        <w:t>Minimum ignition energy (MIE)</w:t>
      </w:r>
      <w:r w:rsidRPr="00C2533D">
        <w:rPr>
          <w:b/>
        </w:rPr>
        <w:t>:</w:t>
      </w:r>
      <w:r w:rsidRPr="005F4603">
        <w:t xml:space="preserve"> </w:t>
      </w:r>
      <w:r>
        <w:t>L</w:t>
      </w:r>
      <w:r w:rsidRPr="005F4603">
        <w:t>owest electrical energy stored in a capacitor, which upon discharge is sufficient to ignit</w:t>
      </w:r>
      <w:r>
        <w:t>e</w:t>
      </w:r>
      <w:r w:rsidRPr="005F4603">
        <w:t xml:space="preserve"> the most sensitive dust/air mixture under specific test conditions</w:t>
      </w:r>
      <w:r w:rsidR="00C2533D">
        <w:t>;</w:t>
      </w:r>
    </w:p>
    <w:p w14:paraId="7F5CB62D" w14:textId="4E71F87B" w:rsidR="00DB3FEF" w:rsidRPr="005F4603" w:rsidRDefault="00DB3FEF" w:rsidP="006F1C86">
      <w:pPr>
        <w:pStyle w:val="SingleTxtG"/>
      </w:pPr>
      <w:r w:rsidRPr="00C2533D">
        <w:rPr>
          <w:rStyle w:val="Emphasis"/>
          <w:b/>
        </w:rPr>
        <w:t>Minimum ignition temperature (MIT) of a dust cloud</w:t>
      </w:r>
      <w:r w:rsidRPr="005F4603">
        <w:rPr>
          <w:b/>
          <w:i/>
        </w:rPr>
        <w:t>:</w:t>
      </w:r>
      <w:r w:rsidRPr="005F4603">
        <w:t xml:space="preserve"> </w:t>
      </w:r>
      <w:r>
        <w:t>L</w:t>
      </w:r>
      <w:r w:rsidRPr="005F4603">
        <w:t>owest temperature of a hot surface on which the most ignitable mixture of a dust with air is ignited under specified test conditions</w:t>
      </w:r>
      <w:r w:rsidR="00C2533D">
        <w:t>;</w:t>
      </w:r>
    </w:p>
    <w:p w14:paraId="22C5D489" w14:textId="055670DC" w:rsidR="00C2533D" w:rsidRPr="005F4603" w:rsidRDefault="00C2533D" w:rsidP="006F1C86">
      <w:pPr>
        <w:pStyle w:val="SingleTxtG"/>
      </w:pPr>
      <w:r w:rsidRPr="00C2533D">
        <w:rPr>
          <w:rStyle w:val="Emphasis"/>
          <w:b/>
        </w:rPr>
        <w:t>Particle size</w:t>
      </w:r>
      <w:r w:rsidRPr="003E18A3">
        <w:rPr>
          <w:b/>
          <w:i/>
        </w:rPr>
        <w:t>:</w:t>
      </w:r>
      <w:r w:rsidRPr="003E18A3">
        <w:t xml:space="preserve"> Smallest sieve aperture through which a particle will pass if presented in the most favourable orientation</w:t>
      </w:r>
      <w:r>
        <w:t>;</w:t>
      </w:r>
      <w:r w:rsidRPr="001B7B25">
        <w:rPr>
          <w:rStyle w:val="FootnoteReference"/>
        </w:rPr>
        <w:footnoteReference w:id="4"/>
      </w:r>
      <w:r w:rsidRPr="005F4603">
        <w:t xml:space="preserve"> </w:t>
      </w:r>
    </w:p>
    <w:p w14:paraId="1A774CBC" w14:textId="0F0B89CC" w:rsidR="00DB3FEF" w:rsidRPr="005F4603" w:rsidRDefault="00DB3FEF" w:rsidP="006F1C86">
      <w:pPr>
        <w:pStyle w:val="H23G"/>
        <w:jc w:val="both"/>
      </w:pPr>
      <w:r>
        <w:tab/>
      </w:r>
      <w:r>
        <w:tab/>
      </w:r>
      <w:r w:rsidR="00A52F7D" w:rsidRPr="005F4603">
        <w:t>A</w:t>
      </w:r>
      <w:r w:rsidR="00A52F7D">
        <w:t>11</w:t>
      </w:r>
      <w:r w:rsidRPr="005F4603">
        <w:t>.2.3</w:t>
      </w:r>
      <w:r w:rsidRPr="005F4603">
        <w:tab/>
      </w:r>
      <w:r w:rsidRPr="00375E0F">
        <w:rPr>
          <w:i/>
          <w:szCs w:val="22"/>
        </w:rPr>
        <w:t xml:space="preserve">Identification of </w:t>
      </w:r>
      <w:r w:rsidRPr="00375E0F">
        <w:rPr>
          <w:i/>
        </w:rPr>
        <w:t>combustible dust</w:t>
      </w:r>
      <w:r>
        <w:t xml:space="preserve"> </w:t>
      </w:r>
    </w:p>
    <w:p w14:paraId="6DC78E47" w14:textId="31C2517C" w:rsidR="00DB3FEF" w:rsidRPr="005F4603" w:rsidRDefault="00A52F7D" w:rsidP="006F1C86">
      <w:pPr>
        <w:pStyle w:val="SingleTxtG"/>
      </w:pPr>
      <w:r>
        <w:t>A11</w:t>
      </w:r>
      <w:r w:rsidR="00DB3FEF">
        <w:t>.2.3.1</w:t>
      </w:r>
      <w:r w:rsidR="00DB3FEF">
        <w:tab/>
        <w:t xml:space="preserve">The purpose of this section is to identify whether a combustible dust is present.  </w:t>
      </w:r>
      <w:r w:rsidR="00DB3FEF" w:rsidRPr="005F4603">
        <w:t xml:space="preserve">Figure </w:t>
      </w:r>
      <w:r w:rsidRPr="005F4603">
        <w:t>A</w:t>
      </w:r>
      <w:r>
        <w:t>11</w:t>
      </w:r>
      <w:r w:rsidR="00DB3FEF" w:rsidRPr="005F4603">
        <w:t>.2.1 presents a flow</w:t>
      </w:r>
      <w:r w:rsidR="00C2533D">
        <w:t xml:space="preserve"> </w:t>
      </w:r>
      <w:r w:rsidR="00DB3FEF" w:rsidRPr="005F4603">
        <w:t xml:space="preserve">chart that helps to identify whether a substance or </w:t>
      </w:r>
      <w:r w:rsidR="00DB3FEF" w:rsidRPr="005F4603">
        <w:lastRenderedPageBreak/>
        <w:t xml:space="preserve">mixture is a combustible dust and hence whether the risk of a dust explosion has to be assessed.  Section </w:t>
      </w:r>
      <w:r w:rsidRPr="005F4603">
        <w:t>A</w:t>
      </w:r>
      <w:r>
        <w:t>11</w:t>
      </w:r>
      <w:r w:rsidR="00DB3FEF" w:rsidRPr="005F4603">
        <w:t>.2.3.</w:t>
      </w:r>
      <w:r w:rsidR="00DB3FEF">
        <w:t>2</w:t>
      </w:r>
      <w:r w:rsidR="00DB3FEF" w:rsidRPr="005F4603">
        <w:t xml:space="preserve"> contains a detailed</w:t>
      </w:r>
      <w:r w:rsidR="00983648">
        <w:t xml:space="preserve"> explanation and</w:t>
      </w:r>
      <w:r w:rsidR="00DB3FEF" w:rsidRPr="005F4603">
        <w:t xml:space="preserve"> </w:t>
      </w:r>
      <w:r w:rsidR="00771D5B">
        <w:t xml:space="preserve">guidance on the interpretation </w:t>
      </w:r>
      <w:r w:rsidR="00DB3FEF" w:rsidRPr="005F4603">
        <w:t>of each</w:t>
      </w:r>
      <w:r w:rsidR="00DB3FEF">
        <w:t xml:space="preserve"> box</w:t>
      </w:r>
      <w:r w:rsidR="00DB3FEF" w:rsidRPr="005F4603">
        <w:t xml:space="preserve"> used in the flow</w:t>
      </w:r>
      <w:r w:rsidR="00C2533D">
        <w:t xml:space="preserve"> </w:t>
      </w:r>
      <w:r w:rsidR="00DB3FEF" w:rsidRPr="005F4603">
        <w:t xml:space="preserve">chart. </w:t>
      </w:r>
    </w:p>
    <w:p w14:paraId="1BAA2CA9" w14:textId="5CD0F236" w:rsidR="00DB3FEF" w:rsidRDefault="00DB3FEF" w:rsidP="00DB3FEF">
      <w:pPr>
        <w:keepNext/>
        <w:keepLines/>
        <w:spacing w:before="240" w:line="240" w:lineRule="auto"/>
        <w:ind w:left="1134" w:right="1134"/>
        <w:jc w:val="center"/>
        <w:rPr>
          <w:b/>
        </w:rPr>
      </w:pPr>
      <w:r w:rsidRPr="005F4603">
        <w:rPr>
          <w:b/>
        </w:rPr>
        <w:t xml:space="preserve">Figure </w:t>
      </w:r>
      <w:r w:rsidR="00A52F7D" w:rsidRPr="005F4603">
        <w:rPr>
          <w:b/>
        </w:rPr>
        <w:t>A</w:t>
      </w:r>
      <w:r w:rsidR="00A52F7D">
        <w:rPr>
          <w:b/>
        </w:rPr>
        <w:t>11</w:t>
      </w:r>
      <w:r w:rsidRPr="005F4603">
        <w:rPr>
          <w:b/>
        </w:rPr>
        <w:t>.2.1: Flow</w:t>
      </w:r>
      <w:r w:rsidR="00C2533D">
        <w:rPr>
          <w:b/>
        </w:rPr>
        <w:t xml:space="preserve"> </w:t>
      </w:r>
      <w:r w:rsidRPr="005F4603">
        <w:rPr>
          <w:b/>
        </w:rPr>
        <w:t xml:space="preserve">chart for </w:t>
      </w:r>
      <w:r>
        <w:rPr>
          <w:b/>
        </w:rPr>
        <w:t xml:space="preserve">decision on </w:t>
      </w:r>
      <w:r w:rsidRPr="005F4603">
        <w:rPr>
          <w:b/>
        </w:rPr>
        <w:t>combustible dust</w:t>
      </w:r>
      <w:r>
        <w:rPr>
          <w:b/>
        </w:rPr>
        <w:t>s</w:t>
      </w:r>
    </w:p>
    <w:p w14:paraId="6A801467" w14:textId="4AAFBAD4" w:rsidR="00DB3FEF" w:rsidRDefault="000D69C0" w:rsidP="00DB3FEF">
      <w:r>
        <w:object w:dxaOrig="9286" w:dyaOrig="11385" w14:anchorId="3C43D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524.15pt" o:ole="">
            <v:imagedata r:id="rId10" o:title=""/>
          </v:shape>
          <o:OLEObject Type="Embed" ProgID="Visio.Drawing.15" ShapeID="_x0000_i1025" DrawAspect="Content" ObjectID="_1554625911" r:id="rId11"/>
        </w:object>
      </w:r>
    </w:p>
    <w:p w14:paraId="42333B61" w14:textId="48E0E8EB" w:rsidR="00DB3FEF" w:rsidRPr="008B675F" w:rsidRDefault="00DB3FEF" w:rsidP="001F0443">
      <w:pPr>
        <w:pStyle w:val="H4G"/>
        <w:rPr>
          <w:rStyle w:val="Emphasis"/>
          <w:i/>
          <w:color w:val="000000" w:themeColor="text1"/>
        </w:rPr>
      </w:pPr>
      <w:r>
        <w:tab/>
      </w:r>
      <w:r>
        <w:tab/>
      </w:r>
      <w:r w:rsidR="00A52F7D" w:rsidRPr="00B02751">
        <w:rPr>
          <w:i w:val="0"/>
        </w:rPr>
        <w:t>A11</w:t>
      </w:r>
      <w:r w:rsidRPr="00B02751">
        <w:rPr>
          <w:i w:val="0"/>
        </w:rPr>
        <w:t>.2.3.2</w:t>
      </w:r>
      <w:r w:rsidR="00151260">
        <w:t xml:space="preserve"> </w:t>
      </w:r>
      <w:r w:rsidR="00151260">
        <w:tab/>
        <w:t>Explanations to f</w:t>
      </w:r>
      <w:r w:rsidRPr="00B02751">
        <w:t xml:space="preserve">igure </w:t>
      </w:r>
      <w:r w:rsidR="00A52F7D" w:rsidRPr="008B675F">
        <w:rPr>
          <w:color w:val="000000" w:themeColor="text1"/>
        </w:rPr>
        <w:t>A11</w:t>
      </w:r>
      <w:r w:rsidRPr="008B675F">
        <w:rPr>
          <w:color w:val="000000" w:themeColor="text1"/>
        </w:rPr>
        <w:t>.2.1</w:t>
      </w:r>
    </w:p>
    <w:p w14:paraId="4279D167" w14:textId="16B20CC8" w:rsidR="00DB3FEF" w:rsidRPr="005F4603" w:rsidRDefault="00A52F7D" w:rsidP="00DB3FEF">
      <w:pPr>
        <w:pStyle w:val="SingleTxtG"/>
      </w:pPr>
      <w:r>
        <w:t>A11</w:t>
      </w:r>
      <w:r w:rsidR="001F0443">
        <w:t>.2.3.2.1</w:t>
      </w:r>
      <w:r w:rsidR="001F0443">
        <w:tab/>
      </w:r>
      <w:r w:rsidR="00DB3FEF" w:rsidRPr="003E18A3">
        <w:t>Care has to be taken when using available data, because the behavio</w:t>
      </w:r>
      <w:r w:rsidR="00207C5B">
        <w:t>u</w:t>
      </w:r>
      <w:r w:rsidR="00DB3FEF" w:rsidRPr="003E18A3">
        <w:t xml:space="preserve">r of combustible dusts is very sensitive to conditions such as particle size, moisture content etc. </w:t>
      </w:r>
      <w:r w:rsidR="00DB3FEF" w:rsidRPr="003E18A3">
        <w:lastRenderedPageBreak/>
        <w:t>If the conditions under which ava</w:t>
      </w:r>
      <w:r w:rsidR="00DB3FEF" w:rsidRPr="005F4603">
        <w:t>ilable data were generated are not known</w:t>
      </w:r>
      <w:r w:rsidR="00DB3FEF">
        <w:t>,</w:t>
      </w:r>
      <w:r w:rsidR="00DB3FEF" w:rsidRPr="005F4603">
        <w:t xml:space="preserve"> or are not </w:t>
      </w:r>
      <w:r w:rsidR="00DB3FEF">
        <w:t>applicable</w:t>
      </w:r>
      <w:r w:rsidR="00DB3FEF" w:rsidRPr="005F4603">
        <w:t xml:space="preserve"> to the substance</w:t>
      </w:r>
      <w:r w:rsidR="00DB3FEF">
        <w:t>,</w:t>
      </w:r>
      <w:r w:rsidR="00DB3FEF" w:rsidRPr="005F4603">
        <w:t xml:space="preserve"> mixture</w:t>
      </w:r>
      <w:r w:rsidR="00DB3FEF">
        <w:t>, or solid material</w:t>
      </w:r>
      <w:r w:rsidR="00DB3FEF" w:rsidRPr="005F4603">
        <w:t xml:space="preserve"> under investigation, the data might not be </w:t>
      </w:r>
      <w:r w:rsidR="00DB3FEF">
        <w:t>relevant</w:t>
      </w:r>
      <w:r w:rsidR="00DB3FEF" w:rsidRPr="005F4603">
        <w:t xml:space="preserve"> and a conservative approach is recommended when going through the flow</w:t>
      </w:r>
      <w:r w:rsidR="00C2533D">
        <w:t xml:space="preserve"> </w:t>
      </w:r>
      <w:r w:rsidR="00DB3FEF" w:rsidRPr="005F4603">
        <w:t>chart.</w:t>
      </w:r>
    </w:p>
    <w:p w14:paraId="56633C1A" w14:textId="5C9D0F73" w:rsidR="00DB3FEF" w:rsidRPr="00D563BA" w:rsidRDefault="00DB3FEF" w:rsidP="007525A4">
      <w:pPr>
        <w:keepNext/>
        <w:spacing w:before="240" w:line="240" w:lineRule="auto"/>
        <w:ind w:left="2268" w:right="1134" w:hanging="1130"/>
        <w:jc w:val="both"/>
        <w:rPr>
          <w:i/>
        </w:rPr>
      </w:pPr>
      <w:r w:rsidRPr="00D563BA">
        <w:rPr>
          <w:rStyle w:val="Emphasis"/>
        </w:rPr>
        <w:t>Box 1</w:t>
      </w:r>
      <w:r w:rsidR="00D563BA" w:rsidRPr="00D563BA">
        <w:rPr>
          <w:rStyle w:val="Emphasis"/>
        </w:rPr>
        <w:t>:</w:t>
      </w:r>
      <w:r w:rsidR="00D563BA" w:rsidRPr="00D563BA">
        <w:rPr>
          <w:rStyle w:val="Emphasis"/>
          <w:i w:val="0"/>
        </w:rPr>
        <w:t xml:space="preserve"> </w:t>
      </w:r>
      <w:r w:rsidR="00D563BA" w:rsidRPr="00D563BA">
        <w:rPr>
          <w:rStyle w:val="Emphasis"/>
          <w:i w:val="0"/>
        </w:rPr>
        <w:tab/>
      </w:r>
      <w:r w:rsidRPr="00D563BA">
        <w:rPr>
          <w:i/>
          <w:color w:val="000000"/>
        </w:rPr>
        <w:t>Is there available data, evidence or experience confirming that the solid is a combustible dust?</w:t>
      </w:r>
    </w:p>
    <w:p w14:paraId="38058990" w14:textId="5EFF18A9" w:rsidR="00DB3FEF" w:rsidRPr="005F4603" w:rsidRDefault="00A52F7D" w:rsidP="00DB3FEF">
      <w:pPr>
        <w:pStyle w:val="NormalIndent"/>
        <w:spacing w:before="240"/>
        <w:ind w:left="1138" w:right="1138"/>
        <w:jc w:val="both"/>
      </w:pPr>
      <w:r>
        <w:t>A11</w:t>
      </w:r>
      <w:r w:rsidR="00D563BA">
        <w:t>.2.3.2.2</w:t>
      </w:r>
      <w:r w:rsidR="00DB3FEF">
        <w:tab/>
      </w:r>
      <w:r w:rsidR="00DB3FEF" w:rsidRPr="005F4603">
        <w:t xml:space="preserve">Clear evidence for a </w:t>
      </w:r>
      <w:r w:rsidR="00DB3FEF">
        <w:t xml:space="preserve">combustible </w:t>
      </w:r>
      <w:r w:rsidR="00DB3FEF" w:rsidRPr="005F4603">
        <w:t>dust may be obtained from publicly available incident reports relevan</w:t>
      </w:r>
      <w:r w:rsidR="00DB3FEF">
        <w:t>t</w:t>
      </w:r>
      <w:r w:rsidR="00DB3FEF" w:rsidRPr="005F4603">
        <w:t xml:space="preserve"> </w:t>
      </w:r>
      <w:r w:rsidR="00DB3FEF">
        <w:t>to</w:t>
      </w:r>
      <w:r w:rsidR="00DB3FEF" w:rsidRPr="005F4603">
        <w:t xml:space="preserve"> the substance</w:t>
      </w:r>
      <w:r w:rsidR="00DB3FEF">
        <w:t>,</w:t>
      </w:r>
      <w:r w:rsidR="00DB3FEF" w:rsidRPr="005F4603">
        <w:t xml:space="preserve"> mixture</w:t>
      </w:r>
      <w:r w:rsidR="00DB3FEF">
        <w:t>, or solid material in question</w:t>
      </w:r>
      <w:r w:rsidR="00DB3FEF" w:rsidRPr="005F4603">
        <w:t xml:space="preserve">. </w:t>
      </w:r>
      <w:r w:rsidR="00DB3FEF">
        <w:t xml:space="preserve"> </w:t>
      </w:r>
      <w:r w:rsidR="00DB3FEF" w:rsidRPr="005F4603">
        <w:t>Similarly, if experience has shown that the substance</w:t>
      </w:r>
      <w:r w:rsidR="00DB3FEF">
        <w:t>,</w:t>
      </w:r>
      <w:r w:rsidR="00DB3FEF" w:rsidRPr="005F4603">
        <w:t xml:space="preserve"> mixture</w:t>
      </w:r>
      <w:r w:rsidR="00DB3FEF">
        <w:t>, or solid material</w:t>
      </w:r>
      <w:r w:rsidR="00DB3FEF" w:rsidRPr="005F4603">
        <w:t xml:space="preserve"> is combustible in powder form</w:t>
      </w:r>
      <w:r w:rsidR="00DB3FEF">
        <w:t>,</w:t>
      </w:r>
      <w:r w:rsidR="00DB3FEF" w:rsidRPr="005F4603">
        <w:t xml:space="preserve"> a dust explosion risk can be assumed.</w:t>
      </w:r>
      <w:r w:rsidR="00DB3FEF" w:rsidRPr="00B000E0">
        <w:t xml:space="preserve"> </w:t>
      </w:r>
      <w:r w:rsidR="00DB3FEF" w:rsidRPr="005F4603">
        <w:t>If a substance</w:t>
      </w:r>
      <w:r w:rsidR="00DB3FEF">
        <w:t>,</w:t>
      </w:r>
      <w:r w:rsidR="00DB3FEF" w:rsidRPr="005F4603">
        <w:t xml:space="preserve"> mixture</w:t>
      </w:r>
      <w:r w:rsidR="00DB3FEF">
        <w:t>, or solid material</w:t>
      </w:r>
      <w:r w:rsidR="00DB3FEF" w:rsidRPr="005F4603">
        <w:t xml:space="preserve"> is not classified as flammable, </w:t>
      </w:r>
      <w:r w:rsidR="00DB3FEF">
        <w:t>it may still have the</w:t>
      </w:r>
      <w:r w:rsidR="00DB3FEF" w:rsidRPr="005F4603">
        <w:t xml:space="preserve"> potential </w:t>
      </w:r>
      <w:r w:rsidR="00DB3FEF">
        <w:t xml:space="preserve">to form an </w:t>
      </w:r>
      <w:proofErr w:type="spellStart"/>
      <w:r w:rsidR="00DB3FEF">
        <w:t>explosible</w:t>
      </w:r>
      <w:proofErr w:type="spellEnd"/>
      <w:r w:rsidR="00DB3FEF">
        <w:t xml:space="preserve"> </w:t>
      </w:r>
      <w:r w:rsidR="00DB3FEF" w:rsidRPr="005F4603">
        <w:t>dust</w:t>
      </w:r>
      <w:r w:rsidR="00DB3FEF">
        <w:t>-air mixture</w:t>
      </w:r>
      <w:r w:rsidR="00DB3FEF" w:rsidRPr="005F4603">
        <w:t>.</w:t>
      </w:r>
      <w:r w:rsidR="00DB3FEF" w:rsidRPr="00B000E0">
        <w:t xml:space="preserve"> </w:t>
      </w:r>
      <w:r w:rsidR="00DB3FEF">
        <w:t>Specifically a</w:t>
      </w:r>
      <w:r w:rsidR="00DB3FEF" w:rsidRPr="005F4603">
        <w:t>ny organic or metallic material handled in powder form or from which a powder may be formed in processing</w:t>
      </w:r>
      <w:r w:rsidR="00DB3FEF">
        <w:t>,</w:t>
      </w:r>
      <w:r w:rsidR="00DB3FEF" w:rsidRPr="005F4603">
        <w:t xml:space="preserve"> </w:t>
      </w:r>
      <w:r w:rsidR="00DB3FEF">
        <w:t xml:space="preserve">should be assumed to be a combustible dust </w:t>
      </w:r>
      <w:r w:rsidR="00DB3FEF" w:rsidRPr="005F4603">
        <w:t>unless explicit evidence to the contrary is available.</w:t>
      </w:r>
    </w:p>
    <w:p w14:paraId="477B242A" w14:textId="59A0B56F" w:rsidR="00DB3FEF" w:rsidRPr="005F4603" w:rsidRDefault="00A52F7D" w:rsidP="00DB3FEF">
      <w:pPr>
        <w:pStyle w:val="NormalIndent"/>
        <w:spacing w:before="240"/>
        <w:ind w:left="1134" w:right="1134"/>
        <w:jc w:val="both"/>
      </w:pPr>
      <w:r>
        <w:t>A11</w:t>
      </w:r>
      <w:r w:rsidR="00D563BA">
        <w:t>.2.3.2.3</w:t>
      </w:r>
      <w:r w:rsidR="00DB3FEF">
        <w:tab/>
      </w:r>
      <w:r w:rsidR="00DB3FEF" w:rsidRPr="005F4603">
        <w:t xml:space="preserve">The following </w:t>
      </w:r>
      <w:r w:rsidR="00DB3FEF">
        <w:t xml:space="preserve">are examples of </w:t>
      </w:r>
      <w:r w:rsidR="00DB3FEF" w:rsidRPr="005F4603">
        <w:t>available data indicat</w:t>
      </w:r>
      <w:r w:rsidR="00DB3FEF">
        <w:t>ing</w:t>
      </w:r>
      <w:r w:rsidR="00DB3FEF" w:rsidRPr="005F4603">
        <w:t xml:space="preserve"> a </w:t>
      </w:r>
      <w:r w:rsidR="00DB3FEF">
        <w:t xml:space="preserve">combustible </w:t>
      </w:r>
      <w:r w:rsidR="00DB3FEF" w:rsidRPr="005F4603">
        <w:t>dust</w:t>
      </w:r>
      <w:r w:rsidR="0066155E">
        <w:t>:</w:t>
      </w:r>
      <w:r w:rsidR="00DB3FEF" w:rsidRPr="005F4603">
        <w:t xml:space="preserve"> </w:t>
      </w:r>
    </w:p>
    <w:p w14:paraId="5A274AB4" w14:textId="77777777" w:rsidR="00DB3FEF" w:rsidRPr="005F4603" w:rsidRDefault="00DB3FEF" w:rsidP="00D563BA">
      <w:pPr>
        <w:pStyle w:val="List"/>
        <w:spacing w:before="120"/>
        <w:ind w:left="2835" w:right="1138" w:hanging="567"/>
        <w:jc w:val="both"/>
      </w:pPr>
      <w:r>
        <w:t>(a)</w:t>
      </w:r>
      <w:r>
        <w:tab/>
      </w:r>
      <w:r w:rsidRPr="005F4603">
        <w:t>Classification of the substance or one of the components of the mixture as pyrophoric or flammable solid.</w:t>
      </w:r>
    </w:p>
    <w:p w14:paraId="3069C75D" w14:textId="77777777" w:rsidR="00DB3FEF" w:rsidRPr="005F4603" w:rsidRDefault="00DB3FEF" w:rsidP="00D563BA">
      <w:pPr>
        <w:pStyle w:val="List"/>
        <w:spacing w:before="120"/>
        <w:ind w:left="2835" w:right="1138" w:hanging="567"/>
        <w:jc w:val="both"/>
      </w:pPr>
      <w:r>
        <w:t>(b)</w:t>
      </w:r>
      <w:r>
        <w:tab/>
        <w:t>Availability</w:t>
      </w:r>
      <w:r w:rsidRPr="005F4603">
        <w:t xml:space="preserve"> of relevant information such as MIE, </w:t>
      </w:r>
      <w:proofErr w:type="spellStart"/>
      <w:r w:rsidRPr="005F4603">
        <w:t>K</w:t>
      </w:r>
      <w:r w:rsidRPr="005F4603">
        <w:rPr>
          <w:vertAlign w:val="subscript"/>
        </w:rPr>
        <w:t>st</w:t>
      </w:r>
      <w:proofErr w:type="spellEnd"/>
      <w:r w:rsidRPr="005F4603">
        <w:t xml:space="preserve"> values, flammability limits, ignition temperatures.</w:t>
      </w:r>
    </w:p>
    <w:p w14:paraId="65120ACE" w14:textId="578C3DF0" w:rsidR="00DB3FEF" w:rsidRPr="005F4603" w:rsidRDefault="00DB3FEF" w:rsidP="00D563BA">
      <w:pPr>
        <w:pStyle w:val="List"/>
        <w:spacing w:before="120"/>
        <w:ind w:left="2835" w:right="1138" w:hanging="567"/>
        <w:jc w:val="both"/>
      </w:pPr>
      <w:r>
        <w:t>(c)</w:t>
      </w:r>
      <w:r>
        <w:tab/>
      </w:r>
      <w:r w:rsidRPr="005F4603">
        <w:t>Results from screening tests (such as Burning index acc</w:t>
      </w:r>
      <w:r>
        <w:t>ording</w:t>
      </w:r>
      <w:r w:rsidR="00D563BA">
        <w:t xml:space="preserve"> to VDI </w:t>
      </w:r>
      <w:r w:rsidRPr="005F4603">
        <w:t>2263, Hartmann tube acc</w:t>
      </w:r>
      <w:r>
        <w:t>ording</w:t>
      </w:r>
      <w:r w:rsidRPr="005F4603">
        <w:t xml:space="preserve"> to ISO IEC 80079-20-2).</w:t>
      </w:r>
    </w:p>
    <w:p w14:paraId="003580BE" w14:textId="31227D8D" w:rsidR="00DB3FEF" w:rsidRPr="005F4603" w:rsidRDefault="00A52F7D" w:rsidP="00DB3FEF">
      <w:pPr>
        <w:spacing w:before="240" w:line="240" w:lineRule="auto"/>
        <w:ind w:left="1134" w:right="1134"/>
        <w:jc w:val="both"/>
      </w:pPr>
      <w:r>
        <w:t>A11</w:t>
      </w:r>
      <w:r w:rsidR="00D563BA">
        <w:t>.2.3.2.4</w:t>
      </w:r>
      <w:r w:rsidR="00DB3FEF" w:rsidRPr="00D053FC">
        <w:tab/>
      </w:r>
      <w:r w:rsidR="00DB3FEF">
        <w:t>I</w:t>
      </w:r>
      <w:r w:rsidR="00DB3FEF" w:rsidRPr="005F4603">
        <w:t xml:space="preserve">n the absence of data, </w:t>
      </w:r>
      <w:r w:rsidR="00DB3FEF">
        <w:t>i</w:t>
      </w:r>
      <w:r w:rsidR="00DB3FEF" w:rsidRPr="005F4603">
        <w:t xml:space="preserve">t is common practice to assume the presence of a combustible dust and to apply appropriate risk management measures (see </w:t>
      </w:r>
      <w:r w:rsidRPr="005F4603">
        <w:t>A</w:t>
      </w:r>
      <w:r>
        <w:t>11</w:t>
      </w:r>
      <w:r w:rsidR="00DB3FEF" w:rsidRPr="005F4603">
        <w:t>.2.</w:t>
      </w:r>
      <w:r w:rsidR="00771D5B">
        <w:t>6</w:t>
      </w:r>
      <w:r w:rsidR="00DB3FEF" w:rsidRPr="005F4603">
        <w:t>).</w:t>
      </w:r>
    </w:p>
    <w:p w14:paraId="1F98AED3" w14:textId="2F123DBA" w:rsidR="00DB3FEF" w:rsidRPr="00D563BA" w:rsidRDefault="00DB3FEF" w:rsidP="00D563BA">
      <w:pPr>
        <w:keepNext/>
        <w:spacing w:before="240" w:line="240" w:lineRule="auto"/>
        <w:ind w:left="2268" w:right="1134" w:hanging="1134"/>
        <w:jc w:val="both"/>
        <w:rPr>
          <w:rStyle w:val="Emphasis"/>
        </w:rPr>
      </w:pPr>
      <w:r w:rsidRPr="00D563BA">
        <w:rPr>
          <w:rStyle w:val="Emphasis"/>
        </w:rPr>
        <w:t>Box 2</w:t>
      </w:r>
      <w:r w:rsidR="00D563BA" w:rsidRPr="00D563BA">
        <w:rPr>
          <w:rStyle w:val="Emphasis"/>
        </w:rPr>
        <w:t>:</w:t>
      </w:r>
      <w:r w:rsidR="00D563BA" w:rsidRPr="00D563BA">
        <w:rPr>
          <w:rStyle w:val="Emphasis"/>
        </w:rPr>
        <w:tab/>
      </w:r>
      <w:r w:rsidRPr="00D563BA">
        <w:rPr>
          <w:rStyle w:val="Emphasis"/>
        </w:rPr>
        <w:t>Is the solid completely oxidized?</w:t>
      </w:r>
    </w:p>
    <w:p w14:paraId="3F77982A" w14:textId="26C441B0" w:rsidR="00DB3FEF" w:rsidRPr="005F4603" w:rsidRDefault="00A52F7D" w:rsidP="00DB3FEF">
      <w:pPr>
        <w:pStyle w:val="NormalIndent"/>
        <w:spacing w:before="240"/>
        <w:ind w:left="1134" w:right="1134"/>
        <w:jc w:val="both"/>
      </w:pPr>
      <w:r>
        <w:t>A11</w:t>
      </w:r>
      <w:r w:rsidR="00D563BA">
        <w:t>.2.3.2.5</w:t>
      </w:r>
      <w:r w:rsidR="00D563BA">
        <w:tab/>
      </w:r>
      <w:r w:rsidR="00DB3FEF" w:rsidRPr="005F4603">
        <w:t xml:space="preserve">When a solid substance or mixture is completely oxidized, </w:t>
      </w:r>
      <w:r w:rsidR="00DB3FEF">
        <w:t xml:space="preserve">e.g. silicon dioxide, </w:t>
      </w:r>
      <w:r w:rsidR="00DB3FEF" w:rsidRPr="005F4603">
        <w:t xml:space="preserve">further combustion will not occur. </w:t>
      </w:r>
      <w:r w:rsidR="00DB3FEF">
        <w:t xml:space="preserve"> </w:t>
      </w:r>
      <w:r w:rsidR="00DB3FEF" w:rsidRPr="005F4603">
        <w:t xml:space="preserve">Consequently, the solid substance or mixture will not ignite, even if it is exposed to a source of ignition. </w:t>
      </w:r>
      <w:r w:rsidR="00DB3FEF">
        <w:t xml:space="preserve"> </w:t>
      </w:r>
      <w:r w:rsidR="00DB3FEF" w:rsidRPr="005F4603">
        <w:t>However, if a solid substance or mixture is not entirely oxidized, combustion of the solid substance or mixture is possible if it is exposed to a source of ignition.</w:t>
      </w:r>
    </w:p>
    <w:p w14:paraId="6A155E5E" w14:textId="2AD539DF" w:rsidR="00DB3FEF" w:rsidRPr="00D563BA" w:rsidRDefault="00DB3FEF" w:rsidP="00D563BA">
      <w:pPr>
        <w:keepNext/>
        <w:spacing w:before="240" w:line="240" w:lineRule="auto"/>
        <w:ind w:left="2268" w:right="1134" w:hanging="1134"/>
        <w:jc w:val="both"/>
        <w:rPr>
          <w:rStyle w:val="Emphasis"/>
        </w:rPr>
      </w:pPr>
      <w:r w:rsidRPr="00D563BA">
        <w:rPr>
          <w:rStyle w:val="Emphasis"/>
        </w:rPr>
        <w:t>Box 3</w:t>
      </w:r>
      <w:r w:rsidR="00D563BA" w:rsidRPr="00D563BA">
        <w:rPr>
          <w:rStyle w:val="Emphasis"/>
        </w:rPr>
        <w:t>:</w:t>
      </w:r>
      <w:r w:rsidRPr="00D563BA">
        <w:rPr>
          <w:rStyle w:val="Emphasis"/>
        </w:rPr>
        <w:t xml:space="preserve"> </w:t>
      </w:r>
      <w:r w:rsidR="00D563BA" w:rsidRPr="00D563BA">
        <w:rPr>
          <w:rStyle w:val="Emphasis"/>
        </w:rPr>
        <w:tab/>
      </w:r>
      <w:r w:rsidR="00D563BA" w:rsidRPr="00D563BA">
        <w:rPr>
          <w:rStyle w:val="Emphasis"/>
        </w:rPr>
        <w:tab/>
      </w:r>
      <w:r w:rsidRPr="00D563BA">
        <w:rPr>
          <w:rStyle w:val="Emphasis"/>
        </w:rPr>
        <w:t>Does the solid include particles of a nominal size ≤ 500 µm?</w:t>
      </w:r>
    </w:p>
    <w:p w14:paraId="50D2378E" w14:textId="56E6B6DA" w:rsidR="00DB3FEF" w:rsidRDefault="00A52F7D" w:rsidP="00DB3FEF">
      <w:pPr>
        <w:pStyle w:val="NormalIndent"/>
        <w:spacing w:before="200"/>
        <w:ind w:left="1138" w:right="1138"/>
        <w:jc w:val="both"/>
      </w:pPr>
      <w:r>
        <w:t>A11</w:t>
      </w:r>
      <w:r w:rsidR="00D563BA">
        <w:t>.2.3.2.6</w:t>
      </w:r>
      <w:r w:rsidR="00DB3FEF">
        <w:tab/>
        <w:t xml:space="preserve">When evaluating materials in relation to </w:t>
      </w:r>
      <w:r w:rsidR="0066155E">
        <w:t xml:space="preserve">box </w:t>
      </w:r>
      <w:r w:rsidR="00DB3FEF">
        <w:t>3, users should consider whether the material includes fine particles which might be released during normal or foreseeable conditions of use.</w:t>
      </w:r>
    </w:p>
    <w:p w14:paraId="2BAA22A5" w14:textId="2D9B6AE1" w:rsidR="00DB3FEF" w:rsidRPr="003D7E80" w:rsidRDefault="00A52F7D" w:rsidP="00DB3FEF">
      <w:pPr>
        <w:pStyle w:val="NormalIndent"/>
        <w:spacing w:before="200"/>
        <w:ind w:left="1138" w:right="1138"/>
        <w:jc w:val="both"/>
      </w:pPr>
      <w:r>
        <w:t>A11</w:t>
      </w:r>
      <w:r w:rsidR="00D563BA">
        <w:t>.2.3.2.7</w:t>
      </w:r>
      <w:r w:rsidR="00DB3FEF">
        <w:tab/>
      </w:r>
      <w:r w:rsidR="00DB3FEF" w:rsidRPr="001B7338">
        <w:t>When assessing the particle size with regard to the risk of dust explosions, only the fine particles with a size ≤</w:t>
      </w:r>
      <w:r w:rsidR="007525A4">
        <w:t xml:space="preserve"> </w:t>
      </w:r>
      <w:r w:rsidR="00DB3FEF" w:rsidRPr="001B7338">
        <w:t>500 µm are relevant</w:t>
      </w:r>
      <w:r w:rsidR="00DB3FEF" w:rsidRPr="003E18A3">
        <w:rPr>
          <w:rStyle w:val="FootnoteReference"/>
        </w:rPr>
        <w:footnoteReference w:id="5"/>
      </w:r>
      <w:r w:rsidR="00DB3FEF" w:rsidRPr="003E18A3">
        <w:t xml:space="preserve">, </w:t>
      </w:r>
      <w:r w:rsidR="00DB3FEF">
        <w:t>even if</w:t>
      </w:r>
      <w:r w:rsidR="00DB3FEF" w:rsidRPr="003E18A3">
        <w:t xml:space="preserve"> the median </w:t>
      </w:r>
      <w:r w:rsidR="00DB3FEF">
        <w:t xml:space="preserve">particle size </w:t>
      </w:r>
      <w:r w:rsidR="00DB3FEF" w:rsidRPr="003E18A3">
        <w:t xml:space="preserve">of the whole sample </w:t>
      </w:r>
      <w:r w:rsidR="00DB3FEF">
        <w:t>is</w:t>
      </w:r>
      <w:r w:rsidR="00DB3FEF" w:rsidRPr="003E18A3">
        <w:t xml:space="preserve"> </w:t>
      </w:r>
      <w:r w:rsidR="00DB3FEF">
        <w:t>larg</w:t>
      </w:r>
      <w:r w:rsidR="00DB3FEF" w:rsidRPr="003E18A3">
        <w:t xml:space="preserve">er than 500 µm. </w:t>
      </w:r>
      <w:r w:rsidR="00DB3FEF">
        <w:t xml:space="preserve"> </w:t>
      </w:r>
      <w:r w:rsidR="00DB3FEF" w:rsidRPr="003E18A3">
        <w:t>Hence, only the dust fraction itself</w:t>
      </w:r>
      <w:r w:rsidR="00DB3FEF">
        <w:t>,</w:t>
      </w:r>
      <w:r w:rsidR="00DB3FEF" w:rsidRPr="003E18A3">
        <w:t xml:space="preserve"> and not the mixture of coarse and fine particles</w:t>
      </w:r>
      <w:r w:rsidR="00DB3FEF">
        <w:t>,</w:t>
      </w:r>
      <w:r w:rsidR="00DB3FEF" w:rsidRPr="003E18A3">
        <w:t xml:space="preserve"> </w:t>
      </w:r>
      <w:proofErr w:type="gramStart"/>
      <w:r w:rsidR="00DB3FEF" w:rsidRPr="003E18A3">
        <w:t>ha</w:t>
      </w:r>
      <w:r w:rsidR="00DB3FEF">
        <w:t>s</w:t>
      </w:r>
      <w:proofErr w:type="gramEnd"/>
      <w:r w:rsidR="00DB3FEF" w:rsidRPr="003E18A3">
        <w:t xml:space="preserve"> to be considered to evaluate the risk of forming </w:t>
      </w:r>
      <w:proofErr w:type="spellStart"/>
      <w:r w:rsidR="00DB3FEF" w:rsidRPr="003E18A3">
        <w:t>explosible</w:t>
      </w:r>
      <w:proofErr w:type="spellEnd"/>
      <w:r w:rsidR="00DB3FEF" w:rsidRPr="003E18A3">
        <w:t xml:space="preserve"> dust atmospheres. </w:t>
      </w:r>
      <w:r w:rsidR="00DB3FEF">
        <w:t xml:space="preserve"> However, a</w:t>
      </w:r>
      <w:r w:rsidR="00DB3FEF" w:rsidRPr="003E18A3">
        <w:t xml:space="preserve"> lower concentration limit for the dust particles in a solid (e.g., by weight percent) that will </w:t>
      </w:r>
      <w:r w:rsidR="00DB3FEF">
        <w:t xml:space="preserve">not </w:t>
      </w:r>
      <w:r w:rsidR="00DB3FEF" w:rsidRPr="003E18A3">
        <w:t>lead to such a risk cannot be defined</w:t>
      </w:r>
      <w:r w:rsidR="00DB3FEF">
        <w:t xml:space="preserve"> </w:t>
      </w:r>
      <w:r w:rsidR="00DB3FEF" w:rsidRPr="00B000E0">
        <w:t xml:space="preserve">and </w:t>
      </w:r>
      <w:r w:rsidR="00DB3FEF" w:rsidRPr="00B000E0">
        <w:lastRenderedPageBreak/>
        <w:t>therefore also small fractions of fine particles are relevant.</w:t>
      </w:r>
      <w:r w:rsidR="00DB3FEF">
        <w:t xml:space="preserve"> For further explanation see A</w:t>
      </w:r>
      <w:r w:rsidR="00771D5B">
        <w:t>11</w:t>
      </w:r>
      <w:r w:rsidR="0066155E">
        <w:t>.</w:t>
      </w:r>
      <w:r w:rsidR="00DB3FEF">
        <w:t>2.4.1.</w:t>
      </w:r>
    </w:p>
    <w:p w14:paraId="38FFE889" w14:textId="3E73680F" w:rsidR="00DB3FEF" w:rsidRPr="00D563BA" w:rsidRDefault="00DB3FEF" w:rsidP="00D563BA">
      <w:pPr>
        <w:keepNext/>
        <w:spacing w:before="240" w:line="240" w:lineRule="auto"/>
        <w:ind w:left="2268" w:right="1134" w:hanging="1134"/>
        <w:jc w:val="both"/>
        <w:rPr>
          <w:rStyle w:val="Emphasis"/>
        </w:rPr>
      </w:pPr>
      <w:r w:rsidRPr="00D563BA">
        <w:rPr>
          <w:rStyle w:val="Emphasis"/>
        </w:rPr>
        <w:t>Box 4</w:t>
      </w:r>
      <w:r w:rsidR="00D563BA">
        <w:rPr>
          <w:rStyle w:val="Emphasis"/>
        </w:rPr>
        <w:tab/>
      </w:r>
      <w:proofErr w:type="gramStart"/>
      <w:r w:rsidRPr="00D563BA">
        <w:rPr>
          <w:rStyle w:val="Emphasis"/>
        </w:rPr>
        <w:t>Is</w:t>
      </w:r>
      <w:proofErr w:type="gramEnd"/>
      <w:r w:rsidRPr="00D563BA">
        <w:rPr>
          <w:rStyle w:val="Emphasis"/>
        </w:rPr>
        <w:t xml:space="preserve"> there a potential to form particles of a nominal size ≤ 500 µm in supply and transfer operations? </w:t>
      </w:r>
    </w:p>
    <w:p w14:paraId="4C88AC61" w14:textId="597859E1" w:rsidR="00DB3FEF" w:rsidRPr="005F4603" w:rsidRDefault="00A52F7D" w:rsidP="00DB3FEF">
      <w:pPr>
        <w:pStyle w:val="NormalIndent"/>
        <w:spacing w:before="200"/>
        <w:ind w:left="1134" w:right="1134"/>
        <w:jc w:val="both"/>
        <w:rPr>
          <w:color w:val="000000"/>
        </w:rPr>
      </w:pPr>
      <w:r>
        <w:t>A11</w:t>
      </w:r>
      <w:r w:rsidR="00D563BA">
        <w:t>.2.3.2.8</w:t>
      </w:r>
      <w:r w:rsidR="00D563BA">
        <w:tab/>
      </w:r>
      <w:r w:rsidR="00DB3FEF" w:rsidRPr="005F4603">
        <w:rPr>
          <w:color w:val="000000"/>
        </w:rPr>
        <w:t>At this stage in the flow chart the solid</w:t>
      </w:r>
      <w:r w:rsidR="00DB3FEF">
        <w:rPr>
          <w:color w:val="000000"/>
        </w:rPr>
        <w:t>,</w:t>
      </w:r>
      <w:r w:rsidR="00DB3FEF" w:rsidRPr="005F4603">
        <w:rPr>
          <w:color w:val="000000"/>
        </w:rPr>
        <w:t xml:space="preserve"> as presented</w:t>
      </w:r>
      <w:r w:rsidR="00DB3FEF">
        <w:rPr>
          <w:color w:val="000000"/>
        </w:rPr>
        <w:t>,</w:t>
      </w:r>
      <w:r w:rsidR="00DB3FEF" w:rsidRPr="005F4603">
        <w:rPr>
          <w:color w:val="000000"/>
        </w:rPr>
        <w:t xml:space="preserve"> does not </w:t>
      </w:r>
      <w:r w:rsidR="00DB3FEF">
        <w:rPr>
          <w:color w:val="000000"/>
        </w:rPr>
        <w:t xml:space="preserve">include particles smaller than 500 µm. </w:t>
      </w:r>
      <w:r w:rsidR="00DB3FEF" w:rsidRPr="005F4603">
        <w:rPr>
          <w:color w:val="000000"/>
        </w:rPr>
        <w:t xml:space="preserve">In that form it is not a combustible </w:t>
      </w:r>
      <w:r w:rsidR="00DB3FEF">
        <w:rPr>
          <w:color w:val="000000"/>
        </w:rPr>
        <w:t xml:space="preserve">dust. </w:t>
      </w:r>
      <w:r w:rsidR="00DB3FEF" w:rsidRPr="005F4603">
        <w:rPr>
          <w:color w:val="000000"/>
        </w:rPr>
        <w:t>However, it is not completely oxidized and fine particles could form during</w:t>
      </w:r>
      <w:r w:rsidR="00DB3FEF">
        <w:rPr>
          <w:color w:val="000000"/>
        </w:rPr>
        <w:t xml:space="preserve"> supply and transfer operations. </w:t>
      </w:r>
      <w:r w:rsidR="00DB3FEF" w:rsidRPr="005F4603">
        <w:rPr>
          <w:color w:val="000000"/>
        </w:rPr>
        <w:t xml:space="preserve">Therefore, such conditions should be critically reviewed in detail, especially with respect to </w:t>
      </w:r>
      <w:r w:rsidR="00DB3FEF">
        <w:rPr>
          <w:color w:val="000000"/>
        </w:rPr>
        <w:t xml:space="preserve">foreseeable </w:t>
      </w:r>
      <w:r w:rsidR="00DB3FEF" w:rsidRPr="005F4603">
        <w:rPr>
          <w:color w:val="000000"/>
        </w:rPr>
        <w:t>effects which may lead to the formation of fine particles, e.g., mechanical stress such as abrasion during transport</w:t>
      </w:r>
      <w:r w:rsidR="00DB3FEF">
        <w:rPr>
          <w:color w:val="000000"/>
        </w:rPr>
        <w:t xml:space="preserve"> or tran</w:t>
      </w:r>
      <w:r w:rsidR="00D563BA">
        <w:rPr>
          <w:color w:val="000000"/>
        </w:rPr>
        <w:t>s</w:t>
      </w:r>
      <w:r w:rsidR="00DB3FEF">
        <w:rPr>
          <w:color w:val="000000"/>
        </w:rPr>
        <w:t>fer operations, or desiccation of moisturized material</w:t>
      </w:r>
      <w:r w:rsidR="00DB3FEF" w:rsidRPr="005F4603">
        <w:rPr>
          <w:color w:val="000000"/>
        </w:rPr>
        <w:t>. If such effects cannot be excluded, expert opinion should be sought.</w:t>
      </w:r>
      <w:r w:rsidR="00DB3FEF">
        <w:rPr>
          <w:color w:val="000000"/>
        </w:rPr>
        <w:t xml:space="preserve"> </w:t>
      </w:r>
      <w:r w:rsidR="00D563BA">
        <w:t>See s</w:t>
      </w:r>
      <w:r w:rsidR="00DB3FEF" w:rsidRPr="002A09F1">
        <w:t xml:space="preserve">ection </w:t>
      </w:r>
      <w:r w:rsidRPr="002A09F1">
        <w:t>A</w:t>
      </w:r>
      <w:r>
        <w:t>11</w:t>
      </w:r>
      <w:r w:rsidR="00DB3FEF" w:rsidRPr="002A09F1">
        <w:t>.2.6.2.1</w:t>
      </w:r>
      <w:r w:rsidR="00DB3FEF">
        <w:t xml:space="preserve"> </w:t>
      </w:r>
      <w:r w:rsidR="00DB3FEF" w:rsidRPr="002A09F1">
        <w:t>for considerations related to the generation of fine particl</w:t>
      </w:r>
      <w:r w:rsidR="0066155E">
        <w:t>e</w:t>
      </w:r>
      <w:r w:rsidR="00DB3FEF" w:rsidRPr="002A09F1">
        <w:t>s during operations and processing</w:t>
      </w:r>
      <w:r w:rsidR="00DB3FEF">
        <w:rPr>
          <w:color w:val="000000"/>
        </w:rPr>
        <w:t xml:space="preserve">. </w:t>
      </w:r>
    </w:p>
    <w:p w14:paraId="3249F28F" w14:textId="6AB29552" w:rsidR="00DB3FEF" w:rsidRPr="00B000E0" w:rsidRDefault="00DB3FEF" w:rsidP="00D563BA">
      <w:pPr>
        <w:keepNext/>
        <w:spacing w:before="240" w:line="240" w:lineRule="auto"/>
        <w:ind w:left="2268" w:right="1134" w:hanging="1134"/>
        <w:jc w:val="both"/>
        <w:rPr>
          <w:rStyle w:val="Emphasis"/>
        </w:rPr>
      </w:pPr>
      <w:r w:rsidRPr="00B000E0">
        <w:rPr>
          <w:rStyle w:val="Emphasis"/>
        </w:rPr>
        <w:t xml:space="preserve">Box 5 </w:t>
      </w:r>
      <w:r w:rsidR="00D563BA">
        <w:rPr>
          <w:rStyle w:val="Emphasis"/>
        </w:rPr>
        <w:tab/>
      </w:r>
      <w:r w:rsidRPr="00B000E0">
        <w:rPr>
          <w:rStyle w:val="Emphasis"/>
        </w:rPr>
        <w:t xml:space="preserve">Choose to test the solid for dust </w:t>
      </w:r>
      <w:proofErr w:type="spellStart"/>
      <w:r w:rsidRPr="00B000E0">
        <w:rPr>
          <w:rStyle w:val="Emphasis"/>
        </w:rPr>
        <w:t>explosibility</w:t>
      </w:r>
      <w:proofErr w:type="spellEnd"/>
      <w:r w:rsidRPr="00B000E0">
        <w:rPr>
          <w:rStyle w:val="Emphasis"/>
        </w:rPr>
        <w:t>?</w:t>
      </w:r>
    </w:p>
    <w:p w14:paraId="59EB3250" w14:textId="08E67CE9" w:rsidR="00DB3FEF" w:rsidRPr="002C64E9" w:rsidRDefault="00A52F7D" w:rsidP="00DB3FEF">
      <w:pPr>
        <w:pStyle w:val="NormalIndent"/>
        <w:spacing w:before="200"/>
        <w:ind w:left="1134" w:right="1134"/>
        <w:jc w:val="both"/>
        <w:rPr>
          <w:rStyle w:val="Emphasis"/>
          <w:b/>
        </w:rPr>
      </w:pPr>
      <w:r>
        <w:t>A11</w:t>
      </w:r>
      <w:r w:rsidR="00D563BA">
        <w:t>.2.3.2.9</w:t>
      </w:r>
      <w:r w:rsidR="00D563BA">
        <w:tab/>
      </w:r>
      <w:r w:rsidR="00DB3FEF" w:rsidRPr="00C06C62">
        <w:t xml:space="preserve">If testing </w:t>
      </w:r>
      <w:r w:rsidR="00DB3FEF">
        <w:t>for</w:t>
      </w:r>
      <w:r w:rsidR="00DB3FEF" w:rsidRPr="00C06C62">
        <w:t xml:space="preserve"> dust</w:t>
      </w:r>
      <w:r w:rsidR="00DB3FEF" w:rsidRPr="005F4603">
        <w:t xml:space="preserve"> </w:t>
      </w:r>
      <w:proofErr w:type="spellStart"/>
      <w:r w:rsidR="00DB3FEF" w:rsidRPr="005F4603">
        <w:t>explosibility</w:t>
      </w:r>
      <w:proofErr w:type="spellEnd"/>
      <w:r w:rsidR="00DB3FEF" w:rsidRPr="005F4603">
        <w:t xml:space="preserve"> is carried out, it should be done in accordance with recognized and validated testing standards, such as those listed in A</w:t>
      </w:r>
      <w:r w:rsidR="00C51B5D">
        <w:t>11</w:t>
      </w:r>
      <w:r w:rsidR="00DB3FEF" w:rsidRPr="005F4603">
        <w:t>.2.</w:t>
      </w:r>
      <w:r w:rsidR="00DB3FEF">
        <w:t>8.1.</w:t>
      </w:r>
      <w:r w:rsidR="00DB3FEF" w:rsidRPr="005F4603">
        <w:t xml:space="preserve"> </w:t>
      </w:r>
      <w:r w:rsidR="00DB3FEF">
        <w:t xml:space="preserve"> </w:t>
      </w:r>
      <w:r w:rsidR="00DB3FEF">
        <w:rPr>
          <w:color w:val="000000"/>
        </w:rPr>
        <w:t>Where a</w:t>
      </w:r>
      <w:r w:rsidR="00DB3FEF" w:rsidRPr="005F4603">
        <w:rPr>
          <w:color w:val="000000"/>
        </w:rPr>
        <w:t xml:space="preserve"> solid</w:t>
      </w:r>
      <w:r w:rsidR="00DB3FEF" w:rsidRPr="004A46B5">
        <w:rPr>
          <w:color w:val="000000"/>
        </w:rPr>
        <w:t xml:space="preserve"> </w:t>
      </w:r>
      <w:r w:rsidR="00DB3FEF">
        <w:rPr>
          <w:color w:val="000000"/>
        </w:rPr>
        <w:t xml:space="preserve">is </w:t>
      </w:r>
      <w:r w:rsidR="00DB3FEF" w:rsidRPr="005F4603">
        <w:rPr>
          <w:color w:val="000000"/>
        </w:rPr>
        <w:t>test</w:t>
      </w:r>
      <w:r w:rsidR="00DB3FEF">
        <w:rPr>
          <w:color w:val="000000"/>
        </w:rPr>
        <w:t xml:space="preserve">ed, and </w:t>
      </w:r>
      <w:r w:rsidR="00DB3FEF" w:rsidRPr="005F4603">
        <w:rPr>
          <w:color w:val="000000"/>
        </w:rPr>
        <w:t xml:space="preserve">the solid as presented does not </w:t>
      </w:r>
      <w:r w:rsidR="00DB3FEF">
        <w:rPr>
          <w:color w:val="000000"/>
        </w:rPr>
        <w:t>consist of</w:t>
      </w:r>
      <w:r w:rsidR="00DB3FEF" w:rsidRPr="005F4603">
        <w:rPr>
          <w:color w:val="000000"/>
        </w:rPr>
        <w:t xml:space="preserve"> particles ≤ 500 µm, it has to be ground for the purposes of testing</w:t>
      </w:r>
      <w:r w:rsidR="00DB3FEF">
        <w:rPr>
          <w:color w:val="000000"/>
        </w:rPr>
        <w:t xml:space="preserve"> for dust </w:t>
      </w:r>
      <w:proofErr w:type="spellStart"/>
      <w:r w:rsidR="00DB3FEF">
        <w:rPr>
          <w:color w:val="000000"/>
        </w:rPr>
        <w:t>explosibility</w:t>
      </w:r>
      <w:proofErr w:type="spellEnd"/>
      <w:r w:rsidR="00DB3FEF" w:rsidRPr="005F4603">
        <w:rPr>
          <w:color w:val="000000"/>
        </w:rPr>
        <w:t>.</w:t>
      </w:r>
    </w:p>
    <w:p w14:paraId="2EF60327" w14:textId="1FADA8FF" w:rsidR="00DB3FEF" w:rsidRPr="00D563BA" w:rsidRDefault="00DB3FEF" w:rsidP="00D563BA">
      <w:pPr>
        <w:keepNext/>
        <w:spacing w:before="240" w:line="240" w:lineRule="auto"/>
        <w:ind w:left="2268" w:right="1134" w:hanging="1134"/>
        <w:jc w:val="both"/>
        <w:rPr>
          <w:rStyle w:val="Emphasis"/>
        </w:rPr>
      </w:pPr>
      <w:r w:rsidRPr="00625C80">
        <w:rPr>
          <w:rStyle w:val="Emphasis"/>
        </w:rPr>
        <w:t xml:space="preserve">Box </w:t>
      </w:r>
      <w:r w:rsidRPr="00AE7461">
        <w:rPr>
          <w:rStyle w:val="Emphasis"/>
        </w:rPr>
        <w:t>6</w:t>
      </w:r>
      <w:r w:rsidRPr="00625C80">
        <w:rPr>
          <w:rStyle w:val="Emphasis"/>
        </w:rPr>
        <w:t xml:space="preserve"> </w:t>
      </w:r>
      <w:r w:rsidR="00D563BA">
        <w:rPr>
          <w:rStyle w:val="Emphasis"/>
        </w:rPr>
        <w:tab/>
      </w:r>
      <w:proofErr w:type="gramStart"/>
      <w:r w:rsidRPr="00D563BA">
        <w:rPr>
          <w:rStyle w:val="Emphasis"/>
        </w:rPr>
        <w:t>Do</w:t>
      </w:r>
      <w:proofErr w:type="gramEnd"/>
      <w:r w:rsidRPr="00D563BA">
        <w:rPr>
          <w:rStyle w:val="Emphasis"/>
        </w:rPr>
        <w:t xml:space="preserve"> test results show that the solid is a combustible dust?</w:t>
      </w:r>
    </w:p>
    <w:p w14:paraId="2EE3ABB6" w14:textId="05F524AD" w:rsidR="00DB3FEF" w:rsidRDefault="00A52F7D" w:rsidP="00DB3FEF">
      <w:pPr>
        <w:pStyle w:val="NormalIndent"/>
        <w:spacing w:before="200"/>
        <w:ind w:left="1134" w:right="1134"/>
        <w:jc w:val="both"/>
        <w:rPr>
          <w:rStyle w:val="Emphasis"/>
          <w:b/>
          <w:i w:val="0"/>
        </w:rPr>
      </w:pPr>
      <w:r>
        <w:t>A11</w:t>
      </w:r>
      <w:r w:rsidR="00D563BA">
        <w:t>.2.3.2.10</w:t>
      </w:r>
      <w:r w:rsidR="00D563BA">
        <w:tab/>
      </w:r>
      <w:r w:rsidR="00DB3FEF" w:rsidRPr="00B7779F">
        <w:t xml:space="preserve">Properties such as </w:t>
      </w:r>
      <w:r w:rsidR="00C121DC" w:rsidRPr="00B7779F">
        <w:t>partic</w:t>
      </w:r>
      <w:r w:rsidR="00C121DC">
        <w:t>le</w:t>
      </w:r>
      <w:r w:rsidR="00C121DC" w:rsidRPr="00B7779F">
        <w:t xml:space="preserve"> </w:t>
      </w:r>
      <w:r w:rsidR="00DB3FEF" w:rsidRPr="00B7779F">
        <w:t>size, chemistry, moisture content, shape, and surface modification (e.g.</w:t>
      </w:r>
      <w:r w:rsidR="00DB3FEF">
        <w:t>,</w:t>
      </w:r>
      <w:r w:rsidR="00DB3FEF" w:rsidRPr="00B7779F">
        <w:t xml:space="preserve"> oxidation, coating, activation, </w:t>
      </w:r>
      <w:proofErr w:type="gramStart"/>
      <w:r w:rsidR="00DB3FEF" w:rsidRPr="00B7779F">
        <w:t>passivation</w:t>
      </w:r>
      <w:proofErr w:type="gramEnd"/>
      <w:r w:rsidR="00DB3FEF" w:rsidRPr="00B7779F">
        <w:t>) can influence the explosion behavio</w:t>
      </w:r>
      <w:r w:rsidR="0066155E">
        <w:t>u</w:t>
      </w:r>
      <w:r w:rsidR="00DB3FEF" w:rsidRPr="00B7779F">
        <w:t xml:space="preserve">r. Standard tests determine whether a dust is actually able to form </w:t>
      </w:r>
      <w:proofErr w:type="spellStart"/>
      <w:r w:rsidR="00DB3FEF" w:rsidRPr="00B7779F">
        <w:t>explosible</w:t>
      </w:r>
      <w:proofErr w:type="spellEnd"/>
      <w:r w:rsidR="00DB3FEF" w:rsidRPr="00B7779F">
        <w:t xml:space="preserve"> mixtures with air.</w:t>
      </w:r>
      <w:r w:rsidR="00DB3FEF" w:rsidRPr="00B7779F">
        <w:rPr>
          <w:rStyle w:val="Emphasis"/>
          <w:i w:val="0"/>
        </w:rPr>
        <w:t xml:space="preserve"> </w:t>
      </w:r>
    </w:p>
    <w:p w14:paraId="6F3F35F6" w14:textId="30264614" w:rsidR="00DB3FEF" w:rsidRDefault="00DB3FEF" w:rsidP="00DB3FEF">
      <w:pPr>
        <w:pStyle w:val="H23G"/>
      </w:pPr>
      <w:r>
        <w:tab/>
      </w:r>
      <w:r>
        <w:tab/>
      </w:r>
      <w:r w:rsidR="00A52F7D" w:rsidRPr="00706228">
        <w:t>A</w:t>
      </w:r>
      <w:r w:rsidR="00A52F7D">
        <w:t>11</w:t>
      </w:r>
      <w:r w:rsidRPr="00706228">
        <w:t>.2.4</w:t>
      </w:r>
      <w:r w:rsidRPr="00706228">
        <w:tab/>
      </w:r>
      <w:r w:rsidRPr="00375E0F">
        <w:rPr>
          <w:i/>
        </w:rPr>
        <w:t>Factors contributing to a dust explosion</w:t>
      </w:r>
      <w:r w:rsidRPr="00E8657F">
        <w:t xml:space="preserve"> </w:t>
      </w:r>
    </w:p>
    <w:p w14:paraId="67061E31" w14:textId="691516AF" w:rsidR="00DB3FEF" w:rsidRPr="00F67C6F" w:rsidRDefault="00DB3FEF" w:rsidP="00DB3FEF">
      <w:pPr>
        <w:pStyle w:val="SingleTxtG"/>
        <w:ind w:firstLine="1134"/>
        <w:rPr>
          <w:b/>
        </w:rPr>
      </w:pPr>
      <w:r w:rsidRPr="001D6D52">
        <w:t xml:space="preserve">A dust explosion may </w:t>
      </w:r>
      <w:proofErr w:type="gramStart"/>
      <w:r w:rsidRPr="001D6D52">
        <w:t>occur</w:t>
      </w:r>
      <w:proofErr w:type="gramEnd"/>
      <w:r w:rsidRPr="001D6D52">
        <w:t xml:space="preserve"> when there is a combustible dust, air or another oxidizing atmosphere, an ignition source, and the concentration of the combustible dust dispersed in air or another oxidizing atmosphere is above the minimum </w:t>
      </w:r>
      <w:proofErr w:type="spellStart"/>
      <w:r w:rsidRPr="001D6D52">
        <w:t>explosible</w:t>
      </w:r>
      <w:proofErr w:type="spellEnd"/>
      <w:r w:rsidRPr="001D6D52">
        <w:t xml:space="preserve"> concentration.  The relationship between these factors is complex.</w:t>
      </w:r>
      <w:r>
        <w:t xml:space="preserve">  </w:t>
      </w:r>
      <w:r w:rsidRPr="00F67C6F">
        <w:t>The following sections give further information</w:t>
      </w:r>
      <w:r>
        <w:t xml:space="preserve"> on the specific factors that cont</w:t>
      </w:r>
      <w:r w:rsidR="00D563BA">
        <w:t>r</w:t>
      </w:r>
      <w:r>
        <w:t>ibute to a dust explosion hazard</w:t>
      </w:r>
      <w:r w:rsidRPr="00F67C6F">
        <w:t>.  In some cases, expert advice may be needed.</w:t>
      </w:r>
    </w:p>
    <w:p w14:paraId="70C13981" w14:textId="475B2B28" w:rsidR="00DB3FEF" w:rsidRPr="00F67C6F" w:rsidRDefault="00DB3FEF" w:rsidP="00DB3FEF">
      <w:pPr>
        <w:pStyle w:val="H4G"/>
      </w:pPr>
      <w:r>
        <w:tab/>
      </w:r>
      <w:r>
        <w:tab/>
      </w:r>
      <w:r w:rsidR="00A52F7D" w:rsidRPr="00706228">
        <w:rPr>
          <w:i w:val="0"/>
        </w:rPr>
        <w:t>A</w:t>
      </w:r>
      <w:r w:rsidR="00A52F7D">
        <w:rPr>
          <w:i w:val="0"/>
        </w:rPr>
        <w:t>11</w:t>
      </w:r>
      <w:r w:rsidRPr="00706228">
        <w:rPr>
          <w:i w:val="0"/>
        </w:rPr>
        <w:t>.2.4.1</w:t>
      </w:r>
      <w:r w:rsidRPr="00F67C6F">
        <w:tab/>
      </w:r>
      <w:r>
        <w:t>Particle characteristics (size and shape)</w:t>
      </w:r>
    </w:p>
    <w:p w14:paraId="3FC805CC" w14:textId="0F9378B9" w:rsidR="00DB3FEF" w:rsidRDefault="00A52F7D" w:rsidP="00DB3FEF">
      <w:pPr>
        <w:pStyle w:val="SingleTxtG"/>
      </w:pPr>
      <w:r>
        <w:t>A11</w:t>
      </w:r>
      <w:r w:rsidR="00DB3FEF">
        <w:t>.2.4.1.1</w:t>
      </w:r>
      <w:r w:rsidR="00DB3FEF">
        <w:tab/>
      </w:r>
      <w:r w:rsidR="00DB3FEF" w:rsidRPr="005F4603">
        <w:t xml:space="preserve">The 500 </w:t>
      </w:r>
      <w:proofErr w:type="spellStart"/>
      <w:r w:rsidR="00DB3FEF" w:rsidRPr="005F4603">
        <w:t>μm</w:t>
      </w:r>
      <w:proofErr w:type="spellEnd"/>
      <w:r w:rsidR="00DB3FEF" w:rsidRPr="005F4603">
        <w:t xml:space="preserve"> size criterion is based on the fact that particles of greater size generally have a surface-to-volume ratio that is too small to pose a deflagration hazard.  However, this criterion should be used with care. </w:t>
      </w:r>
      <w:r w:rsidR="00DB3FEF">
        <w:t xml:space="preserve"> </w:t>
      </w:r>
      <w:r w:rsidR="00DB3FEF" w:rsidRPr="005F4603">
        <w:t>Flat platelet-shaped particles, flakes, or fib</w:t>
      </w:r>
      <w:r w:rsidR="00DB3FEF">
        <w:t>re</w:t>
      </w:r>
      <w:r w:rsidR="00DB3FEF" w:rsidRPr="005F4603">
        <w:t xml:space="preserve">s with lengths that are large compared to their diameter usually do not pass through a 500 </w:t>
      </w:r>
      <w:proofErr w:type="spellStart"/>
      <w:r w:rsidR="00DB3FEF" w:rsidRPr="005F4603">
        <w:t>μm</w:t>
      </w:r>
      <w:proofErr w:type="spellEnd"/>
      <w:r w:rsidR="00DB3FEF" w:rsidRPr="005F4603">
        <w:t xml:space="preserve"> sieve, yet could still pose a deflagration hazard. </w:t>
      </w:r>
      <w:r w:rsidR="00DB3FEF">
        <w:t xml:space="preserve"> </w:t>
      </w:r>
      <w:r w:rsidR="00DB3FEF" w:rsidRPr="005F4603">
        <w:t xml:space="preserve">In addition, many particles accumulate electrostatic charge in handling, causing them to attract each other, forming agglomerates. Often agglomerates behave as if they were larger particles, yet when they are dispersed they </w:t>
      </w:r>
      <w:r w:rsidR="00DB3FEF">
        <w:t xml:space="preserve">can </w:t>
      </w:r>
      <w:r w:rsidR="00DB3FEF" w:rsidRPr="005F4603">
        <w:t xml:space="preserve">present a significant hazard.  In such cases, a conservative approach is recommended and the material should be treated as a </w:t>
      </w:r>
      <w:r w:rsidR="00DB3FEF">
        <w:t xml:space="preserve">combustible </w:t>
      </w:r>
      <w:r w:rsidR="00DB3FEF" w:rsidRPr="005F4603">
        <w:t xml:space="preserve">dust. </w:t>
      </w:r>
    </w:p>
    <w:p w14:paraId="7793275E" w14:textId="278B06DC" w:rsidR="00DB3FEF" w:rsidRPr="005F4603" w:rsidRDefault="00A52F7D" w:rsidP="00DB3FEF">
      <w:pPr>
        <w:pStyle w:val="SingleTxtG"/>
      </w:pPr>
      <w:r>
        <w:t>A11.2</w:t>
      </w:r>
      <w:r w:rsidR="00DB3FEF">
        <w:t>.4.1.2</w:t>
      </w:r>
      <w:r w:rsidR="00DB3FEF">
        <w:tab/>
      </w:r>
      <w:r w:rsidR="00DB3FEF" w:rsidRPr="00AE634A">
        <w:t xml:space="preserve">The particle size influences the explosion severity as well as the ignition sensitivity. </w:t>
      </w:r>
      <w:r w:rsidR="00DB3FEF">
        <w:t xml:space="preserve"> </w:t>
      </w:r>
      <w:r w:rsidR="00DB3FEF" w:rsidRPr="00AE634A">
        <w:t xml:space="preserve">A decrease in particle size tends to lower the MIE and the MIT of a dust cloud while the maximum explosion pressure and </w:t>
      </w:r>
      <w:proofErr w:type="spellStart"/>
      <w:r w:rsidR="00DB3FEF" w:rsidRPr="00AE634A">
        <w:t>K</w:t>
      </w:r>
      <w:r w:rsidR="00DB3FEF" w:rsidRPr="00A55F9E">
        <w:rPr>
          <w:vertAlign w:val="subscript"/>
        </w:rPr>
        <w:t>St</w:t>
      </w:r>
      <w:proofErr w:type="spellEnd"/>
      <w:r w:rsidR="00DB3FEF" w:rsidRPr="00AE634A">
        <w:t xml:space="preserve"> value will rise.</w:t>
      </w:r>
    </w:p>
    <w:p w14:paraId="635A2D31" w14:textId="1B92DB80" w:rsidR="00DB3FEF" w:rsidRDefault="00A52F7D" w:rsidP="00DB3FEF">
      <w:pPr>
        <w:pStyle w:val="SingleTxtG"/>
      </w:pPr>
      <w:r>
        <w:lastRenderedPageBreak/>
        <w:t>A11</w:t>
      </w:r>
      <w:r w:rsidR="00DB3FEF">
        <w:t>.2.4.1.3</w:t>
      </w:r>
      <w:r w:rsidR="00DB3FEF">
        <w:tab/>
        <w:t>A concentration limit for the fraction of small dust particles in a combustible solid substance or mixture (e.g., by weight percent) that will not lead to a combustible dust hazard cannot be defined because:</w:t>
      </w:r>
    </w:p>
    <w:p w14:paraId="1584AE4F" w14:textId="56E828F2" w:rsidR="00DB3FEF" w:rsidRPr="005F4603" w:rsidRDefault="00DB3FEF" w:rsidP="00DB3FEF">
      <w:pPr>
        <w:pStyle w:val="SingleTxtG"/>
        <w:ind w:left="2835" w:hanging="567"/>
      </w:pPr>
      <w:r>
        <w:t>(a)</w:t>
      </w:r>
      <w:r>
        <w:tab/>
        <w:t>S</w:t>
      </w:r>
      <w:r w:rsidRPr="005F4603">
        <w:t xml:space="preserve">mall amounts of dust </w:t>
      </w:r>
      <w:r>
        <w:t xml:space="preserve">are sufficient to </w:t>
      </w:r>
      <w:r w:rsidRPr="005F4603">
        <w:t xml:space="preserve">form </w:t>
      </w:r>
      <w:r>
        <w:t xml:space="preserve">an </w:t>
      </w:r>
      <w:proofErr w:type="spellStart"/>
      <w:r>
        <w:t>explosible</w:t>
      </w:r>
      <w:proofErr w:type="spellEnd"/>
      <w:r>
        <w:t xml:space="preserve"> </w:t>
      </w:r>
      <w:r w:rsidRPr="005F4603">
        <w:t xml:space="preserve">dust-air mixture. </w:t>
      </w:r>
      <w:r>
        <w:t xml:space="preserve"> </w:t>
      </w:r>
      <w:r w:rsidRPr="005F4603">
        <w:t>Assuming the lower explosion limit of a combustible dust is 30 g/m³, an amount of 0.3</w:t>
      </w:r>
      <w:r w:rsidR="0066155E" w:rsidDel="0066155E">
        <w:t xml:space="preserve"> </w:t>
      </w:r>
      <w:r w:rsidRPr="005F4603">
        <w:t>g dispersed in 10 </w:t>
      </w:r>
      <w:r w:rsidR="0066155E" w:rsidRPr="0066155E">
        <w:rPr>
          <w:i/>
        </w:rPr>
        <w:t>l</w:t>
      </w:r>
      <w:r w:rsidR="0066155E" w:rsidRPr="005F4603">
        <w:t xml:space="preserve"> </w:t>
      </w:r>
      <w:r w:rsidRPr="005F4603">
        <w:t xml:space="preserve">of air would be sufficient to form a hazardous </w:t>
      </w:r>
      <w:proofErr w:type="spellStart"/>
      <w:r w:rsidRPr="005F4603">
        <w:t>explosi</w:t>
      </w:r>
      <w:r>
        <w:t>ble</w:t>
      </w:r>
      <w:proofErr w:type="spellEnd"/>
      <w:r w:rsidRPr="005F4603">
        <w:t xml:space="preserve"> dust atmosphere.</w:t>
      </w:r>
      <w:r>
        <w:t xml:space="preserve">  Therefore, a</w:t>
      </w:r>
      <w:r w:rsidRPr="005F4603">
        <w:t xml:space="preserve"> (combustible) dust cloud </w:t>
      </w:r>
      <w:r>
        <w:t>with</w:t>
      </w:r>
      <w:r w:rsidRPr="005F4603">
        <w:t xml:space="preserve"> a volume of 10 </w:t>
      </w:r>
      <w:r w:rsidR="0066155E" w:rsidRPr="0066155E">
        <w:rPr>
          <w:i/>
        </w:rPr>
        <w:t>l</w:t>
      </w:r>
      <w:r w:rsidR="0066155E" w:rsidRPr="005F4603">
        <w:t xml:space="preserve"> </w:t>
      </w:r>
      <w:r w:rsidRPr="005F4603">
        <w:t>has to be considered as hazardous even when unconfined.</w:t>
      </w:r>
      <w:r>
        <w:t xml:space="preserve"> </w:t>
      </w:r>
    </w:p>
    <w:p w14:paraId="1E1FC9B1" w14:textId="77777777" w:rsidR="00DB3FEF" w:rsidRPr="00F67C6F" w:rsidRDefault="00DB3FEF" w:rsidP="00DB3FEF">
      <w:pPr>
        <w:pStyle w:val="SingleTxtG"/>
        <w:ind w:left="2835" w:hanging="567"/>
        <w:rPr>
          <w:rStyle w:val="Emphasis"/>
          <w:b/>
        </w:rPr>
      </w:pPr>
      <w:r>
        <w:t>(b)</w:t>
      </w:r>
      <w:r>
        <w:tab/>
      </w:r>
      <w:r w:rsidRPr="005F4603">
        <w:t xml:space="preserve">Dust may not be equally distributed in </w:t>
      </w:r>
      <w:r>
        <w:t xml:space="preserve">a </w:t>
      </w:r>
      <w:r w:rsidRPr="005F4603">
        <w:t>substance or mixture and may accumulate and/or separate.</w:t>
      </w:r>
      <w:r>
        <w:t xml:space="preserve"> </w:t>
      </w:r>
    </w:p>
    <w:p w14:paraId="44895F98" w14:textId="2377B0C5" w:rsidR="00DB3FEF" w:rsidRPr="00706228" w:rsidRDefault="00DB3FEF" w:rsidP="00DB3FEF">
      <w:pPr>
        <w:pStyle w:val="H4G"/>
      </w:pPr>
      <w:r>
        <w:tab/>
      </w:r>
      <w:r>
        <w:tab/>
      </w:r>
      <w:r w:rsidR="00A52F7D" w:rsidRPr="00706228">
        <w:rPr>
          <w:i w:val="0"/>
        </w:rPr>
        <w:t>A</w:t>
      </w:r>
      <w:r w:rsidR="00A52F7D">
        <w:rPr>
          <w:i w:val="0"/>
        </w:rPr>
        <w:t>11</w:t>
      </w:r>
      <w:r w:rsidRPr="00706228">
        <w:rPr>
          <w:i w:val="0"/>
        </w:rPr>
        <w:t>.2.4.2</w:t>
      </w:r>
      <w:r w:rsidRPr="00706228">
        <w:rPr>
          <w:i w:val="0"/>
        </w:rPr>
        <w:tab/>
      </w:r>
      <w:r w:rsidRPr="00706228">
        <w:t>Concentration of combustible dust</w:t>
      </w:r>
    </w:p>
    <w:p w14:paraId="65253151" w14:textId="41C53BC6" w:rsidR="00DB3FEF" w:rsidRPr="001B7338" w:rsidRDefault="00A52F7D" w:rsidP="00DB3FEF">
      <w:pPr>
        <w:pStyle w:val="SingleTxtG"/>
      </w:pPr>
      <w:r>
        <w:t>A11</w:t>
      </w:r>
      <w:r w:rsidR="00DB3FEF">
        <w:t>.2.4.2.1</w:t>
      </w:r>
      <w:r w:rsidR="00DB3FEF">
        <w:tab/>
      </w:r>
      <w:r w:rsidR="00DB3FEF" w:rsidRPr="005F4603">
        <w:t>A dust explosion may occur if the concentration of combustible dust dispersed in air reaches a minimum value, the (MEC/LEL)</w:t>
      </w:r>
      <w:r w:rsidR="00DB3FEF">
        <w:rPr>
          <w:rStyle w:val="FootnoteReference"/>
        </w:rPr>
        <w:footnoteReference w:id="6"/>
      </w:r>
      <w:r w:rsidR="00DB3FEF">
        <w:t>.  This</w:t>
      </w:r>
      <w:r w:rsidR="00DB3FEF" w:rsidRPr="005F4603">
        <w:t xml:space="preserve"> value </w:t>
      </w:r>
      <w:r w:rsidR="00DB3FEF">
        <w:t xml:space="preserve">is </w:t>
      </w:r>
      <w:r w:rsidR="00DB3FEF" w:rsidRPr="005F4603">
        <w:t xml:space="preserve">specific for each </w:t>
      </w:r>
      <w:r w:rsidR="00DB3FEF">
        <w:t>dust</w:t>
      </w:r>
      <w:r w:rsidR="00DB3FEF" w:rsidRPr="001B7338">
        <w:t xml:space="preserve">. </w:t>
      </w:r>
    </w:p>
    <w:p w14:paraId="5EE1EE3B" w14:textId="2925C952" w:rsidR="00DB3FEF" w:rsidRPr="005F4603" w:rsidRDefault="00A52F7D" w:rsidP="00DB3FEF">
      <w:pPr>
        <w:pStyle w:val="SingleTxtG"/>
      </w:pPr>
      <w:r>
        <w:t>A11</w:t>
      </w:r>
      <w:r w:rsidR="00DB3FEF">
        <w:t>.2.4.2.2</w:t>
      </w:r>
      <w:r w:rsidR="00DB3FEF">
        <w:tab/>
      </w:r>
      <w:r w:rsidR="00DB3FEF" w:rsidRPr="003E18A3">
        <w:t xml:space="preserve">The MEC/LEL of many materials </w:t>
      </w:r>
      <w:proofErr w:type="gramStart"/>
      <w:r w:rsidR="00DB3FEF" w:rsidRPr="003E18A3">
        <w:t>have</w:t>
      </w:r>
      <w:proofErr w:type="gramEnd"/>
      <w:r w:rsidR="00DB3FEF" w:rsidRPr="003E18A3">
        <w:t xml:space="preserve"> been measured, varying from 10 to about 500 </w:t>
      </w:r>
      <w:r w:rsidR="0066155E" w:rsidRPr="005F4603">
        <w:t>g/m³</w:t>
      </w:r>
      <w:r w:rsidR="00DB3FEF" w:rsidRPr="003E18A3">
        <w:t xml:space="preserve">.  For most </w:t>
      </w:r>
      <w:r w:rsidR="00DB3FEF">
        <w:t>combustible dusts</w:t>
      </w:r>
      <w:r w:rsidR="00DB3FEF" w:rsidRPr="003E18A3">
        <w:t xml:space="preserve"> it may be assumed that 30</w:t>
      </w:r>
      <w:r w:rsidR="0066155E">
        <w:t> </w:t>
      </w:r>
      <w:r w:rsidR="0066155E" w:rsidRPr="005F4603">
        <w:t>g/</w:t>
      </w:r>
      <w:r w:rsidR="00C51B5D" w:rsidRPr="005F4603">
        <w:t>m³</w:t>
      </w:r>
      <w:r w:rsidR="00C51B5D">
        <w:t xml:space="preserve"> </w:t>
      </w:r>
      <w:proofErr w:type="gramStart"/>
      <w:r w:rsidR="00C51B5D" w:rsidRPr="003E18A3">
        <w:t>is</w:t>
      </w:r>
      <w:proofErr w:type="gramEnd"/>
      <w:r w:rsidR="00DB3FEF" w:rsidRPr="003E18A3">
        <w:t xml:space="preserve"> the MEC/LEL (it has to be taken into account that 30 </w:t>
      </w:r>
      <w:r w:rsidR="0066155E">
        <w:t>g</w:t>
      </w:r>
      <w:r w:rsidR="0066155E" w:rsidRPr="003E18A3">
        <w:t xml:space="preserve"> </w:t>
      </w:r>
      <w:r w:rsidR="00DB3FEF" w:rsidRPr="003E18A3">
        <w:t xml:space="preserve">dispersed in </w:t>
      </w:r>
      <w:r w:rsidR="0066155E">
        <w:t xml:space="preserve">1 </w:t>
      </w:r>
      <w:r w:rsidR="00C51B5D" w:rsidRPr="005F4603">
        <w:t>m³</w:t>
      </w:r>
      <w:r w:rsidR="00C51B5D">
        <w:t xml:space="preserve"> </w:t>
      </w:r>
      <w:r w:rsidR="00C51B5D" w:rsidRPr="003E18A3">
        <w:t>of</w:t>
      </w:r>
      <w:r w:rsidR="00DB3FEF" w:rsidRPr="003E18A3">
        <w:t xml:space="preserve"> air</w:t>
      </w:r>
      <w:r w:rsidR="00DB3FEF" w:rsidRPr="003E18A3">
        <w:rPr>
          <w:strike/>
        </w:rPr>
        <w:t>,</w:t>
      </w:r>
      <w:r w:rsidR="00DB3FEF" w:rsidRPr="003E18A3">
        <w:t xml:space="preserve"> resemble</w:t>
      </w:r>
      <w:r w:rsidR="00DB3FEF">
        <w:t>s</w:t>
      </w:r>
      <w:r w:rsidR="00DB3FEF" w:rsidRPr="003E18A3">
        <w:t xml:space="preserve"> a very dense fog). </w:t>
      </w:r>
    </w:p>
    <w:p w14:paraId="1C7D264D" w14:textId="4D66FFCA" w:rsidR="00DB3FEF" w:rsidRPr="00706228" w:rsidRDefault="00DB3FEF" w:rsidP="00DB3FEF">
      <w:pPr>
        <w:pStyle w:val="H4G"/>
      </w:pPr>
      <w:r>
        <w:tab/>
      </w:r>
      <w:r>
        <w:tab/>
      </w:r>
      <w:r w:rsidR="00A52F7D" w:rsidRPr="00706228">
        <w:rPr>
          <w:i w:val="0"/>
        </w:rPr>
        <w:t>A</w:t>
      </w:r>
      <w:r w:rsidR="00A52F7D">
        <w:rPr>
          <w:i w:val="0"/>
        </w:rPr>
        <w:t>11</w:t>
      </w:r>
      <w:r w:rsidRPr="00706228">
        <w:rPr>
          <w:i w:val="0"/>
        </w:rPr>
        <w:t>.2.4.3</w:t>
      </w:r>
      <w:r w:rsidRPr="00706228">
        <w:rPr>
          <w:i w:val="0"/>
        </w:rPr>
        <w:tab/>
      </w:r>
      <w:r w:rsidRPr="00706228">
        <w:t>Air or other oxidizing atmospheres</w:t>
      </w:r>
    </w:p>
    <w:p w14:paraId="08331BC9" w14:textId="77777777" w:rsidR="00DB3FEF" w:rsidRPr="003E18A3" w:rsidRDefault="00DB3FEF" w:rsidP="00DB3FEF">
      <w:pPr>
        <w:spacing w:before="240" w:line="240" w:lineRule="auto"/>
        <w:ind w:left="1134" w:right="1134" w:firstLine="1134"/>
        <w:jc w:val="both"/>
      </w:pPr>
      <w:r w:rsidRPr="003E18A3">
        <w:t xml:space="preserve">Generally air is the oxidizing agent in dust explosions, however, if combustible dusts are handled in other oxidizing gases or gas mixtures dust explosions </w:t>
      </w:r>
      <w:r>
        <w:t>may also</w:t>
      </w:r>
      <w:r w:rsidRPr="003E18A3">
        <w:t xml:space="preserve"> occur.</w:t>
      </w:r>
    </w:p>
    <w:p w14:paraId="2BBDB042" w14:textId="036FCD17" w:rsidR="00DB3FEF" w:rsidRPr="00706228" w:rsidRDefault="00DB3FEF" w:rsidP="00DB3FEF">
      <w:pPr>
        <w:pStyle w:val="H4G"/>
      </w:pPr>
      <w:r>
        <w:tab/>
      </w:r>
      <w:r>
        <w:tab/>
      </w:r>
      <w:r w:rsidR="00A52F7D" w:rsidRPr="00706228">
        <w:rPr>
          <w:i w:val="0"/>
        </w:rPr>
        <w:t>A</w:t>
      </w:r>
      <w:r w:rsidR="00A52F7D">
        <w:rPr>
          <w:i w:val="0"/>
        </w:rPr>
        <w:t>11</w:t>
      </w:r>
      <w:r w:rsidRPr="00706228">
        <w:rPr>
          <w:i w:val="0"/>
        </w:rPr>
        <w:t>.2.4.4</w:t>
      </w:r>
      <w:r w:rsidRPr="00706228">
        <w:rPr>
          <w:i w:val="0"/>
        </w:rPr>
        <w:tab/>
      </w:r>
      <w:r w:rsidRPr="00706228">
        <w:t>Ignition sources</w:t>
      </w:r>
    </w:p>
    <w:p w14:paraId="271F9D55" w14:textId="731BA3A0" w:rsidR="00DB3FEF" w:rsidRPr="005F4603" w:rsidRDefault="00A52F7D" w:rsidP="00DB3FEF">
      <w:pPr>
        <w:pStyle w:val="SingleTxtG"/>
      </w:pPr>
      <w:r>
        <w:t>A11</w:t>
      </w:r>
      <w:r w:rsidR="00DB3FEF">
        <w:t>.2.4.4.1</w:t>
      </w:r>
      <w:r w:rsidR="00DB3FEF">
        <w:tab/>
      </w:r>
      <w:r w:rsidR="00DB3FEF" w:rsidRPr="005F4603">
        <w:t xml:space="preserve">Dust explosions will occur when an effective ignition source is present in an </w:t>
      </w:r>
      <w:proofErr w:type="spellStart"/>
      <w:r w:rsidR="00DB3FEF" w:rsidRPr="005F4603">
        <w:t>explosible</w:t>
      </w:r>
      <w:proofErr w:type="spellEnd"/>
      <w:r w:rsidR="00DB3FEF" w:rsidRPr="005F4603">
        <w:t xml:space="preserve"> dust-air mixture (</w:t>
      </w:r>
      <w:proofErr w:type="spellStart"/>
      <w:r w:rsidR="00DB3FEF" w:rsidRPr="005F4603">
        <w:t>explosible</w:t>
      </w:r>
      <w:proofErr w:type="spellEnd"/>
      <w:r w:rsidR="00DB3FEF" w:rsidRPr="005F4603">
        <w:t xml:space="preserve"> atmosphere).  The effectiveness of a potential source of ignition </w:t>
      </w:r>
      <w:r w:rsidR="00DB3FEF">
        <w:t>reflects</w:t>
      </w:r>
      <w:r w:rsidR="00DB3FEF" w:rsidRPr="005F4603">
        <w:t xml:space="preserve"> the ability to ignite an </w:t>
      </w:r>
      <w:proofErr w:type="spellStart"/>
      <w:r w:rsidR="00DB3FEF" w:rsidRPr="005F4603">
        <w:t>explosible</w:t>
      </w:r>
      <w:proofErr w:type="spellEnd"/>
      <w:r w:rsidR="00DB3FEF" w:rsidRPr="005F4603">
        <w:t xml:space="preserve"> atmosphere.  It depends not only on the energy of the ignition source, but also on its interaction with the </w:t>
      </w:r>
      <w:proofErr w:type="spellStart"/>
      <w:r w:rsidR="00DB3FEF" w:rsidRPr="005F4603">
        <w:t>explosible</w:t>
      </w:r>
      <w:proofErr w:type="spellEnd"/>
      <w:r w:rsidR="00DB3FEF" w:rsidRPr="005F4603">
        <w:t xml:space="preserve"> atmosphere. </w:t>
      </w:r>
    </w:p>
    <w:p w14:paraId="02E3990E" w14:textId="564CFC1D" w:rsidR="00DB3FEF" w:rsidRPr="005F4603" w:rsidRDefault="00A52F7D" w:rsidP="00DB3FEF">
      <w:pPr>
        <w:pStyle w:val="SingleTxtG"/>
      </w:pPr>
      <w:r>
        <w:t>A11</w:t>
      </w:r>
      <w:r w:rsidR="00DB3FEF">
        <w:t>.2.4.4.2</w:t>
      </w:r>
      <w:r w:rsidR="00DB3FEF">
        <w:tab/>
      </w:r>
      <w:r w:rsidR="00DB3FEF" w:rsidRPr="005F4603">
        <w:t xml:space="preserve">The assessment of ignition sources is a two-step procedure:  First, possible ignition sources are identified.  In the second step, each possible ignition source is assessed with respect to its ability to ignite the explosive atmosphere.  The ignition sources identified as effective in this procedure then require </w:t>
      </w:r>
      <w:r w:rsidR="00DB3FEF">
        <w:t>appropriate</w:t>
      </w:r>
      <w:r w:rsidR="00DB3FEF" w:rsidRPr="005F4603">
        <w:t xml:space="preserve"> </w:t>
      </w:r>
      <w:r w:rsidR="00DB3FEF">
        <w:t xml:space="preserve">preventive </w:t>
      </w:r>
      <w:r w:rsidR="00DB3FEF" w:rsidRPr="005F4603">
        <w:t>measures within the explosion protection concept</w:t>
      </w:r>
      <w:r w:rsidR="00DB3FEF">
        <w:t xml:space="preserve"> (see </w:t>
      </w:r>
      <w:r>
        <w:t>A11</w:t>
      </w:r>
      <w:r w:rsidR="00DB3FEF">
        <w:t>.2.6.1)</w:t>
      </w:r>
      <w:r w:rsidR="00DB3FEF" w:rsidRPr="005F4603">
        <w:t>.</w:t>
      </w:r>
    </w:p>
    <w:p w14:paraId="70735306" w14:textId="59E92635" w:rsidR="00DB3FEF" w:rsidRPr="005F4603" w:rsidRDefault="00A52F7D" w:rsidP="00DB3FEF">
      <w:pPr>
        <w:pStyle w:val="SingleTxtG"/>
        <w:keepNext/>
        <w:keepLines/>
      </w:pPr>
      <w:r>
        <w:t>A11</w:t>
      </w:r>
      <w:r w:rsidR="00DB3FEF">
        <w:t>.2.4.4.3</w:t>
      </w:r>
      <w:r w:rsidR="00DB3FEF">
        <w:tab/>
        <w:t>P</w:t>
      </w:r>
      <w:r w:rsidR="00DB3FEF" w:rsidRPr="005F4603">
        <w:t>otential sources of ignition</w:t>
      </w:r>
      <w:r w:rsidR="00DB3FEF">
        <w:t xml:space="preserve"> include</w:t>
      </w:r>
      <w:r w:rsidR="00DB3FEF" w:rsidRPr="005F4603">
        <w:t xml:space="preserve">: </w:t>
      </w:r>
    </w:p>
    <w:p w14:paraId="1344FC14" w14:textId="77777777" w:rsidR="00DB3FEF" w:rsidRPr="005F4603" w:rsidRDefault="00DB3FEF" w:rsidP="00DB3FEF">
      <w:pPr>
        <w:pStyle w:val="SingleTxtG"/>
        <w:keepNext/>
        <w:keepLines/>
        <w:ind w:left="3119" w:hanging="851"/>
      </w:pPr>
      <w:r>
        <w:t>(a)</w:t>
      </w:r>
      <w:r>
        <w:tab/>
      </w:r>
      <w:r w:rsidRPr="005F4603">
        <w:t>Hot surfaces</w:t>
      </w:r>
    </w:p>
    <w:p w14:paraId="58874F39" w14:textId="77777777" w:rsidR="00DB3FEF" w:rsidRPr="005F4603" w:rsidRDefault="00DB3FEF" w:rsidP="00DB3FEF">
      <w:pPr>
        <w:pStyle w:val="SingleTxtG"/>
        <w:ind w:left="3119" w:hanging="851"/>
      </w:pPr>
      <w:r>
        <w:t>(b)</w:t>
      </w:r>
      <w:r>
        <w:tab/>
      </w:r>
      <w:r w:rsidRPr="005F4603">
        <w:t>Flames and hot gases</w:t>
      </w:r>
    </w:p>
    <w:p w14:paraId="59F7343E" w14:textId="77777777" w:rsidR="00DB3FEF" w:rsidRPr="005F4603" w:rsidRDefault="00DB3FEF" w:rsidP="00DB3FEF">
      <w:pPr>
        <w:pStyle w:val="SingleTxtG"/>
        <w:ind w:left="3119" w:hanging="851"/>
      </w:pPr>
      <w:r>
        <w:t>(c)</w:t>
      </w:r>
      <w:r>
        <w:tab/>
      </w:r>
      <w:r w:rsidRPr="005F4603">
        <w:t>Mechanically generated sparks</w:t>
      </w:r>
    </w:p>
    <w:p w14:paraId="7B9C15FF" w14:textId="77777777" w:rsidR="00DB3FEF" w:rsidRPr="005F4603" w:rsidRDefault="00DB3FEF" w:rsidP="00DB3FEF">
      <w:pPr>
        <w:pStyle w:val="SingleTxtG"/>
        <w:ind w:left="3119" w:hanging="851"/>
      </w:pPr>
      <w:r>
        <w:lastRenderedPageBreak/>
        <w:t>(d)</w:t>
      </w:r>
      <w:r>
        <w:tab/>
      </w:r>
      <w:r w:rsidRPr="005F4603">
        <w:t>Electric apparatus</w:t>
      </w:r>
    </w:p>
    <w:p w14:paraId="2E04D1EC" w14:textId="77777777" w:rsidR="00DB3FEF" w:rsidRPr="005F4603" w:rsidRDefault="00DB3FEF" w:rsidP="00DB3FEF">
      <w:pPr>
        <w:pStyle w:val="SingleTxtG"/>
        <w:ind w:left="3119" w:hanging="851"/>
      </w:pPr>
      <w:r>
        <w:t>(e)</w:t>
      </w:r>
      <w:r>
        <w:tab/>
      </w:r>
      <w:r w:rsidRPr="005F4603">
        <w:t xml:space="preserve">Stray electric currents and </w:t>
      </w:r>
      <w:proofErr w:type="spellStart"/>
      <w:r w:rsidRPr="005F4603">
        <w:t>cathodic</w:t>
      </w:r>
      <w:proofErr w:type="spellEnd"/>
      <w:r w:rsidRPr="005F4603">
        <w:t xml:space="preserve"> corrosion protection</w:t>
      </w:r>
    </w:p>
    <w:p w14:paraId="09F60EFF" w14:textId="77777777" w:rsidR="00DB3FEF" w:rsidRPr="005F4603" w:rsidRDefault="00DB3FEF" w:rsidP="00DB3FEF">
      <w:pPr>
        <w:pStyle w:val="SingleTxtG"/>
        <w:ind w:left="3119" w:hanging="851"/>
      </w:pPr>
      <w:r>
        <w:t>(f)</w:t>
      </w:r>
      <w:r>
        <w:tab/>
      </w:r>
      <w:r w:rsidRPr="005F4603">
        <w:t>Lightning</w:t>
      </w:r>
    </w:p>
    <w:p w14:paraId="3FAA1252" w14:textId="77777777" w:rsidR="00DB3FEF" w:rsidRPr="005F4603" w:rsidRDefault="00DB3FEF" w:rsidP="00DB3FEF">
      <w:pPr>
        <w:pStyle w:val="SingleTxtG"/>
        <w:ind w:left="3119" w:hanging="851"/>
      </w:pPr>
      <w:r>
        <w:t>(g)</w:t>
      </w:r>
      <w:r>
        <w:tab/>
      </w:r>
      <w:r w:rsidRPr="005F4603">
        <w:t>Static electricity</w:t>
      </w:r>
    </w:p>
    <w:p w14:paraId="7A8DAAC7" w14:textId="1CA32AF6" w:rsidR="00DB3FEF" w:rsidRPr="005F4603" w:rsidRDefault="00DB3FEF" w:rsidP="00DB3FEF">
      <w:pPr>
        <w:pStyle w:val="SingleTxtG"/>
        <w:ind w:left="3119" w:hanging="851"/>
      </w:pPr>
      <w:r>
        <w:t>(h)</w:t>
      </w:r>
      <w:r>
        <w:tab/>
      </w:r>
      <w:r w:rsidRPr="005F4603">
        <w:t>Radio frequency electromagnetic waves (10</w:t>
      </w:r>
      <w:r w:rsidRPr="005F4603">
        <w:rPr>
          <w:vertAlign w:val="superscript"/>
        </w:rPr>
        <w:t>4</w:t>
      </w:r>
      <w:r w:rsidRPr="005F4603">
        <w:t xml:space="preserve"> Hz - 3</w:t>
      </w:r>
      <w:r w:rsidR="00717EC9">
        <w:t>×</w:t>
      </w:r>
      <w:r w:rsidRPr="005F4603">
        <w:t>10</w:t>
      </w:r>
      <w:r w:rsidRPr="005F4603">
        <w:rPr>
          <w:vertAlign w:val="superscript"/>
        </w:rPr>
        <w:t>12</w:t>
      </w:r>
      <w:r w:rsidRPr="005F4603">
        <w:t xml:space="preserve"> Hz)</w:t>
      </w:r>
    </w:p>
    <w:p w14:paraId="27DD9014" w14:textId="1FC3791C" w:rsidR="00DB3FEF" w:rsidRPr="005F4603" w:rsidRDefault="00DB3FEF" w:rsidP="00DB3FEF">
      <w:pPr>
        <w:pStyle w:val="SingleTxtG"/>
        <w:ind w:left="3119" w:hanging="851"/>
      </w:pPr>
      <w:r>
        <w:t>(</w:t>
      </w:r>
      <w:proofErr w:type="spellStart"/>
      <w:r>
        <w:t>i</w:t>
      </w:r>
      <w:proofErr w:type="spellEnd"/>
      <w:r>
        <w:t>)</w:t>
      </w:r>
      <w:r>
        <w:tab/>
      </w:r>
      <w:r w:rsidRPr="005F4603">
        <w:t>Electromagnetic waves (3</w:t>
      </w:r>
      <w:r w:rsidR="00717EC9">
        <w:t>×</w:t>
      </w:r>
      <w:r w:rsidRPr="005F4603">
        <w:t>10</w:t>
      </w:r>
      <w:r w:rsidRPr="005F4603">
        <w:rPr>
          <w:vertAlign w:val="superscript"/>
        </w:rPr>
        <w:t>11</w:t>
      </w:r>
      <w:r w:rsidRPr="005F4603">
        <w:t xml:space="preserve"> Hz - 3</w:t>
      </w:r>
      <w:r w:rsidR="00717EC9">
        <w:t>×</w:t>
      </w:r>
      <w:r w:rsidRPr="005F4603">
        <w:t>10</w:t>
      </w:r>
      <w:r w:rsidRPr="005F4603">
        <w:rPr>
          <w:vertAlign w:val="superscript"/>
        </w:rPr>
        <w:t>15</w:t>
      </w:r>
      <w:r w:rsidRPr="005F4603">
        <w:t xml:space="preserve"> Hz)</w:t>
      </w:r>
    </w:p>
    <w:p w14:paraId="79ED0570" w14:textId="77777777" w:rsidR="00DB3FEF" w:rsidRPr="005F4603" w:rsidRDefault="00DB3FEF" w:rsidP="00DB3FEF">
      <w:pPr>
        <w:pStyle w:val="SingleTxtG"/>
        <w:ind w:left="3119" w:hanging="851"/>
      </w:pPr>
      <w:r>
        <w:t>(j)</w:t>
      </w:r>
      <w:r>
        <w:tab/>
      </w:r>
      <w:r w:rsidRPr="005F4603">
        <w:t>Ionizing radiation</w:t>
      </w:r>
    </w:p>
    <w:p w14:paraId="14F6800B" w14:textId="77777777" w:rsidR="00DB3FEF" w:rsidRPr="005F4603" w:rsidRDefault="00DB3FEF" w:rsidP="00DB3FEF">
      <w:pPr>
        <w:pStyle w:val="SingleTxtG"/>
        <w:ind w:left="3119" w:hanging="851"/>
      </w:pPr>
      <w:r>
        <w:t>(k)</w:t>
      </w:r>
      <w:r>
        <w:tab/>
      </w:r>
      <w:proofErr w:type="spellStart"/>
      <w:r w:rsidRPr="005F4603">
        <w:t>Ultrasonics</w:t>
      </w:r>
      <w:proofErr w:type="spellEnd"/>
    </w:p>
    <w:p w14:paraId="4F9ADE44" w14:textId="77777777" w:rsidR="00DB3FEF" w:rsidRPr="005F4603" w:rsidRDefault="00DB3FEF" w:rsidP="00DB3FEF">
      <w:pPr>
        <w:pStyle w:val="SingleTxtG"/>
        <w:ind w:left="3119" w:hanging="851"/>
      </w:pPr>
      <w:r>
        <w:t>(l)</w:t>
      </w:r>
      <w:r>
        <w:tab/>
      </w:r>
      <w:r w:rsidRPr="005F4603">
        <w:t>Adiabatic compression and shock waves</w:t>
      </w:r>
    </w:p>
    <w:p w14:paraId="034DC05B" w14:textId="77777777" w:rsidR="00DB3FEF" w:rsidRPr="001D6D52" w:rsidRDefault="00DB3FEF" w:rsidP="00DB3FEF">
      <w:pPr>
        <w:pStyle w:val="SingleTxtG"/>
        <w:ind w:left="3119" w:hanging="851"/>
      </w:pPr>
      <w:r>
        <w:t>(m)</w:t>
      </w:r>
      <w:r>
        <w:tab/>
      </w:r>
      <w:r w:rsidRPr="001D6D52">
        <w:t xml:space="preserve">Exothermic reactions, including self-ignition of dusts, smouldering/glowing particles or dusts, </w:t>
      </w:r>
      <w:r w:rsidRPr="001D6D52">
        <w:rPr>
          <w:bCs/>
          <w:color w:val="000000"/>
          <w:lang w:eastAsia="de-DE"/>
        </w:rPr>
        <w:t xml:space="preserve">and thermite reactions </w:t>
      </w:r>
      <w:r>
        <w:rPr>
          <w:bCs/>
          <w:color w:val="000000"/>
          <w:lang w:eastAsia="de-DE"/>
        </w:rPr>
        <w:t>(</w:t>
      </w:r>
      <w:r w:rsidRPr="001D6D52">
        <w:rPr>
          <w:bCs/>
          <w:color w:val="000000"/>
          <w:lang w:eastAsia="de-DE"/>
        </w:rPr>
        <w:t>e.g., between aluminium and rusty steel</w:t>
      </w:r>
      <w:r>
        <w:rPr>
          <w:bCs/>
          <w:color w:val="000000"/>
          <w:lang w:eastAsia="de-DE"/>
        </w:rPr>
        <w:t>)</w:t>
      </w:r>
    </w:p>
    <w:p w14:paraId="58D91AE1" w14:textId="606BA4EE" w:rsidR="00DB3FEF" w:rsidRPr="00706228" w:rsidRDefault="00DB3FEF" w:rsidP="00DB3FEF">
      <w:pPr>
        <w:pStyle w:val="H23G"/>
      </w:pPr>
      <w:r w:rsidRPr="00706228">
        <w:tab/>
      </w:r>
      <w:r w:rsidRPr="00706228">
        <w:tab/>
      </w:r>
      <w:r w:rsidR="00A52F7D" w:rsidRPr="00706228">
        <w:t>A</w:t>
      </w:r>
      <w:r w:rsidR="00A52F7D">
        <w:t>11</w:t>
      </w:r>
      <w:r w:rsidRPr="00706228">
        <w:t>.2.5</w:t>
      </w:r>
      <w:r w:rsidRPr="00706228">
        <w:tab/>
      </w:r>
      <w:r w:rsidRPr="00375E0F">
        <w:rPr>
          <w:i/>
        </w:rPr>
        <w:t>Other factors impacting the severity of a dust explosion</w:t>
      </w:r>
    </w:p>
    <w:p w14:paraId="1BE90FF2" w14:textId="7AD39B70" w:rsidR="00DB3FEF" w:rsidRPr="005F4603" w:rsidRDefault="00DB3FEF" w:rsidP="00DB3FEF">
      <w:pPr>
        <w:pStyle w:val="ListBullet"/>
        <w:keepNext/>
        <w:keepLines/>
        <w:numPr>
          <w:ilvl w:val="0"/>
          <w:numId w:val="0"/>
        </w:numPr>
        <w:spacing w:before="240"/>
        <w:ind w:left="1134" w:right="1134"/>
        <w:jc w:val="both"/>
        <w:rPr>
          <w:lang w:eastAsia="es-ES"/>
        </w:rPr>
      </w:pPr>
      <w:r>
        <w:rPr>
          <w:lang w:eastAsia="es-ES"/>
        </w:rPr>
        <w:tab/>
      </w:r>
      <w:r>
        <w:rPr>
          <w:lang w:eastAsia="es-ES"/>
        </w:rPr>
        <w:tab/>
        <w:t>In addition to</w:t>
      </w:r>
      <w:r w:rsidRPr="005F4603">
        <w:rPr>
          <w:lang w:eastAsia="es-ES"/>
        </w:rPr>
        <w:t xml:space="preserve"> the factors explained in </w:t>
      </w:r>
      <w:r w:rsidR="00A52F7D" w:rsidRPr="005F4603">
        <w:rPr>
          <w:lang w:eastAsia="es-ES"/>
        </w:rPr>
        <w:t>A</w:t>
      </w:r>
      <w:r w:rsidR="00A52F7D">
        <w:rPr>
          <w:lang w:eastAsia="es-ES"/>
        </w:rPr>
        <w:t>11</w:t>
      </w:r>
      <w:r w:rsidRPr="005F4603">
        <w:rPr>
          <w:lang w:eastAsia="es-ES"/>
        </w:rPr>
        <w:t>.2.</w:t>
      </w:r>
      <w:r>
        <w:rPr>
          <w:lang w:eastAsia="es-ES"/>
        </w:rPr>
        <w:t>4</w:t>
      </w:r>
      <w:r w:rsidRPr="005F4603">
        <w:rPr>
          <w:lang w:eastAsia="es-ES"/>
        </w:rPr>
        <w:t xml:space="preserve">, other conditions also influence how severe a dust explosion can be.  The more significant of these are environmental factors and confinement, which are explained below.  Since the list of factors presented in this section is not complete, expert advice should be sought </w:t>
      </w:r>
      <w:r>
        <w:rPr>
          <w:lang w:eastAsia="es-ES"/>
        </w:rPr>
        <w:t xml:space="preserve">as appropriate </w:t>
      </w:r>
      <w:r w:rsidRPr="005F4603">
        <w:rPr>
          <w:lang w:eastAsia="es-ES"/>
        </w:rPr>
        <w:t xml:space="preserve">when assessing the </w:t>
      </w:r>
      <w:r>
        <w:rPr>
          <w:lang w:eastAsia="es-ES"/>
        </w:rPr>
        <w:t>risk</w:t>
      </w:r>
      <w:r w:rsidRPr="005F4603">
        <w:rPr>
          <w:lang w:eastAsia="es-ES"/>
        </w:rPr>
        <w:t>s in a given situation.</w:t>
      </w:r>
    </w:p>
    <w:p w14:paraId="5715781A" w14:textId="22FF13FF" w:rsidR="00DB3FEF" w:rsidRPr="005F4603" w:rsidRDefault="00DB3FEF" w:rsidP="00DB3FEF">
      <w:pPr>
        <w:pStyle w:val="H4G"/>
      </w:pPr>
      <w:r>
        <w:tab/>
      </w:r>
      <w:r>
        <w:tab/>
      </w:r>
      <w:r w:rsidR="00A52F7D" w:rsidRPr="00706228">
        <w:rPr>
          <w:i w:val="0"/>
        </w:rPr>
        <w:t>A</w:t>
      </w:r>
      <w:r w:rsidR="00A52F7D">
        <w:rPr>
          <w:i w:val="0"/>
        </w:rPr>
        <w:t>11</w:t>
      </w:r>
      <w:r w:rsidRPr="00706228">
        <w:rPr>
          <w:i w:val="0"/>
        </w:rPr>
        <w:t>.2.5.1</w:t>
      </w:r>
      <w:r w:rsidRPr="00706228">
        <w:rPr>
          <w:i w:val="0"/>
        </w:rPr>
        <w:tab/>
      </w:r>
      <w:r w:rsidRPr="005F4603">
        <w:t>Influence of temperature, pressure, oxygen availability, and humidity</w:t>
      </w:r>
    </w:p>
    <w:p w14:paraId="6DAD5855" w14:textId="2EAEDE4D" w:rsidR="00DB3FEF" w:rsidRPr="005F4603" w:rsidRDefault="00A52F7D" w:rsidP="00DB3FEF">
      <w:pPr>
        <w:pStyle w:val="SingleTxtG"/>
      </w:pPr>
      <w:r>
        <w:t>A11</w:t>
      </w:r>
      <w:r w:rsidR="00DB3FEF">
        <w:t>.2.5.1.1</w:t>
      </w:r>
      <w:r w:rsidR="00DB3FEF">
        <w:tab/>
      </w:r>
      <w:r w:rsidR="00DB3FEF" w:rsidRPr="005F4603">
        <w:t>Safety relevant data are frequently given under the tacit assumption of atmospheric conditions and are usually valid in the following range (“standard atmospheric conditions”):</w:t>
      </w:r>
    </w:p>
    <w:p w14:paraId="2E229B62" w14:textId="4CD0C614" w:rsidR="00DB3FEF" w:rsidRPr="005F4603" w:rsidRDefault="00DB3FEF" w:rsidP="00DB3FEF">
      <w:pPr>
        <w:pStyle w:val="SingleTxtG"/>
        <w:ind w:left="3119" w:hanging="851"/>
      </w:pPr>
      <w:r>
        <w:t>(a)</w:t>
      </w:r>
      <w:r>
        <w:tab/>
      </w:r>
      <w:r w:rsidRPr="005F4603">
        <w:t>Temperature –20 °C to +60 °C</w:t>
      </w:r>
      <w:r w:rsidR="00A52F7D">
        <w:t>;</w:t>
      </w:r>
    </w:p>
    <w:p w14:paraId="00AFC4AA" w14:textId="004BD199" w:rsidR="00DB3FEF" w:rsidRPr="005F4603" w:rsidRDefault="00DB3FEF" w:rsidP="00DB3FEF">
      <w:pPr>
        <w:pStyle w:val="SingleTxtG"/>
        <w:ind w:left="3119" w:hanging="851"/>
      </w:pPr>
      <w:r>
        <w:t>(b)</w:t>
      </w:r>
      <w:r>
        <w:tab/>
      </w:r>
      <w:r w:rsidRPr="005F4603">
        <w:t xml:space="preserve">Pressure 80 </w:t>
      </w:r>
      <w:proofErr w:type="spellStart"/>
      <w:r w:rsidRPr="005F4603">
        <w:t>kPa</w:t>
      </w:r>
      <w:proofErr w:type="spellEnd"/>
      <w:r w:rsidRPr="005F4603">
        <w:t xml:space="preserve"> (0.8 bar) to 110 </w:t>
      </w:r>
      <w:proofErr w:type="spellStart"/>
      <w:r w:rsidRPr="005F4603">
        <w:t>kPa</w:t>
      </w:r>
      <w:proofErr w:type="spellEnd"/>
      <w:r w:rsidRPr="005F4603">
        <w:t xml:space="preserve"> (1.1 bar)</w:t>
      </w:r>
      <w:r w:rsidR="00A52F7D">
        <w:t>;</w:t>
      </w:r>
    </w:p>
    <w:p w14:paraId="72185ADD" w14:textId="77777777" w:rsidR="00DB3FEF" w:rsidRPr="005F4603" w:rsidRDefault="00DB3FEF" w:rsidP="00DB3FEF">
      <w:pPr>
        <w:pStyle w:val="SingleTxtG"/>
        <w:ind w:left="3119" w:hanging="851"/>
      </w:pPr>
      <w:r>
        <w:t>(c)</w:t>
      </w:r>
      <w:r>
        <w:tab/>
      </w:r>
      <w:r w:rsidRPr="005F4603">
        <w:t>Air with standard oxygen content (21 % v/v)</w:t>
      </w:r>
      <w:r>
        <w:t>.</w:t>
      </w:r>
    </w:p>
    <w:p w14:paraId="2B62B777" w14:textId="05930073" w:rsidR="00DB3FEF" w:rsidRPr="005F4603" w:rsidRDefault="00A52F7D" w:rsidP="00DB3FEF">
      <w:pPr>
        <w:pStyle w:val="SingleTxtG"/>
      </w:pPr>
      <w:r>
        <w:t>A11</w:t>
      </w:r>
      <w:r w:rsidR="00DB3FEF">
        <w:t>.2.5.1.2</w:t>
      </w:r>
      <w:r w:rsidR="00DB3FEF">
        <w:tab/>
      </w:r>
      <w:r w:rsidR="00DB3FEF" w:rsidRPr="005F4603">
        <w:t xml:space="preserve">An increase in temperature may have multiple effects such as a decrease in MEC and MIE, thus increasing the likelihood of a dust explosion. </w:t>
      </w:r>
    </w:p>
    <w:p w14:paraId="052513E5" w14:textId="7384F266" w:rsidR="00DB3FEF" w:rsidRPr="005F4603" w:rsidRDefault="00A52F7D" w:rsidP="00DB3FEF">
      <w:pPr>
        <w:pStyle w:val="SingleTxtG"/>
      </w:pPr>
      <w:r>
        <w:t>A11</w:t>
      </w:r>
      <w:r w:rsidR="00DB3FEF">
        <w:t>.2.5.1.3</w:t>
      </w:r>
      <w:r w:rsidR="00DB3FEF">
        <w:tab/>
      </w:r>
      <w:r w:rsidR="00DB3FEF" w:rsidRPr="005F4603">
        <w:t xml:space="preserve">An increase in pressure tends to lower the MIE and the </w:t>
      </w:r>
      <w:r w:rsidR="00DB3FEF">
        <w:t>MIT</w:t>
      </w:r>
      <w:r w:rsidR="00DB3FEF" w:rsidRPr="005F4603">
        <w:t xml:space="preserve"> of a dust cloud while the </w:t>
      </w:r>
      <w:r w:rsidR="00DB3FEF">
        <w:t>m</w:t>
      </w:r>
      <w:r w:rsidR="00DB3FEF" w:rsidRPr="005F4603">
        <w:t xml:space="preserve">aximum </w:t>
      </w:r>
      <w:r w:rsidR="00DB3FEF">
        <w:t>e</w:t>
      </w:r>
      <w:r w:rsidR="00DB3FEF" w:rsidRPr="005F4603">
        <w:t xml:space="preserve">xplosion </w:t>
      </w:r>
      <w:r w:rsidR="00DB3FEF">
        <w:t>p</w:t>
      </w:r>
      <w:r w:rsidR="00DB3FEF" w:rsidRPr="005F4603">
        <w:t xml:space="preserve">ressure will rise. The effect is increased sensitivity, thus </w:t>
      </w:r>
      <w:r w:rsidR="00DB3FEF">
        <w:t xml:space="preserve">increasing </w:t>
      </w:r>
      <w:r w:rsidR="00DB3FEF" w:rsidRPr="005F4603">
        <w:t xml:space="preserve">the likelihood </w:t>
      </w:r>
      <w:r w:rsidR="00DB3FEF">
        <w:t xml:space="preserve">and severity </w:t>
      </w:r>
      <w:r w:rsidR="00DB3FEF" w:rsidRPr="005F4603">
        <w:t>of a dust explosion.</w:t>
      </w:r>
    </w:p>
    <w:p w14:paraId="7A78EC7D" w14:textId="4E541CDA" w:rsidR="00DB3FEF" w:rsidRPr="005F4603" w:rsidRDefault="00A52F7D" w:rsidP="00DB3FEF">
      <w:pPr>
        <w:pStyle w:val="SingleTxtG"/>
      </w:pPr>
      <w:r>
        <w:t>A11</w:t>
      </w:r>
      <w:r w:rsidR="00DB3FEF">
        <w:t>.2.5.1.4</w:t>
      </w:r>
      <w:r w:rsidR="00DB3FEF">
        <w:tab/>
      </w:r>
      <w:r w:rsidR="00DB3FEF" w:rsidRPr="005F4603">
        <w:t xml:space="preserve">Higher oxygen content can </w:t>
      </w:r>
      <w:r w:rsidR="00DB3FEF">
        <w:t>significantly</w:t>
      </w:r>
      <w:r w:rsidR="00DB3FEF" w:rsidRPr="005F4603">
        <w:t xml:space="preserve"> increase the sensitivity of an </w:t>
      </w:r>
      <w:proofErr w:type="spellStart"/>
      <w:r w:rsidR="00DB3FEF" w:rsidRPr="005F4603">
        <w:t>explosi</w:t>
      </w:r>
      <w:r w:rsidR="00DB3FEF">
        <w:t>ble</w:t>
      </w:r>
      <w:proofErr w:type="spellEnd"/>
      <w:r w:rsidR="00DB3FEF" w:rsidRPr="005F4603">
        <w:t xml:space="preserve"> atmosphere and the </w:t>
      </w:r>
      <w:r w:rsidR="00DB3FEF">
        <w:t>severity</w:t>
      </w:r>
      <w:r w:rsidR="00DB3FEF" w:rsidRPr="005F4603">
        <w:t xml:space="preserve"> of an explosion due to higher explosion pressures.</w:t>
      </w:r>
      <w:r w:rsidR="00DB3FEF">
        <w:t xml:space="preserve">  Equally lower oxygen concentration can reduce the risk of an explosion.  The LEL may also rise. Such a situation can occur when a process is undertaken under an inert atmosphere.</w:t>
      </w:r>
    </w:p>
    <w:p w14:paraId="0C156F60" w14:textId="0BE3C352" w:rsidR="00DB3FEF" w:rsidRPr="005F4603" w:rsidRDefault="00A52F7D" w:rsidP="00DB3FEF">
      <w:pPr>
        <w:pStyle w:val="SingleTxtG"/>
      </w:pPr>
      <w:r>
        <w:t>A11</w:t>
      </w:r>
      <w:r w:rsidR="00DB3FEF">
        <w:t>.2.5.1.5</w:t>
      </w:r>
      <w:r w:rsidR="00DB3FEF">
        <w:tab/>
      </w:r>
      <w:r w:rsidR="00DB3FEF" w:rsidRPr="005F4603">
        <w:t>Low or high humidity (of air, gas phase) may influence the occurrence of electrostatic discharges.</w:t>
      </w:r>
    </w:p>
    <w:p w14:paraId="2D5E6202" w14:textId="3BC8D863" w:rsidR="00DB3FEF" w:rsidRPr="005F4603" w:rsidRDefault="00A52F7D" w:rsidP="00DB3FEF">
      <w:pPr>
        <w:pStyle w:val="SingleTxtG"/>
      </w:pPr>
      <w:r>
        <w:t>A11</w:t>
      </w:r>
      <w:r w:rsidR="00DB3FEF">
        <w:t>.2.5.1.6</w:t>
      </w:r>
      <w:r w:rsidR="00DB3FEF">
        <w:tab/>
      </w:r>
      <w:r w:rsidR="00DB3FEF" w:rsidRPr="005F4603">
        <w:t xml:space="preserve">Therefore, the risk and severity of dust explosions under non-standard atmospheric conditions should be evaluated by expert consideration of the actual process conditions. </w:t>
      </w:r>
    </w:p>
    <w:p w14:paraId="18E2C00B" w14:textId="23221F44" w:rsidR="00DB3FEF" w:rsidRPr="00706228" w:rsidRDefault="00DB3FEF" w:rsidP="00DB3FEF">
      <w:pPr>
        <w:pStyle w:val="H4G"/>
      </w:pPr>
      <w:r>
        <w:lastRenderedPageBreak/>
        <w:tab/>
      </w:r>
      <w:r>
        <w:tab/>
      </w:r>
      <w:r w:rsidR="00A52F7D" w:rsidRPr="00706228">
        <w:rPr>
          <w:i w:val="0"/>
        </w:rPr>
        <w:t>A</w:t>
      </w:r>
      <w:r w:rsidR="00A52F7D">
        <w:rPr>
          <w:i w:val="0"/>
        </w:rPr>
        <w:t>11</w:t>
      </w:r>
      <w:r w:rsidRPr="00706228">
        <w:rPr>
          <w:i w:val="0"/>
        </w:rPr>
        <w:t>.2.5.2</w:t>
      </w:r>
      <w:r w:rsidRPr="00706228">
        <w:rPr>
          <w:i w:val="0"/>
        </w:rPr>
        <w:tab/>
      </w:r>
      <w:r w:rsidRPr="00706228">
        <w:t>Confinement</w:t>
      </w:r>
    </w:p>
    <w:p w14:paraId="4DEE2D41" w14:textId="77777777" w:rsidR="00DB3FEF" w:rsidRPr="005F4603" w:rsidRDefault="00DB3FEF" w:rsidP="00DB3FEF">
      <w:pPr>
        <w:pStyle w:val="SingleTxtG"/>
      </w:pPr>
      <w:r>
        <w:tab/>
      </w:r>
      <w:r>
        <w:tab/>
      </w:r>
      <w:r w:rsidRPr="005F4603">
        <w:t>Confinement means the dust is in an enclosed or limited space.  A combustible dust (as defined above) can react without confinement or when confined. When confined</w:t>
      </w:r>
      <w:r>
        <w:t>,</w:t>
      </w:r>
      <w:r w:rsidRPr="005F4603">
        <w:t xml:space="preserve"> the explosion pressure</w:t>
      </w:r>
      <w:r>
        <w:t xml:space="preserve"> is likely to</w:t>
      </w:r>
      <w:r w:rsidRPr="005F4603">
        <w:t xml:space="preserve"> be higher than </w:t>
      </w:r>
      <w:r>
        <w:t>when</w:t>
      </w:r>
      <w:r w:rsidRPr="005F4603">
        <w:t xml:space="preserve"> unconfined</w:t>
      </w:r>
      <w:r>
        <w:t>, as</w:t>
      </w:r>
      <w:r w:rsidRPr="005F4603">
        <w:t xml:space="preserve"> confinement allows pressure to build up, increasing the severity of an explosion. </w:t>
      </w:r>
      <w:r>
        <w:t xml:space="preserve"> Using suitably sized and located explosion relief allows </w:t>
      </w:r>
      <w:r w:rsidRPr="00DB3FEF">
        <w:rPr>
          <w:color w:val="000000"/>
        </w:rPr>
        <w:t xml:space="preserve">the burning dust cloud and hot </w:t>
      </w:r>
      <w:r>
        <w:t xml:space="preserve">products of a dust explosion to vent to safe places outside the confined area, reducing the potential for the pressure to increase, and so limiting the potential explosion severity.  </w:t>
      </w:r>
      <w:r w:rsidRPr="006E390D">
        <w:t xml:space="preserve">Expert advice may be needed on the </w:t>
      </w:r>
      <w:r>
        <w:t xml:space="preserve">possible application and </w:t>
      </w:r>
      <w:r w:rsidRPr="006E390D">
        <w:t>design of explosion relief venting based upon the</w:t>
      </w:r>
      <w:r w:rsidRPr="006E390D">
        <w:rPr>
          <w:lang w:val="en"/>
        </w:rPr>
        <w:t xml:space="preserve"> physical and chemical properties and potential health/physical hazards of the </w:t>
      </w:r>
      <w:r w:rsidRPr="006E390D">
        <w:t>substance, mixture, or solid material.</w:t>
      </w:r>
      <w:r w:rsidRPr="006E390D" w:rsidDel="006E390D">
        <w:t xml:space="preserve"> </w:t>
      </w:r>
      <w:r>
        <w:t xml:space="preserve"> </w:t>
      </w:r>
    </w:p>
    <w:p w14:paraId="454AE67D" w14:textId="6F162A40" w:rsidR="00DB3FEF" w:rsidRPr="001B7338" w:rsidRDefault="00DB3FEF" w:rsidP="00DB3FEF">
      <w:pPr>
        <w:pStyle w:val="H23G"/>
      </w:pPr>
      <w:r>
        <w:tab/>
      </w:r>
      <w:r>
        <w:tab/>
      </w:r>
      <w:r w:rsidR="00A52F7D" w:rsidRPr="001B7338">
        <w:t>A</w:t>
      </w:r>
      <w:r w:rsidR="00A52F7D">
        <w:t>11</w:t>
      </w:r>
      <w:r w:rsidRPr="001B7338">
        <w:t>.2.</w:t>
      </w:r>
      <w:r>
        <w:t>6</w:t>
      </w:r>
      <w:r w:rsidRPr="001B7338">
        <w:tab/>
      </w:r>
      <w:r w:rsidRPr="00375E0F">
        <w:rPr>
          <w:i/>
        </w:rPr>
        <w:t>Hazard prevention, risk assessment and mitigation</w:t>
      </w:r>
    </w:p>
    <w:p w14:paraId="65791503" w14:textId="405FBC15" w:rsidR="00DB3FEF" w:rsidRPr="003E18A3" w:rsidRDefault="00DB3FEF" w:rsidP="00DB3FEF">
      <w:pPr>
        <w:pStyle w:val="H4G"/>
      </w:pPr>
      <w:r>
        <w:tab/>
      </w:r>
      <w:r>
        <w:tab/>
      </w:r>
      <w:r w:rsidR="00A52F7D" w:rsidRPr="00706228">
        <w:rPr>
          <w:i w:val="0"/>
        </w:rPr>
        <w:t>A</w:t>
      </w:r>
      <w:r w:rsidR="00A52F7D">
        <w:rPr>
          <w:i w:val="0"/>
        </w:rPr>
        <w:t>11</w:t>
      </w:r>
      <w:r w:rsidRPr="00706228">
        <w:rPr>
          <w:i w:val="0"/>
        </w:rPr>
        <w:t>.2.6.1</w:t>
      </w:r>
      <w:r w:rsidRPr="00706228">
        <w:rPr>
          <w:i w:val="0"/>
        </w:rPr>
        <w:tab/>
      </w:r>
      <w:r w:rsidRPr="003E18A3">
        <w:t xml:space="preserve">General </w:t>
      </w:r>
      <w:proofErr w:type="gramStart"/>
      <w:r w:rsidRPr="003E18A3">
        <w:t>explosion</w:t>
      </w:r>
      <w:proofErr w:type="gramEnd"/>
      <w:r w:rsidRPr="003E18A3">
        <w:t xml:space="preserve"> protection concept for dusts</w:t>
      </w:r>
    </w:p>
    <w:p w14:paraId="7127F87E" w14:textId="4A5DA7AF" w:rsidR="00DB3FEF" w:rsidRPr="005F4603" w:rsidRDefault="00A52F7D" w:rsidP="00DB3FEF">
      <w:pPr>
        <w:pStyle w:val="SingleTxtG"/>
      </w:pPr>
      <w:r>
        <w:t>A11</w:t>
      </w:r>
      <w:r w:rsidR="00DB3FEF">
        <w:t>.2.6.1.1</w:t>
      </w:r>
      <w:r w:rsidR="00DB3FEF">
        <w:tab/>
      </w:r>
      <w:r w:rsidR="00DB3FEF" w:rsidRPr="003E18A3">
        <w:t xml:space="preserve">Table </w:t>
      </w:r>
      <w:r w:rsidRPr="003E18A3">
        <w:t>A</w:t>
      </w:r>
      <w:r>
        <w:t>11</w:t>
      </w:r>
      <w:r w:rsidR="00DB3FEF" w:rsidRPr="003E18A3">
        <w:t>.2.1</w:t>
      </w:r>
      <w:r w:rsidR="00DB3FEF">
        <w:t xml:space="preserve"> </w:t>
      </w:r>
      <w:r w:rsidR="00DB3FEF" w:rsidRPr="005F4603">
        <w:t xml:space="preserve">shows the principles of explosion protection.  The </w:t>
      </w:r>
      <w:r w:rsidR="00DB3FEF">
        <w:t>table</w:t>
      </w:r>
      <w:r w:rsidR="00DB3FEF" w:rsidRPr="005F4603">
        <w:t xml:space="preserve"> presents both preventive and </w:t>
      </w:r>
      <w:proofErr w:type="spellStart"/>
      <w:r w:rsidR="00DB3FEF" w:rsidRPr="005F4603">
        <w:t>mitigative</w:t>
      </w:r>
      <w:proofErr w:type="spellEnd"/>
      <w:r w:rsidR="00DB3FEF" w:rsidRPr="005F4603">
        <w:t xml:space="preserve"> measures, and identifies which safety characteristics are most relevant to </w:t>
      </w:r>
      <w:r w:rsidR="00DB3FEF">
        <w:t>the</w:t>
      </w:r>
      <w:r w:rsidR="00DB3FEF" w:rsidRPr="005F4603">
        <w:t xml:space="preserve"> measure</w:t>
      </w:r>
      <w:r w:rsidR="00DB3FEF">
        <w:t>s</w:t>
      </w:r>
      <w:r w:rsidR="00DB3FEF" w:rsidRPr="005F4603">
        <w:t xml:space="preserve"> proposed.  For guidance on safety characteristics</w:t>
      </w:r>
      <w:r w:rsidR="00DB3FEF">
        <w:t xml:space="preserve">, refer </w:t>
      </w:r>
      <w:r w:rsidR="00DB3FEF" w:rsidRPr="005F4603">
        <w:t>to Annex 4, Table A4.3.9.</w:t>
      </w:r>
      <w:r w:rsidR="00DB3FEF">
        <w:t>3</w:t>
      </w:r>
      <w:r w:rsidR="00DB3FEF" w:rsidRPr="005F4603">
        <w:t>.</w:t>
      </w:r>
    </w:p>
    <w:p w14:paraId="2574E2E6" w14:textId="05F6B547" w:rsidR="00DB3FEF" w:rsidRPr="006336DF" w:rsidRDefault="00D563BA" w:rsidP="00DB3FEF">
      <w:pPr>
        <w:pStyle w:val="SingleTxtG"/>
      </w:pPr>
      <w:r>
        <w:t>A</w:t>
      </w:r>
      <w:r w:rsidR="00A52F7D">
        <w:t>11</w:t>
      </w:r>
      <w:r>
        <w:t>.2.6.1.2</w:t>
      </w:r>
      <w:r w:rsidR="00DB3FEF">
        <w:tab/>
      </w:r>
      <w:r w:rsidR="00DB3FEF" w:rsidRPr="006336DF">
        <w:t>The first priority should involve preventive</w:t>
      </w:r>
      <w:r w:rsidR="00DB3FEF">
        <w:t xml:space="preserve"> </w:t>
      </w:r>
      <w:r w:rsidR="00DB3FEF" w:rsidRPr="006336DF">
        <w:t xml:space="preserve">measures such as substitution and application of dust-free processes to avoid where possible the presence of </w:t>
      </w:r>
      <w:r w:rsidR="00DB3FEF">
        <w:t>combustible</w:t>
      </w:r>
      <w:r w:rsidR="00DB3FEF" w:rsidRPr="006336DF">
        <w:t xml:space="preserve"> dusts, as shown in the column “Avoidance of combustible dusts”.</w:t>
      </w:r>
      <w:r w:rsidR="00DB3FEF" w:rsidRPr="00A56C17">
        <w:t xml:space="preserve"> </w:t>
      </w:r>
    </w:p>
    <w:p w14:paraId="10316567" w14:textId="649509F5" w:rsidR="00DB3FEF" w:rsidRPr="00CE5865" w:rsidRDefault="00D563BA" w:rsidP="00DB3FEF">
      <w:pPr>
        <w:pStyle w:val="SingleTxtG"/>
      </w:pPr>
      <w:r>
        <w:t>A</w:t>
      </w:r>
      <w:r w:rsidR="00A52F7D">
        <w:t>11</w:t>
      </w:r>
      <w:r>
        <w:t>.2.6.1.3</w:t>
      </w:r>
      <w:r w:rsidR="00DB3FEF">
        <w:tab/>
      </w:r>
      <w:r w:rsidR="00DB3FEF" w:rsidRPr="002C64E9">
        <w:rPr>
          <w:color w:val="000000"/>
        </w:rPr>
        <w:t xml:space="preserve">Where the presence of </w:t>
      </w:r>
      <w:r w:rsidR="00DB3FEF">
        <w:t>combustible</w:t>
      </w:r>
      <w:r w:rsidR="00DB3FEF" w:rsidRPr="002C64E9">
        <w:rPr>
          <w:color w:val="000000"/>
        </w:rPr>
        <w:t xml:space="preserve"> dusts cannot be avoided, measures such as exhaust ventilation should be taken to prevent the concentration of </w:t>
      </w:r>
      <w:r w:rsidR="00DB3FEF">
        <w:t>combustible</w:t>
      </w:r>
      <w:r w:rsidR="00DB3FEF" w:rsidRPr="002C64E9">
        <w:rPr>
          <w:color w:val="000000"/>
        </w:rPr>
        <w:t xml:space="preserve"> dusts reaching the </w:t>
      </w:r>
      <w:proofErr w:type="spellStart"/>
      <w:r w:rsidR="00DB3FEF" w:rsidRPr="002C64E9">
        <w:rPr>
          <w:color w:val="000000"/>
        </w:rPr>
        <w:t>explosible</w:t>
      </w:r>
      <w:proofErr w:type="spellEnd"/>
      <w:r w:rsidR="00DB3FEF" w:rsidRPr="002C64E9">
        <w:rPr>
          <w:color w:val="000000"/>
        </w:rPr>
        <w:t xml:space="preserve"> range; see the column “Avoidance of reaching the explosion range”.  Good housekeeping practices are important to prevent the formation of dust clouds or – if that is not achieved - the propagation of pressure waves and fireballs from an initial explosion, e.g. inside equipment or enclosures, dispersing and igniting dust accumulations into a work area.  Such secondary explosions can often be more destructive than the primary explosion.  A written housekeeping plan with regular inspection for excessive dust levels, including emphasis on priority areas, is strongly recommended.  Housekeeping should be conducted concurrent</w:t>
      </w:r>
      <w:r w:rsidR="00DB3FEF">
        <w:rPr>
          <w:color w:val="000000"/>
        </w:rPr>
        <w:t>ly</w:t>
      </w:r>
      <w:r w:rsidR="00DB3FEF" w:rsidRPr="002C64E9">
        <w:rPr>
          <w:color w:val="000000"/>
        </w:rPr>
        <w:t xml:space="preserve"> with operations.  </w:t>
      </w:r>
    </w:p>
    <w:p w14:paraId="520BDDB5" w14:textId="6D6BB21A" w:rsidR="00DB3FEF" w:rsidRPr="00F8329F" w:rsidRDefault="00D563BA" w:rsidP="00DB3FEF">
      <w:pPr>
        <w:pStyle w:val="SingleTxtG"/>
      </w:pPr>
      <w:r>
        <w:t>A</w:t>
      </w:r>
      <w:r w:rsidR="00A52F7D">
        <w:t>11</w:t>
      </w:r>
      <w:r>
        <w:t>.2.6.1.4</w:t>
      </w:r>
      <w:r w:rsidR="00DB3FEF">
        <w:tab/>
      </w:r>
      <w:r w:rsidR="00DB3FEF" w:rsidRPr="00A56C17">
        <w:t xml:space="preserve"> Where measures cannot be taken to avoid or reduce </w:t>
      </w:r>
      <w:proofErr w:type="spellStart"/>
      <w:r w:rsidR="00DB3FEF" w:rsidRPr="00A56C17">
        <w:t>explosible</w:t>
      </w:r>
      <w:proofErr w:type="spellEnd"/>
      <w:r w:rsidR="00DB3FEF" w:rsidRPr="00A56C17">
        <w:t xml:space="preserve"> dust atmospheres, then, ignition sources should be assessed and avoided </w:t>
      </w:r>
      <w:r w:rsidR="00DB3FEF" w:rsidRPr="00533A38">
        <w:t>where possible</w:t>
      </w:r>
      <w:r w:rsidR="00DB3FEF">
        <w:t xml:space="preserve"> (see </w:t>
      </w:r>
      <w:r w:rsidR="00A52F7D" w:rsidRPr="00717EC9">
        <w:t>A</w:t>
      </w:r>
      <w:r w:rsidR="00A52F7D">
        <w:t>11</w:t>
      </w:r>
      <w:r w:rsidR="00DB3FEF" w:rsidRPr="00717EC9">
        <w:t>.2.</w:t>
      </w:r>
      <w:r w:rsidR="00717EC9" w:rsidRPr="00717EC9">
        <w:t>4</w:t>
      </w:r>
      <w:r w:rsidR="00DB3FEF" w:rsidRPr="00717EC9">
        <w:t>.4</w:t>
      </w:r>
      <w:r w:rsidR="00DB3FEF">
        <w:t xml:space="preserve"> and Table </w:t>
      </w:r>
      <w:r w:rsidR="00A52F7D">
        <w:t>A11</w:t>
      </w:r>
      <w:r w:rsidR="00DB3FEF">
        <w:t>.2.2)</w:t>
      </w:r>
      <w:r w:rsidR="00DB3FEF" w:rsidRPr="00533A38">
        <w:t xml:space="preserve">.  Ignition sources can include fires and heat caused by the frictional energy of mechanical equipment.  Heat or arcing caused by the failure of or the use of improper electrical equipment, such as lighting, motors, and wiring, have also been identified as ignition sources.  Improper use of welding and cutting equipment can be a factor.  Periodic inspections, lubrication, and adjustment of equipment can be a major tool to prevent ignitions which can lead to explosions.  Additional examples of what to consider when evaluating ignition sources </w:t>
      </w:r>
      <w:r w:rsidR="00DB3FEF" w:rsidRPr="00263890">
        <w:t xml:space="preserve">are in the </w:t>
      </w:r>
      <w:r w:rsidR="00DB3FEF" w:rsidRPr="00DB3FEF">
        <w:rPr>
          <w:color w:val="000000"/>
        </w:rPr>
        <w:t>column “Avoidance of ignition sources”.</w:t>
      </w:r>
    </w:p>
    <w:p w14:paraId="2C4558EC" w14:textId="6B0D4F8F" w:rsidR="00DB3FEF" w:rsidRPr="00533A38" w:rsidRDefault="00D563BA" w:rsidP="00DB3FEF">
      <w:pPr>
        <w:pStyle w:val="SingleTxtG"/>
      </w:pPr>
      <w:r>
        <w:t>A</w:t>
      </w:r>
      <w:r w:rsidR="00A52F7D">
        <w:t>11</w:t>
      </w:r>
      <w:r>
        <w:t>.2.6.1.</w:t>
      </w:r>
      <w:r w:rsidR="007525A4">
        <w:t>5</w:t>
      </w:r>
      <w:r w:rsidR="00DB3FEF">
        <w:tab/>
      </w:r>
      <w:r w:rsidR="00DB3FEF" w:rsidRPr="00A56C17">
        <w:t xml:space="preserve">Where ignition of an </w:t>
      </w:r>
      <w:proofErr w:type="spellStart"/>
      <w:r w:rsidR="00DB3FEF" w:rsidRPr="00A56C17">
        <w:t>explosible</w:t>
      </w:r>
      <w:proofErr w:type="spellEnd"/>
      <w:r w:rsidR="00DB3FEF" w:rsidRPr="00A56C17">
        <w:t xml:space="preserve"> dust atmosphere cannot be excluded, the effects should be mitigated by </w:t>
      </w:r>
      <w:r w:rsidR="00DB3FEF" w:rsidRPr="00CE5865">
        <w:t>protective</w:t>
      </w:r>
      <w:r w:rsidR="00DB3FEF" w:rsidRPr="00533A38">
        <w:t xml:space="preserve"> measures.  </w:t>
      </w:r>
      <w:r w:rsidR="00DB3FEF">
        <w:t>When containment is used as a mechanism to reduce the risk or when the dust is confined, then</w:t>
      </w:r>
      <w:r w:rsidR="00DB3FEF" w:rsidRPr="00533A38">
        <w:t xml:space="preserve"> </w:t>
      </w:r>
      <w:r w:rsidR="00DB3FEF">
        <w:t xml:space="preserve">explosion-proof design or relief venting should be considered.  </w:t>
      </w:r>
      <w:r w:rsidR="00DB3FEF" w:rsidRPr="00533A38">
        <w:t>Equipment and buildings with known</w:t>
      </w:r>
      <w:r w:rsidR="00DB3FEF">
        <w:t xml:space="preserve"> combustible</w:t>
      </w:r>
      <w:r w:rsidR="00DB3FEF" w:rsidRPr="00533A38">
        <w:t xml:space="preserve"> dust</w:t>
      </w:r>
      <w:r w:rsidR="00DB3FEF">
        <w:t>s</w:t>
      </w:r>
      <w:r w:rsidR="00DB3FEF" w:rsidRPr="00533A38">
        <w:t xml:space="preserve"> should be equipped with devices or systems designed to prevent an explosion, minimize its propagation, or limit the damage it causes.  </w:t>
      </w:r>
      <w:r w:rsidR="00DB3FEF">
        <w:t>E</w:t>
      </w:r>
      <w:r w:rsidR="00DB3FEF" w:rsidRPr="00533A38">
        <w:t xml:space="preserve">xplosion relief venting is one of the most common approaches taken to reduce the explosion pressure.  Examples of other mitigating measures are shown in the column “Minimizing effects of a dust explosion”.  </w:t>
      </w:r>
    </w:p>
    <w:p w14:paraId="7B712C59" w14:textId="78B221F9" w:rsidR="00DB3FEF" w:rsidRPr="005F4603" w:rsidRDefault="00D563BA" w:rsidP="00DB3FEF">
      <w:pPr>
        <w:pStyle w:val="SingleTxtG"/>
      </w:pPr>
      <w:r>
        <w:lastRenderedPageBreak/>
        <w:t>A</w:t>
      </w:r>
      <w:r w:rsidR="00A52F7D">
        <w:t>11</w:t>
      </w:r>
      <w:r>
        <w:t>.2.6.1.</w:t>
      </w:r>
      <w:r w:rsidR="007525A4">
        <w:t>6</w:t>
      </w:r>
      <w:r w:rsidR="00DB3FEF">
        <w:tab/>
      </w:r>
      <w:r w:rsidR="00DB3FEF" w:rsidRPr="005F4603">
        <w:t xml:space="preserve">Section </w:t>
      </w:r>
      <w:r w:rsidR="00701C1E" w:rsidRPr="005F4603">
        <w:t>A</w:t>
      </w:r>
      <w:r w:rsidR="00701C1E">
        <w:t>11</w:t>
      </w:r>
      <w:r w:rsidR="00DB3FEF" w:rsidRPr="005F4603">
        <w:t>.2.</w:t>
      </w:r>
      <w:r w:rsidR="00DB3FEF">
        <w:t>8</w:t>
      </w:r>
      <w:r w:rsidR="00DB3FEF" w:rsidRPr="005F4603">
        <w:t xml:space="preserve">.2 </w:t>
      </w:r>
      <w:r w:rsidR="00DB3FEF">
        <w:t xml:space="preserve">contains </w:t>
      </w:r>
      <w:r w:rsidR="00DB3FEF" w:rsidRPr="005F4603">
        <w:t xml:space="preserve">a list of regulations </w:t>
      </w:r>
      <w:r w:rsidR="00DB3FEF" w:rsidRPr="005F4603">
        <w:rPr>
          <w:bCs/>
        </w:rPr>
        <w:t>and guidance documents on prevention and mitigation of dust explosion</w:t>
      </w:r>
      <w:r w:rsidR="00DB3FEF">
        <w:rPr>
          <w:bCs/>
        </w:rPr>
        <w:t>s</w:t>
      </w:r>
      <w:r w:rsidR="00DB3FEF">
        <w:t xml:space="preserve">, including those discussing </w:t>
      </w:r>
      <w:r w:rsidR="00DB3FEF" w:rsidRPr="003E18A3">
        <w:t xml:space="preserve">explosion prevention systems and the use of deflagration </w:t>
      </w:r>
      <w:r w:rsidR="00DB3FEF" w:rsidRPr="005F4603">
        <w:t>venting.</w:t>
      </w:r>
    </w:p>
    <w:p w14:paraId="3FBF51A3" w14:textId="038A7F40" w:rsidR="00DB3FEF" w:rsidRPr="003E18A3" w:rsidRDefault="00D563BA" w:rsidP="00DB3FEF">
      <w:pPr>
        <w:pStyle w:val="SingleTxtG"/>
        <w:rPr>
          <w:color w:val="000000"/>
        </w:rPr>
      </w:pPr>
      <w:r>
        <w:t>A</w:t>
      </w:r>
      <w:r w:rsidR="00A52F7D">
        <w:t>11</w:t>
      </w:r>
      <w:r>
        <w:t>.2.6.1.</w:t>
      </w:r>
      <w:r w:rsidR="007525A4">
        <w:t>7</w:t>
      </w:r>
      <w:r w:rsidR="00DB3FEF">
        <w:tab/>
        <w:t>E</w:t>
      </w:r>
      <w:r w:rsidR="00DB3FEF" w:rsidRPr="001B7338">
        <w:rPr>
          <w:color w:val="000000"/>
        </w:rPr>
        <w:t xml:space="preserve">very </w:t>
      </w:r>
      <w:r w:rsidR="00DB3FEF">
        <w:rPr>
          <w:color w:val="000000"/>
        </w:rPr>
        <w:t>facility where there is a potential for dust explosions</w:t>
      </w:r>
      <w:r w:rsidR="00DB3FEF" w:rsidRPr="001B7338">
        <w:rPr>
          <w:color w:val="000000"/>
        </w:rPr>
        <w:t xml:space="preserve"> should have a safety program and an established emergency action plan</w:t>
      </w:r>
      <w:r w:rsidR="00DB3FEF">
        <w:rPr>
          <w:color w:val="000000"/>
        </w:rPr>
        <w:t>.</w:t>
      </w:r>
      <w:r w:rsidR="00DB3FEF" w:rsidRPr="001B7338">
        <w:rPr>
          <w:color w:val="000000"/>
        </w:rPr>
        <w:t xml:space="preserve"> A </w:t>
      </w:r>
      <w:r w:rsidR="007525A4">
        <w:rPr>
          <w:color w:val="000000"/>
        </w:rPr>
        <w:t xml:space="preserve">communication </w:t>
      </w:r>
      <w:r w:rsidR="00DB3FEF">
        <w:rPr>
          <w:color w:val="000000"/>
        </w:rPr>
        <w:t xml:space="preserve">system </w:t>
      </w:r>
      <w:r w:rsidR="00DB3FEF" w:rsidRPr="001B7338">
        <w:rPr>
          <w:color w:val="000000"/>
        </w:rPr>
        <w:t xml:space="preserve">is needed to notify everyone at the </w:t>
      </w:r>
      <w:r w:rsidR="00DB3FEF">
        <w:rPr>
          <w:color w:val="000000"/>
        </w:rPr>
        <w:t>plant</w:t>
      </w:r>
      <w:r w:rsidR="00DB3FEF" w:rsidRPr="001B7338">
        <w:rPr>
          <w:color w:val="000000"/>
        </w:rPr>
        <w:t xml:space="preserve"> </w:t>
      </w:r>
      <w:r w:rsidR="00DB3FEF">
        <w:rPr>
          <w:color w:val="000000"/>
        </w:rPr>
        <w:t>when</w:t>
      </w:r>
      <w:r w:rsidR="00DB3FEF" w:rsidRPr="001B7338">
        <w:rPr>
          <w:color w:val="000000"/>
        </w:rPr>
        <w:t xml:space="preserve"> there is an emergency </w:t>
      </w:r>
      <w:r w:rsidR="00DB3FEF">
        <w:rPr>
          <w:color w:val="000000"/>
        </w:rPr>
        <w:t xml:space="preserve">and </w:t>
      </w:r>
      <w:r w:rsidR="00DB3FEF" w:rsidRPr="001B7338">
        <w:rPr>
          <w:color w:val="000000"/>
        </w:rPr>
        <w:t xml:space="preserve">they might be at risk.  </w:t>
      </w:r>
      <w:r w:rsidR="00DB3FEF">
        <w:rPr>
          <w:color w:val="000000"/>
        </w:rPr>
        <w:t>A</w:t>
      </w:r>
      <w:r w:rsidR="00DB3FEF" w:rsidRPr="001B7338">
        <w:rPr>
          <w:color w:val="000000"/>
        </w:rPr>
        <w:t xml:space="preserve"> central alarm system, page system or horn ca</w:t>
      </w:r>
      <w:r w:rsidR="00DB3FEF" w:rsidRPr="003E18A3">
        <w:rPr>
          <w:color w:val="000000"/>
        </w:rPr>
        <w:t xml:space="preserve">n be used to signal the need for evacuation.  All workers should be trained in the hazards of </w:t>
      </w:r>
      <w:r w:rsidR="00DB3FEF">
        <w:rPr>
          <w:color w:val="000000"/>
        </w:rPr>
        <w:t xml:space="preserve">combustible </w:t>
      </w:r>
      <w:r w:rsidR="00DB3FEF" w:rsidRPr="003E18A3">
        <w:rPr>
          <w:color w:val="000000"/>
        </w:rPr>
        <w:t>dust</w:t>
      </w:r>
      <w:r w:rsidR="00DB3FEF">
        <w:rPr>
          <w:color w:val="000000"/>
        </w:rPr>
        <w:t>,</w:t>
      </w:r>
      <w:r w:rsidR="00DB3FEF" w:rsidRPr="003E18A3">
        <w:rPr>
          <w:color w:val="000000"/>
        </w:rPr>
        <w:t xml:space="preserve"> </w:t>
      </w:r>
      <w:r w:rsidR="00DB3FEF">
        <w:rPr>
          <w:color w:val="000000"/>
        </w:rPr>
        <w:t xml:space="preserve">the risk of </w:t>
      </w:r>
      <w:r w:rsidR="00DB3FEF" w:rsidRPr="003E18A3">
        <w:rPr>
          <w:color w:val="000000"/>
        </w:rPr>
        <w:t>explosion</w:t>
      </w:r>
      <w:r w:rsidR="00DB3FEF">
        <w:rPr>
          <w:color w:val="000000"/>
        </w:rPr>
        <w:t>s,</w:t>
      </w:r>
      <w:r w:rsidR="00DB3FEF" w:rsidRPr="003E18A3">
        <w:rPr>
          <w:color w:val="000000"/>
        </w:rPr>
        <w:t xml:space="preserve"> and proper </w:t>
      </w:r>
      <w:r w:rsidR="00DB3FEF">
        <w:rPr>
          <w:color w:val="000000"/>
        </w:rPr>
        <w:t>preventive measures</w:t>
      </w:r>
      <w:r w:rsidR="00DB3FEF" w:rsidRPr="003E18A3">
        <w:rPr>
          <w:color w:val="000000"/>
        </w:rPr>
        <w:t>.</w:t>
      </w:r>
    </w:p>
    <w:p w14:paraId="29ABA512" w14:textId="77777777" w:rsidR="00DB3FEF" w:rsidRDefault="00DB3FEF" w:rsidP="00DB3FEF">
      <w:pPr>
        <w:suppressAutoHyphens w:val="0"/>
        <w:spacing w:line="240" w:lineRule="auto"/>
        <w:rPr>
          <w:b/>
        </w:rPr>
      </w:pPr>
      <w:r>
        <w:rPr>
          <w:b/>
        </w:rPr>
        <w:br w:type="page"/>
      </w:r>
    </w:p>
    <w:p w14:paraId="38E868A0" w14:textId="2A697D8A" w:rsidR="00DB3FEF" w:rsidRPr="00DB3FEF" w:rsidRDefault="00DB3FEF" w:rsidP="00DB3FEF">
      <w:pPr>
        <w:keepNext/>
        <w:keepLines/>
        <w:spacing w:after="240"/>
        <w:ind w:left="1800" w:hanging="1800"/>
        <w:jc w:val="center"/>
        <w:rPr>
          <w:sz w:val="18"/>
          <w:szCs w:val="18"/>
        </w:rPr>
      </w:pPr>
      <w:r w:rsidRPr="00DB3FEF">
        <w:rPr>
          <w:b/>
          <w:sz w:val="18"/>
          <w:szCs w:val="18"/>
        </w:rPr>
        <w:lastRenderedPageBreak/>
        <w:t xml:space="preserve">Table </w:t>
      </w:r>
      <w:r w:rsidR="00A52F7D" w:rsidRPr="00DB3FEF">
        <w:rPr>
          <w:b/>
          <w:sz w:val="18"/>
          <w:szCs w:val="18"/>
        </w:rPr>
        <w:t>A</w:t>
      </w:r>
      <w:r w:rsidR="00A52F7D">
        <w:rPr>
          <w:b/>
          <w:sz w:val="18"/>
          <w:szCs w:val="18"/>
        </w:rPr>
        <w:t>11</w:t>
      </w:r>
      <w:r w:rsidRPr="00DB3FEF">
        <w:rPr>
          <w:b/>
          <w:sz w:val="18"/>
          <w:szCs w:val="18"/>
        </w:rPr>
        <w:t>.2.1:</w:t>
      </w:r>
      <w:r>
        <w:rPr>
          <w:b/>
          <w:sz w:val="18"/>
          <w:szCs w:val="18"/>
        </w:rPr>
        <w:t xml:space="preserve"> </w:t>
      </w:r>
      <w:r w:rsidRPr="00DB3FEF">
        <w:rPr>
          <w:b/>
          <w:sz w:val="18"/>
          <w:szCs w:val="18"/>
        </w:rPr>
        <w:t>General concept to prevent and mitigate dust explosions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11"/>
        <w:gridCol w:w="280"/>
        <w:gridCol w:w="2973"/>
        <w:gridCol w:w="254"/>
        <w:gridCol w:w="2544"/>
      </w:tblGrid>
      <w:tr w:rsidR="00DB3FEF" w:rsidRPr="00DB3FEF" w14:paraId="692BA8AD" w14:textId="77777777" w:rsidTr="00C2533D">
        <w:trPr>
          <w:cantSplit/>
          <w:jc w:val="center"/>
        </w:trPr>
        <w:tc>
          <w:tcPr>
            <w:tcW w:w="6264" w:type="dxa"/>
            <w:gridSpan w:val="3"/>
            <w:tcBorders>
              <w:top w:val="single" w:sz="4" w:space="0" w:color="auto"/>
              <w:bottom w:val="single" w:sz="4" w:space="0" w:color="auto"/>
              <w:right w:val="single" w:sz="4" w:space="0" w:color="auto"/>
            </w:tcBorders>
            <w:shd w:val="clear" w:color="auto" w:fill="auto"/>
          </w:tcPr>
          <w:p w14:paraId="470287BC" w14:textId="77777777" w:rsidR="00DB3FEF" w:rsidRPr="00DB3FEF" w:rsidRDefault="00DB3FEF" w:rsidP="00C2533D">
            <w:pPr>
              <w:keepNext/>
              <w:keepLines/>
              <w:spacing w:before="120" w:after="120"/>
              <w:jc w:val="center"/>
              <w:rPr>
                <w:b/>
                <w:sz w:val="18"/>
                <w:szCs w:val="18"/>
              </w:rPr>
            </w:pPr>
            <w:r w:rsidRPr="00DB3FEF">
              <w:rPr>
                <w:b/>
                <w:sz w:val="18"/>
                <w:szCs w:val="18"/>
              </w:rPr>
              <w:t>Prevention</w:t>
            </w:r>
          </w:p>
        </w:tc>
        <w:tc>
          <w:tcPr>
            <w:tcW w:w="254" w:type="dxa"/>
            <w:tcBorders>
              <w:top w:val="nil"/>
              <w:left w:val="single" w:sz="4" w:space="0" w:color="auto"/>
              <w:bottom w:val="nil"/>
              <w:right w:val="single" w:sz="4" w:space="0" w:color="auto"/>
            </w:tcBorders>
            <w:shd w:val="clear" w:color="auto" w:fill="auto"/>
          </w:tcPr>
          <w:p w14:paraId="471E0752" w14:textId="77777777" w:rsidR="00DB3FEF" w:rsidRPr="00DB3FEF" w:rsidRDefault="00DB3FEF" w:rsidP="00C2533D">
            <w:pPr>
              <w:keepNext/>
              <w:keepLines/>
              <w:spacing w:before="120" w:after="120"/>
              <w:jc w:val="center"/>
              <w:rPr>
                <w:b/>
                <w:sz w:val="18"/>
                <w:szCs w:val="18"/>
              </w:rPr>
            </w:pPr>
          </w:p>
        </w:tc>
        <w:tc>
          <w:tcPr>
            <w:tcW w:w="2544" w:type="dxa"/>
            <w:tcBorders>
              <w:top w:val="single" w:sz="4" w:space="0" w:color="auto"/>
              <w:left w:val="single" w:sz="4" w:space="0" w:color="auto"/>
              <w:bottom w:val="single" w:sz="4" w:space="0" w:color="auto"/>
            </w:tcBorders>
            <w:shd w:val="clear" w:color="auto" w:fill="auto"/>
          </w:tcPr>
          <w:p w14:paraId="660BAE54" w14:textId="77777777" w:rsidR="00DB3FEF" w:rsidRPr="00DB3FEF" w:rsidRDefault="00DB3FEF" w:rsidP="00C2533D">
            <w:pPr>
              <w:keepNext/>
              <w:keepLines/>
              <w:spacing w:before="120" w:after="120"/>
              <w:jc w:val="center"/>
              <w:rPr>
                <w:b/>
                <w:sz w:val="18"/>
                <w:szCs w:val="18"/>
              </w:rPr>
            </w:pPr>
            <w:r w:rsidRPr="00DB3FEF">
              <w:rPr>
                <w:b/>
                <w:sz w:val="18"/>
                <w:szCs w:val="18"/>
              </w:rPr>
              <w:t>Mitigation</w:t>
            </w:r>
          </w:p>
        </w:tc>
      </w:tr>
      <w:tr w:rsidR="00DB3FEF" w:rsidRPr="00DB3FEF" w14:paraId="410A7BEC" w14:textId="77777777" w:rsidTr="00C2533D">
        <w:trPr>
          <w:cantSplit/>
          <w:trHeight w:hRule="exact" w:val="179"/>
          <w:jc w:val="center"/>
        </w:trPr>
        <w:tc>
          <w:tcPr>
            <w:tcW w:w="3011" w:type="dxa"/>
            <w:tcBorders>
              <w:top w:val="single" w:sz="4" w:space="0" w:color="auto"/>
              <w:left w:val="nil"/>
              <w:bottom w:val="single" w:sz="4" w:space="0" w:color="auto"/>
              <w:right w:val="nil"/>
            </w:tcBorders>
            <w:shd w:val="clear" w:color="auto" w:fill="auto"/>
          </w:tcPr>
          <w:p w14:paraId="4AF2DEB9" w14:textId="77777777" w:rsidR="00DB3FEF" w:rsidRPr="00DB3FEF" w:rsidRDefault="00DB3FEF" w:rsidP="00C2533D">
            <w:pPr>
              <w:keepNext/>
              <w:keepLines/>
              <w:spacing w:before="120" w:after="120"/>
              <w:jc w:val="center"/>
              <w:rPr>
                <w:b/>
                <w:sz w:val="18"/>
                <w:szCs w:val="18"/>
              </w:rPr>
            </w:pPr>
          </w:p>
        </w:tc>
        <w:tc>
          <w:tcPr>
            <w:tcW w:w="280" w:type="dxa"/>
            <w:tcBorders>
              <w:top w:val="single" w:sz="4" w:space="0" w:color="auto"/>
              <w:left w:val="nil"/>
              <w:bottom w:val="nil"/>
              <w:right w:val="nil"/>
            </w:tcBorders>
            <w:shd w:val="clear" w:color="auto" w:fill="auto"/>
          </w:tcPr>
          <w:p w14:paraId="62572BEF" w14:textId="77777777" w:rsidR="00DB3FEF" w:rsidRPr="00DB3FEF" w:rsidRDefault="00DB3FEF" w:rsidP="00C2533D">
            <w:pPr>
              <w:keepNext/>
              <w:keepLines/>
              <w:spacing w:before="120" w:after="120"/>
              <w:jc w:val="center"/>
              <w:rPr>
                <w:b/>
                <w:sz w:val="18"/>
                <w:szCs w:val="18"/>
              </w:rPr>
            </w:pPr>
          </w:p>
        </w:tc>
        <w:tc>
          <w:tcPr>
            <w:tcW w:w="2973" w:type="dxa"/>
            <w:tcBorders>
              <w:top w:val="single" w:sz="4" w:space="0" w:color="auto"/>
              <w:left w:val="nil"/>
              <w:bottom w:val="single" w:sz="4" w:space="0" w:color="auto"/>
              <w:right w:val="nil"/>
            </w:tcBorders>
            <w:shd w:val="clear" w:color="auto" w:fill="auto"/>
          </w:tcPr>
          <w:p w14:paraId="453D49AA" w14:textId="77777777" w:rsidR="00DB3FEF" w:rsidRPr="00DB3FEF" w:rsidRDefault="00DB3FEF" w:rsidP="00C2533D">
            <w:pPr>
              <w:keepNext/>
              <w:keepLines/>
              <w:spacing w:before="120" w:after="120"/>
              <w:jc w:val="center"/>
              <w:rPr>
                <w:b/>
                <w:sz w:val="18"/>
                <w:szCs w:val="18"/>
              </w:rPr>
            </w:pPr>
          </w:p>
        </w:tc>
        <w:tc>
          <w:tcPr>
            <w:tcW w:w="254" w:type="dxa"/>
            <w:tcBorders>
              <w:top w:val="nil"/>
              <w:left w:val="nil"/>
              <w:bottom w:val="nil"/>
              <w:right w:val="nil"/>
            </w:tcBorders>
            <w:shd w:val="clear" w:color="auto" w:fill="auto"/>
          </w:tcPr>
          <w:p w14:paraId="5B3FD06E" w14:textId="77777777" w:rsidR="00DB3FEF" w:rsidRPr="00DB3FEF" w:rsidRDefault="00DB3FEF" w:rsidP="00C2533D">
            <w:pPr>
              <w:keepNext/>
              <w:keepLines/>
              <w:spacing w:before="120" w:after="120"/>
              <w:jc w:val="center"/>
              <w:rPr>
                <w:b/>
                <w:sz w:val="18"/>
                <w:szCs w:val="18"/>
              </w:rPr>
            </w:pPr>
          </w:p>
        </w:tc>
        <w:tc>
          <w:tcPr>
            <w:tcW w:w="2544" w:type="dxa"/>
            <w:tcBorders>
              <w:top w:val="single" w:sz="4" w:space="0" w:color="auto"/>
              <w:left w:val="nil"/>
              <w:bottom w:val="single" w:sz="4" w:space="0" w:color="auto"/>
              <w:right w:val="nil"/>
            </w:tcBorders>
            <w:shd w:val="clear" w:color="auto" w:fill="auto"/>
          </w:tcPr>
          <w:p w14:paraId="3A2BE55A" w14:textId="77777777" w:rsidR="00DB3FEF" w:rsidRPr="00DB3FEF" w:rsidRDefault="00DB3FEF" w:rsidP="00C2533D">
            <w:pPr>
              <w:keepNext/>
              <w:keepLines/>
              <w:spacing w:before="120" w:after="120"/>
              <w:jc w:val="center"/>
              <w:rPr>
                <w:b/>
                <w:sz w:val="18"/>
                <w:szCs w:val="18"/>
              </w:rPr>
            </w:pPr>
          </w:p>
        </w:tc>
      </w:tr>
      <w:tr w:rsidR="00DB3FEF" w:rsidRPr="00DB3FEF" w14:paraId="24963CB0" w14:textId="77777777" w:rsidTr="00C2533D">
        <w:trPr>
          <w:cantSplit/>
          <w:jc w:val="center"/>
        </w:trPr>
        <w:tc>
          <w:tcPr>
            <w:tcW w:w="3011" w:type="dxa"/>
            <w:tcBorders>
              <w:top w:val="single" w:sz="4" w:space="0" w:color="auto"/>
              <w:bottom w:val="single" w:sz="4" w:space="0" w:color="auto"/>
              <w:right w:val="single" w:sz="4" w:space="0" w:color="auto"/>
            </w:tcBorders>
            <w:shd w:val="clear" w:color="auto" w:fill="auto"/>
          </w:tcPr>
          <w:p w14:paraId="4A40D87D" w14:textId="77777777" w:rsidR="00DB3FEF" w:rsidRPr="00DB3FEF" w:rsidRDefault="00DB3FEF" w:rsidP="00C2533D">
            <w:pPr>
              <w:keepNext/>
              <w:keepLines/>
              <w:spacing w:before="120" w:after="120"/>
              <w:jc w:val="center"/>
              <w:rPr>
                <w:b/>
                <w:sz w:val="18"/>
                <w:szCs w:val="18"/>
              </w:rPr>
            </w:pPr>
            <w:r w:rsidRPr="00DB3FEF">
              <w:rPr>
                <w:b/>
                <w:sz w:val="18"/>
                <w:szCs w:val="18"/>
              </w:rPr>
              <w:t xml:space="preserve">Avoidance or reduction of </w:t>
            </w:r>
            <w:proofErr w:type="spellStart"/>
            <w:r w:rsidRPr="00DB3FEF">
              <w:rPr>
                <w:b/>
                <w:sz w:val="18"/>
                <w:szCs w:val="18"/>
              </w:rPr>
              <w:t>explosible</w:t>
            </w:r>
            <w:proofErr w:type="spellEnd"/>
            <w:r w:rsidRPr="00DB3FEF">
              <w:rPr>
                <w:b/>
                <w:sz w:val="18"/>
                <w:szCs w:val="18"/>
              </w:rPr>
              <w:t xml:space="preserve"> dust atmospheres</w:t>
            </w:r>
          </w:p>
        </w:tc>
        <w:tc>
          <w:tcPr>
            <w:tcW w:w="280" w:type="dxa"/>
            <w:tcBorders>
              <w:top w:val="nil"/>
              <w:left w:val="single" w:sz="4" w:space="0" w:color="auto"/>
              <w:bottom w:val="nil"/>
              <w:right w:val="single" w:sz="4" w:space="0" w:color="auto"/>
            </w:tcBorders>
            <w:shd w:val="clear" w:color="auto" w:fill="auto"/>
          </w:tcPr>
          <w:p w14:paraId="34BDFF63" w14:textId="77777777" w:rsidR="00DB3FEF" w:rsidRPr="00DB3FEF" w:rsidRDefault="00DB3FEF" w:rsidP="00C2533D">
            <w:pPr>
              <w:keepNext/>
              <w:keepLines/>
              <w:spacing w:before="120" w:after="120"/>
              <w:jc w:val="center"/>
              <w:rPr>
                <w:b/>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77FB59D8" w14:textId="77777777" w:rsidR="00DB3FEF" w:rsidRPr="00DB3FEF" w:rsidRDefault="00DB3FEF" w:rsidP="00C2533D">
            <w:pPr>
              <w:keepNext/>
              <w:keepLines/>
              <w:spacing w:before="120" w:after="120"/>
              <w:jc w:val="center"/>
              <w:rPr>
                <w:b/>
                <w:sz w:val="18"/>
                <w:szCs w:val="18"/>
              </w:rPr>
            </w:pPr>
            <w:r w:rsidRPr="00DB3FEF">
              <w:rPr>
                <w:b/>
                <w:sz w:val="18"/>
                <w:szCs w:val="18"/>
              </w:rPr>
              <w:t>Avoidance of ignition sources</w:t>
            </w:r>
          </w:p>
        </w:tc>
        <w:tc>
          <w:tcPr>
            <w:tcW w:w="254" w:type="dxa"/>
            <w:tcBorders>
              <w:top w:val="nil"/>
              <w:left w:val="single" w:sz="4" w:space="0" w:color="auto"/>
              <w:bottom w:val="nil"/>
              <w:right w:val="single" w:sz="4" w:space="0" w:color="auto"/>
            </w:tcBorders>
            <w:shd w:val="clear" w:color="auto" w:fill="auto"/>
          </w:tcPr>
          <w:p w14:paraId="00B2AE5B" w14:textId="77777777" w:rsidR="00DB3FEF" w:rsidRPr="00DB3FEF" w:rsidRDefault="00DB3FEF" w:rsidP="00C2533D">
            <w:pPr>
              <w:keepNext/>
              <w:keepLines/>
              <w:spacing w:before="120" w:after="120"/>
              <w:jc w:val="center"/>
              <w:rPr>
                <w:b/>
                <w:sz w:val="18"/>
                <w:szCs w:val="18"/>
              </w:rPr>
            </w:pPr>
          </w:p>
        </w:tc>
        <w:tc>
          <w:tcPr>
            <w:tcW w:w="2544" w:type="dxa"/>
            <w:tcBorders>
              <w:top w:val="single" w:sz="4" w:space="0" w:color="auto"/>
              <w:left w:val="single" w:sz="4" w:space="0" w:color="auto"/>
              <w:bottom w:val="single" w:sz="4" w:space="0" w:color="auto"/>
            </w:tcBorders>
            <w:shd w:val="clear" w:color="auto" w:fill="auto"/>
          </w:tcPr>
          <w:p w14:paraId="61D78856" w14:textId="77777777" w:rsidR="00DB3FEF" w:rsidRPr="00DB3FEF" w:rsidRDefault="00DB3FEF" w:rsidP="00C2533D">
            <w:pPr>
              <w:keepNext/>
              <w:keepLines/>
              <w:spacing w:before="120" w:after="120"/>
              <w:jc w:val="center"/>
              <w:rPr>
                <w:b/>
                <w:sz w:val="18"/>
                <w:szCs w:val="18"/>
              </w:rPr>
            </w:pPr>
            <w:r w:rsidRPr="00DB3FEF">
              <w:rPr>
                <w:b/>
                <w:sz w:val="18"/>
                <w:szCs w:val="18"/>
              </w:rPr>
              <w:t>Minimizing effects of a dust explosion</w:t>
            </w:r>
          </w:p>
        </w:tc>
      </w:tr>
      <w:tr w:rsidR="00DB3FEF" w:rsidRPr="00DB3FEF" w14:paraId="742D24A2" w14:textId="77777777" w:rsidTr="00C2533D">
        <w:trPr>
          <w:cantSplit/>
          <w:trHeight w:hRule="exact" w:val="193"/>
          <w:jc w:val="center"/>
        </w:trPr>
        <w:tc>
          <w:tcPr>
            <w:tcW w:w="3011" w:type="dxa"/>
            <w:tcBorders>
              <w:top w:val="single" w:sz="4" w:space="0" w:color="auto"/>
              <w:left w:val="nil"/>
              <w:bottom w:val="single" w:sz="4" w:space="0" w:color="auto"/>
              <w:right w:val="nil"/>
            </w:tcBorders>
            <w:shd w:val="clear" w:color="auto" w:fill="auto"/>
          </w:tcPr>
          <w:p w14:paraId="32A2EB07" w14:textId="77777777" w:rsidR="00DB3FEF" w:rsidRPr="00DB3FEF" w:rsidRDefault="00DB3FEF" w:rsidP="00C2533D">
            <w:pPr>
              <w:keepNext/>
              <w:keepLines/>
              <w:spacing w:before="120"/>
              <w:ind w:left="425" w:hanging="425"/>
              <w:rPr>
                <w:i/>
                <w:sz w:val="18"/>
                <w:szCs w:val="18"/>
                <w:u w:val="single"/>
              </w:rPr>
            </w:pPr>
          </w:p>
        </w:tc>
        <w:tc>
          <w:tcPr>
            <w:tcW w:w="280" w:type="dxa"/>
            <w:tcBorders>
              <w:top w:val="nil"/>
              <w:left w:val="nil"/>
              <w:bottom w:val="nil"/>
              <w:right w:val="nil"/>
            </w:tcBorders>
            <w:shd w:val="clear" w:color="auto" w:fill="auto"/>
          </w:tcPr>
          <w:p w14:paraId="2F1F4323" w14:textId="77777777" w:rsidR="00DB3FEF" w:rsidRPr="00DB3FEF" w:rsidRDefault="00DB3FEF" w:rsidP="00C2533D">
            <w:pPr>
              <w:keepNext/>
              <w:keepLines/>
              <w:spacing w:before="120" w:after="120"/>
              <w:rPr>
                <w:sz w:val="18"/>
                <w:szCs w:val="18"/>
                <w:u w:val="single"/>
              </w:rPr>
            </w:pPr>
          </w:p>
        </w:tc>
        <w:tc>
          <w:tcPr>
            <w:tcW w:w="2973" w:type="dxa"/>
            <w:tcBorders>
              <w:top w:val="single" w:sz="4" w:space="0" w:color="auto"/>
              <w:left w:val="nil"/>
              <w:bottom w:val="single" w:sz="4" w:space="0" w:color="auto"/>
              <w:right w:val="nil"/>
            </w:tcBorders>
            <w:shd w:val="clear" w:color="auto" w:fill="auto"/>
          </w:tcPr>
          <w:p w14:paraId="5D5F5627" w14:textId="77777777" w:rsidR="00DB3FEF" w:rsidRPr="00DB3FEF" w:rsidRDefault="00DB3FEF" w:rsidP="00C2533D">
            <w:pPr>
              <w:keepNext/>
              <w:keepLines/>
              <w:spacing w:before="120" w:after="120"/>
              <w:rPr>
                <w:sz w:val="18"/>
                <w:szCs w:val="18"/>
                <w:u w:val="single"/>
              </w:rPr>
            </w:pPr>
          </w:p>
        </w:tc>
        <w:tc>
          <w:tcPr>
            <w:tcW w:w="254" w:type="dxa"/>
            <w:tcBorders>
              <w:top w:val="nil"/>
              <w:left w:val="nil"/>
              <w:bottom w:val="nil"/>
              <w:right w:val="nil"/>
            </w:tcBorders>
            <w:shd w:val="clear" w:color="auto" w:fill="auto"/>
          </w:tcPr>
          <w:p w14:paraId="2D78F81A" w14:textId="77777777" w:rsidR="00DB3FEF" w:rsidRPr="00DB3FEF" w:rsidRDefault="00DB3FEF" w:rsidP="00C2533D">
            <w:pPr>
              <w:keepNext/>
              <w:keepLines/>
              <w:spacing w:before="120"/>
              <w:rPr>
                <w:i/>
                <w:sz w:val="18"/>
                <w:szCs w:val="18"/>
                <w:u w:val="single"/>
              </w:rPr>
            </w:pPr>
          </w:p>
        </w:tc>
        <w:tc>
          <w:tcPr>
            <w:tcW w:w="2544" w:type="dxa"/>
            <w:tcBorders>
              <w:top w:val="single" w:sz="4" w:space="0" w:color="auto"/>
              <w:left w:val="nil"/>
              <w:bottom w:val="single" w:sz="4" w:space="0" w:color="auto"/>
              <w:right w:val="nil"/>
            </w:tcBorders>
            <w:shd w:val="clear" w:color="auto" w:fill="auto"/>
          </w:tcPr>
          <w:p w14:paraId="14D2C06F" w14:textId="77777777" w:rsidR="00DB3FEF" w:rsidRPr="00DB3FEF" w:rsidRDefault="00DB3FEF" w:rsidP="00C2533D">
            <w:pPr>
              <w:keepNext/>
              <w:keepLines/>
              <w:spacing w:before="120"/>
              <w:rPr>
                <w:i/>
                <w:sz w:val="18"/>
                <w:szCs w:val="18"/>
                <w:u w:val="single"/>
              </w:rPr>
            </w:pPr>
          </w:p>
        </w:tc>
      </w:tr>
      <w:tr w:rsidR="00DB3FEF" w:rsidRPr="00DB3FEF" w14:paraId="0F486936" w14:textId="77777777" w:rsidTr="00C2533D">
        <w:trPr>
          <w:cantSplit/>
          <w:trHeight w:val="2677"/>
          <w:jc w:val="center"/>
        </w:trPr>
        <w:tc>
          <w:tcPr>
            <w:tcW w:w="3011" w:type="dxa"/>
            <w:tcBorders>
              <w:top w:val="single" w:sz="4" w:space="0" w:color="auto"/>
              <w:bottom w:val="single" w:sz="4" w:space="0" w:color="auto"/>
              <w:right w:val="single" w:sz="4" w:space="0" w:color="auto"/>
            </w:tcBorders>
            <w:shd w:val="clear" w:color="auto" w:fill="auto"/>
          </w:tcPr>
          <w:p w14:paraId="02E3518B" w14:textId="77777777" w:rsidR="00DB3FEF" w:rsidRPr="00DB3FEF" w:rsidRDefault="00DB3FEF" w:rsidP="00C2533D">
            <w:pPr>
              <w:keepNext/>
              <w:keepLines/>
              <w:spacing w:before="60" w:after="60"/>
              <w:ind w:left="432" w:hanging="432"/>
              <w:rPr>
                <w:i/>
                <w:sz w:val="18"/>
                <w:szCs w:val="18"/>
                <w:u w:val="single"/>
              </w:rPr>
            </w:pPr>
            <w:r w:rsidRPr="00DB3FEF">
              <w:rPr>
                <w:i/>
                <w:sz w:val="18"/>
                <w:szCs w:val="18"/>
                <w:u w:val="single"/>
              </w:rPr>
              <w:t>Relevant safety characteristics</w:t>
            </w:r>
          </w:p>
          <w:p w14:paraId="65BBEA2E" w14:textId="77777777" w:rsidR="00DB3FEF" w:rsidRPr="00DB3FEF" w:rsidRDefault="00DB3FEF" w:rsidP="00DB3FEF">
            <w:pPr>
              <w:pStyle w:val="ListParagraph"/>
              <w:keepNext/>
              <w:keepLines/>
              <w:numPr>
                <w:ilvl w:val="0"/>
                <w:numId w:val="9"/>
              </w:numPr>
              <w:spacing w:before="60" w:after="60"/>
              <w:ind w:left="284" w:hanging="284"/>
              <w:rPr>
                <w:i/>
                <w:sz w:val="18"/>
                <w:szCs w:val="18"/>
              </w:rPr>
            </w:pPr>
            <w:r w:rsidRPr="00DB3FEF">
              <w:rPr>
                <w:i/>
                <w:sz w:val="18"/>
                <w:szCs w:val="18"/>
              </w:rPr>
              <w:t>Dust explosibility</w:t>
            </w:r>
          </w:p>
          <w:p w14:paraId="7513D8C0" w14:textId="77777777" w:rsidR="00DB3FEF" w:rsidRPr="00DB3FEF" w:rsidRDefault="00DB3FEF" w:rsidP="00C2533D">
            <w:pPr>
              <w:keepNext/>
              <w:keepLines/>
              <w:spacing w:before="60" w:after="60"/>
              <w:rPr>
                <w:b/>
                <w:sz w:val="18"/>
                <w:szCs w:val="18"/>
              </w:rPr>
            </w:pPr>
            <w:r w:rsidRPr="00DB3FEF">
              <w:rPr>
                <w:b/>
                <w:sz w:val="18"/>
                <w:szCs w:val="18"/>
              </w:rPr>
              <w:t>Avoidance of combustible dusts by [examples below]</w:t>
            </w:r>
          </w:p>
          <w:p w14:paraId="156F4021"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Substitution</w:t>
            </w:r>
          </w:p>
          <w:p w14:paraId="67FBE78F"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Passivation</w:t>
            </w:r>
          </w:p>
          <w:p w14:paraId="45EF5448"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Application of dust-free processes</w:t>
            </w:r>
          </w:p>
          <w:p w14:paraId="09812740"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w:t>
            </w:r>
          </w:p>
        </w:tc>
        <w:tc>
          <w:tcPr>
            <w:tcW w:w="280" w:type="dxa"/>
            <w:tcBorders>
              <w:top w:val="nil"/>
              <w:left w:val="single" w:sz="4" w:space="0" w:color="auto"/>
              <w:bottom w:val="nil"/>
              <w:right w:val="single" w:sz="4" w:space="0" w:color="auto"/>
            </w:tcBorders>
            <w:shd w:val="clear" w:color="auto" w:fill="auto"/>
          </w:tcPr>
          <w:p w14:paraId="3ACB749A" w14:textId="77777777" w:rsidR="00DB3FEF" w:rsidRPr="00DB3FEF" w:rsidRDefault="00DB3FEF" w:rsidP="00C2533D">
            <w:pPr>
              <w:keepNext/>
              <w:keepLines/>
              <w:spacing w:before="120" w:after="120"/>
              <w:rPr>
                <w:sz w:val="18"/>
                <w:szCs w:val="18"/>
                <w:u w:val="single"/>
              </w:rPr>
            </w:pP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2A45142F" w14:textId="77777777" w:rsidR="00DB3FEF" w:rsidRPr="00DB3FEF" w:rsidRDefault="00DB3FEF" w:rsidP="00C2533D">
            <w:pPr>
              <w:keepNext/>
              <w:keepLines/>
              <w:spacing w:before="60" w:after="60"/>
              <w:rPr>
                <w:b/>
                <w:sz w:val="18"/>
                <w:szCs w:val="18"/>
              </w:rPr>
            </w:pPr>
            <w:r w:rsidRPr="00DB3FEF">
              <w:rPr>
                <w:b/>
                <w:sz w:val="18"/>
                <w:szCs w:val="18"/>
              </w:rPr>
              <w:t>Identification of relevant ignition sources</w:t>
            </w:r>
          </w:p>
          <w:p w14:paraId="3724198E"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Identification of relevant areas and activities (zoning)</w:t>
            </w:r>
          </w:p>
          <w:p w14:paraId="7EF52530"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Identification of potential ignition sources</w:t>
            </w:r>
          </w:p>
          <w:p w14:paraId="1DA0A304"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Determination of relevant safety characteristics (see below)</w:t>
            </w:r>
          </w:p>
          <w:p w14:paraId="369A9E9B" w14:textId="77777777" w:rsidR="00DB3FEF" w:rsidRPr="00DB3FEF" w:rsidRDefault="00DB3FEF" w:rsidP="00C2533D">
            <w:pPr>
              <w:pStyle w:val="ListParagraph"/>
              <w:keepNext/>
              <w:keepLines/>
              <w:spacing w:before="120" w:after="120"/>
              <w:ind w:left="284"/>
              <w:rPr>
                <w:sz w:val="18"/>
                <w:szCs w:val="18"/>
              </w:rPr>
            </w:pPr>
          </w:p>
        </w:tc>
        <w:tc>
          <w:tcPr>
            <w:tcW w:w="254" w:type="dxa"/>
            <w:tcBorders>
              <w:top w:val="nil"/>
              <w:left w:val="single" w:sz="4" w:space="0" w:color="auto"/>
              <w:bottom w:val="nil"/>
              <w:right w:val="single" w:sz="4" w:space="0" w:color="auto"/>
            </w:tcBorders>
            <w:shd w:val="clear" w:color="auto" w:fill="auto"/>
          </w:tcPr>
          <w:p w14:paraId="64C36517" w14:textId="77777777" w:rsidR="00DB3FEF" w:rsidRPr="00DB3FEF" w:rsidRDefault="00DB3FEF" w:rsidP="00C2533D">
            <w:pPr>
              <w:keepNext/>
              <w:keepLines/>
              <w:spacing w:before="120"/>
              <w:rPr>
                <w:i/>
                <w:sz w:val="18"/>
                <w:szCs w:val="18"/>
                <w:u w:val="single"/>
              </w:rPr>
            </w:pPr>
          </w:p>
        </w:tc>
        <w:tc>
          <w:tcPr>
            <w:tcW w:w="2544" w:type="dxa"/>
            <w:tcBorders>
              <w:top w:val="single" w:sz="4" w:space="0" w:color="auto"/>
              <w:left w:val="single" w:sz="4" w:space="0" w:color="auto"/>
              <w:bottom w:val="single" w:sz="4" w:space="0" w:color="auto"/>
            </w:tcBorders>
            <w:shd w:val="clear" w:color="auto" w:fill="auto"/>
          </w:tcPr>
          <w:p w14:paraId="370A19D1" w14:textId="77777777" w:rsidR="00DB3FEF" w:rsidRPr="00DB3FEF" w:rsidRDefault="00DB3FEF" w:rsidP="00C2533D">
            <w:pPr>
              <w:keepNext/>
              <w:keepLines/>
              <w:spacing w:before="60" w:after="60"/>
              <w:rPr>
                <w:i/>
                <w:sz w:val="18"/>
                <w:szCs w:val="18"/>
                <w:u w:val="single"/>
              </w:rPr>
            </w:pPr>
            <w:r w:rsidRPr="00DB3FEF">
              <w:rPr>
                <w:i/>
                <w:sz w:val="18"/>
                <w:szCs w:val="18"/>
                <w:u w:val="single"/>
              </w:rPr>
              <w:t>Relevant safety characteristics</w:t>
            </w:r>
          </w:p>
          <w:p w14:paraId="198D4770" w14:textId="77777777" w:rsidR="00DB3FEF" w:rsidRPr="00DB3FEF" w:rsidRDefault="00DB3FEF" w:rsidP="00DB3FEF">
            <w:pPr>
              <w:pStyle w:val="ListParagraph"/>
              <w:keepNext/>
              <w:keepLines/>
              <w:numPr>
                <w:ilvl w:val="0"/>
                <w:numId w:val="9"/>
              </w:numPr>
              <w:spacing w:before="60" w:after="60"/>
              <w:ind w:left="284" w:hanging="284"/>
              <w:rPr>
                <w:i/>
                <w:sz w:val="18"/>
                <w:szCs w:val="18"/>
              </w:rPr>
            </w:pPr>
            <w:r w:rsidRPr="00DB3FEF">
              <w:rPr>
                <w:i/>
                <w:sz w:val="18"/>
                <w:szCs w:val="18"/>
              </w:rPr>
              <w:t>Maximum explosion pressure</w:t>
            </w:r>
          </w:p>
          <w:p w14:paraId="5BFA455D" w14:textId="77777777" w:rsidR="00DB3FEF" w:rsidRPr="00DB3FEF" w:rsidRDefault="00DB3FEF" w:rsidP="00DB3FEF">
            <w:pPr>
              <w:pStyle w:val="ListParagraph"/>
              <w:keepNext/>
              <w:keepLines/>
              <w:numPr>
                <w:ilvl w:val="0"/>
                <w:numId w:val="9"/>
              </w:numPr>
              <w:spacing w:before="60" w:after="60"/>
              <w:ind w:left="284" w:hanging="284"/>
              <w:rPr>
                <w:i/>
                <w:sz w:val="18"/>
                <w:szCs w:val="18"/>
              </w:rPr>
            </w:pPr>
            <w:r w:rsidRPr="00DB3FEF">
              <w:rPr>
                <w:i/>
                <w:sz w:val="18"/>
                <w:szCs w:val="18"/>
              </w:rPr>
              <w:t>Deflagration index (K</w:t>
            </w:r>
            <w:r w:rsidRPr="00DB3FEF">
              <w:rPr>
                <w:i/>
                <w:sz w:val="18"/>
                <w:szCs w:val="18"/>
                <w:vertAlign w:val="subscript"/>
              </w:rPr>
              <w:t>st</w:t>
            </w:r>
            <w:r w:rsidRPr="00DB3FEF">
              <w:rPr>
                <w:i/>
                <w:sz w:val="18"/>
                <w:szCs w:val="18"/>
              </w:rPr>
              <w:t>)</w:t>
            </w:r>
          </w:p>
          <w:p w14:paraId="2B43EB09" w14:textId="77777777" w:rsidR="00DB3FEF" w:rsidRPr="00DB3FEF" w:rsidRDefault="00DB3FEF" w:rsidP="00C2533D">
            <w:pPr>
              <w:keepNext/>
              <w:keepLines/>
              <w:spacing w:before="60" w:after="60"/>
              <w:rPr>
                <w:b/>
                <w:sz w:val="18"/>
                <w:szCs w:val="18"/>
              </w:rPr>
            </w:pPr>
            <w:r w:rsidRPr="00DB3FEF">
              <w:rPr>
                <w:b/>
                <w:sz w:val="18"/>
                <w:szCs w:val="18"/>
              </w:rPr>
              <w:t>Explosion pressure proof design by [examples below]</w:t>
            </w:r>
          </w:p>
          <w:p w14:paraId="679C8179"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Venting (reduction of explosion pressure)</w:t>
            </w:r>
          </w:p>
          <w:p w14:paraId="7A1FEA8D"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Explosion resistance</w:t>
            </w:r>
          </w:p>
          <w:p w14:paraId="35761D22"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w:t>
            </w:r>
          </w:p>
        </w:tc>
      </w:tr>
      <w:tr w:rsidR="00DB3FEF" w:rsidRPr="00DB3FEF" w14:paraId="36FFC677" w14:textId="77777777" w:rsidTr="00C2533D">
        <w:trPr>
          <w:cantSplit/>
          <w:trHeight w:hRule="exact" w:val="170"/>
          <w:jc w:val="center"/>
        </w:trPr>
        <w:tc>
          <w:tcPr>
            <w:tcW w:w="3011" w:type="dxa"/>
            <w:tcBorders>
              <w:top w:val="single" w:sz="4" w:space="0" w:color="auto"/>
              <w:left w:val="nil"/>
              <w:bottom w:val="single" w:sz="4" w:space="0" w:color="auto"/>
              <w:right w:val="nil"/>
            </w:tcBorders>
            <w:shd w:val="clear" w:color="auto" w:fill="auto"/>
          </w:tcPr>
          <w:p w14:paraId="67F8F782" w14:textId="77777777" w:rsidR="00DB3FEF" w:rsidRPr="00DB3FEF" w:rsidRDefault="00DB3FEF" w:rsidP="00C2533D">
            <w:pPr>
              <w:keepNext/>
              <w:keepLines/>
              <w:spacing w:before="120"/>
              <w:ind w:left="425" w:hanging="425"/>
              <w:rPr>
                <w:i/>
                <w:sz w:val="18"/>
                <w:szCs w:val="18"/>
                <w:u w:val="single"/>
              </w:rPr>
            </w:pPr>
          </w:p>
        </w:tc>
        <w:tc>
          <w:tcPr>
            <w:tcW w:w="280" w:type="dxa"/>
            <w:tcBorders>
              <w:top w:val="nil"/>
              <w:left w:val="nil"/>
              <w:bottom w:val="nil"/>
              <w:right w:val="nil"/>
            </w:tcBorders>
            <w:shd w:val="clear" w:color="auto" w:fill="auto"/>
          </w:tcPr>
          <w:p w14:paraId="553C2D96" w14:textId="77777777" w:rsidR="00DB3FEF" w:rsidRPr="00DB3FEF" w:rsidRDefault="00DB3FEF" w:rsidP="00C2533D">
            <w:pPr>
              <w:keepNext/>
              <w:keepLines/>
              <w:spacing w:before="120"/>
              <w:rPr>
                <w:i/>
                <w:sz w:val="18"/>
                <w:szCs w:val="18"/>
                <w:u w:val="single"/>
              </w:rPr>
            </w:pPr>
          </w:p>
        </w:tc>
        <w:tc>
          <w:tcPr>
            <w:tcW w:w="2973" w:type="dxa"/>
            <w:tcBorders>
              <w:top w:val="single" w:sz="4" w:space="0" w:color="auto"/>
              <w:left w:val="nil"/>
              <w:bottom w:val="single" w:sz="4" w:space="0" w:color="auto"/>
              <w:right w:val="nil"/>
            </w:tcBorders>
            <w:shd w:val="clear" w:color="auto" w:fill="auto"/>
          </w:tcPr>
          <w:p w14:paraId="00ADBAE6" w14:textId="77777777" w:rsidR="00DB3FEF" w:rsidRPr="00DB3FEF" w:rsidRDefault="00DB3FEF" w:rsidP="00C2533D">
            <w:pPr>
              <w:keepNext/>
              <w:keepLines/>
              <w:spacing w:before="120"/>
              <w:rPr>
                <w:i/>
                <w:sz w:val="18"/>
                <w:szCs w:val="18"/>
                <w:u w:val="single"/>
              </w:rPr>
            </w:pPr>
          </w:p>
        </w:tc>
        <w:tc>
          <w:tcPr>
            <w:tcW w:w="254" w:type="dxa"/>
            <w:tcBorders>
              <w:top w:val="nil"/>
              <w:left w:val="nil"/>
              <w:bottom w:val="nil"/>
              <w:right w:val="nil"/>
            </w:tcBorders>
            <w:shd w:val="clear" w:color="auto" w:fill="auto"/>
          </w:tcPr>
          <w:p w14:paraId="23E7B025" w14:textId="77777777" w:rsidR="00DB3FEF" w:rsidRPr="00DB3FEF" w:rsidRDefault="00DB3FEF" w:rsidP="00C2533D">
            <w:pPr>
              <w:keepNext/>
              <w:keepLines/>
              <w:spacing w:before="120" w:after="120"/>
              <w:rPr>
                <w:sz w:val="18"/>
                <w:szCs w:val="18"/>
                <w:u w:val="single"/>
              </w:rPr>
            </w:pPr>
          </w:p>
        </w:tc>
        <w:tc>
          <w:tcPr>
            <w:tcW w:w="2544" w:type="dxa"/>
            <w:tcBorders>
              <w:top w:val="single" w:sz="4" w:space="0" w:color="auto"/>
              <w:left w:val="nil"/>
              <w:bottom w:val="single" w:sz="4" w:space="0" w:color="auto"/>
              <w:right w:val="nil"/>
            </w:tcBorders>
            <w:shd w:val="clear" w:color="auto" w:fill="auto"/>
          </w:tcPr>
          <w:p w14:paraId="0A5D43D4" w14:textId="77777777" w:rsidR="00DB3FEF" w:rsidRPr="00DB3FEF" w:rsidRDefault="00DB3FEF" w:rsidP="00C2533D">
            <w:pPr>
              <w:keepNext/>
              <w:keepLines/>
              <w:spacing w:before="120" w:after="120"/>
              <w:rPr>
                <w:sz w:val="18"/>
                <w:szCs w:val="18"/>
                <w:u w:val="single"/>
              </w:rPr>
            </w:pPr>
          </w:p>
        </w:tc>
      </w:tr>
      <w:tr w:rsidR="00DB3FEF" w:rsidRPr="00DB3FEF" w14:paraId="17338158" w14:textId="77777777" w:rsidTr="00C2533D">
        <w:trPr>
          <w:cantSplit/>
          <w:trHeight w:val="2818"/>
          <w:jc w:val="center"/>
        </w:trPr>
        <w:tc>
          <w:tcPr>
            <w:tcW w:w="3011" w:type="dxa"/>
            <w:tcBorders>
              <w:top w:val="single" w:sz="4" w:space="0" w:color="auto"/>
              <w:bottom w:val="single" w:sz="4" w:space="0" w:color="auto"/>
              <w:right w:val="single" w:sz="4" w:space="0" w:color="auto"/>
            </w:tcBorders>
            <w:shd w:val="clear" w:color="auto" w:fill="auto"/>
          </w:tcPr>
          <w:p w14:paraId="0D6D8608" w14:textId="77777777" w:rsidR="00DB3FEF" w:rsidRPr="00DB3FEF" w:rsidRDefault="00DB3FEF" w:rsidP="00C2533D">
            <w:pPr>
              <w:keepNext/>
              <w:keepLines/>
              <w:spacing w:before="60" w:after="60"/>
              <w:ind w:left="425" w:hanging="425"/>
              <w:rPr>
                <w:i/>
                <w:sz w:val="18"/>
                <w:szCs w:val="18"/>
                <w:u w:val="single"/>
              </w:rPr>
            </w:pPr>
            <w:r w:rsidRPr="00DB3FEF">
              <w:rPr>
                <w:i/>
                <w:sz w:val="18"/>
                <w:szCs w:val="18"/>
                <w:u w:val="single"/>
              </w:rPr>
              <w:t>Relevant safety characteristics</w:t>
            </w:r>
          </w:p>
          <w:p w14:paraId="3DBBA4F1" w14:textId="77777777" w:rsidR="00DB3FEF" w:rsidRPr="00DB3FEF" w:rsidRDefault="00DB3FEF" w:rsidP="00DB3FEF">
            <w:pPr>
              <w:pStyle w:val="ListParagraph"/>
              <w:keepNext/>
              <w:keepLines/>
              <w:numPr>
                <w:ilvl w:val="0"/>
                <w:numId w:val="9"/>
              </w:numPr>
              <w:spacing w:before="60" w:after="60"/>
              <w:ind w:left="284" w:hanging="284"/>
              <w:rPr>
                <w:i/>
                <w:sz w:val="18"/>
                <w:szCs w:val="18"/>
              </w:rPr>
            </w:pPr>
            <w:r w:rsidRPr="00DB3FEF">
              <w:rPr>
                <w:i/>
                <w:sz w:val="18"/>
                <w:szCs w:val="18"/>
              </w:rPr>
              <w:t>Lower explosible limit (LEL)/</w:t>
            </w:r>
            <w:r w:rsidRPr="00DB3FEF">
              <w:rPr>
                <w:rStyle w:val="Emphasis"/>
                <w:i w:val="0"/>
                <w:sz w:val="18"/>
                <w:szCs w:val="18"/>
              </w:rPr>
              <w:t xml:space="preserve"> </w:t>
            </w:r>
            <w:r w:rsidRPr="00DB3FEF">
              <w:rPr>
                <w:i/>
                <w:sz w:val="18"/>
                <w:szCs w:val="18"/>
              </w:rPr>
              <w:t>Minimum Explosible Concentration (MEC)</w:t>
            </w:r>
          </w:p>
          <w:p w14:paraId="62B388B1" w14:textId="77777777" w:rsidR="00DB3FEF" w:rsidRPr="00DB3FEF" w:rsidRDefault="00DB3FEF" w:rsidP="00C2533D">
            <w:pPr>
              <w:keepNext/>
              <w:keepLines/>
              <w:spacing w:before="60" w:after="60"/>
              <w:rPr>
                <w:sz w:val="18"/>
                <w:szCs w:val="18"/>
                <w:u w:val="single"/>
              </w:rPr>
            </w:pPr>
          </w:p>
          <w:p w14:paraId="1C8FD1A8" w14:textId="77777777" w:rsidR="00DB3FEF" w:rsidRPr="00DB3FEF" w:rsidRDefault="00DB3FEF" w:rsidP="00C2533D">
            <w:pPr>
              <w:keepNext/>
              <w:keepLines/>
              <w:spacing w:before="60" w:after="60"/>
              <w:rPr>
                <w:b/>
                <w:sz w:val="18"/>
                <w:szCs w:val="18"/>
              </w:rPr>
            </w:pPr>
            <w:r w:rsidRPr="00DB3FEF">
              <w:rPr>
                <w:b/>
                <w:sz w:val="18"/>
                <w:szCs w:val="18"/>
              </w:rPr>
              <w:t xml:space="preserve">Avoidance of reaching the </w:t>
            </w:r>
            <w:proofErr w:type="spellStart"/>
            <w:r w:rsidRPr="00DB3FEF">
              <w:rPr>
                <w:b/>
                <w:sz w:val="18"/>
                <w:szCs w:val="18"/>
              </w:rPr>
              <w:t>explosible</w:t>
            </w:r>
            <w:proofErr w:type="spellEnd"/>
            <w:r w:rsidRPr="00DB3FEF">
              <w:rPr>
                <w:b/>
                <w:sz w:val="18"/>
                <w:szCs w:val="18"/>
              </w:rPr>
              <w:t xml:space="preserve"> range by [examples below]</w:t>
            </w:r>
          </w:p>
          <w:p w14:paraId="546AEE53"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Good house keeping</w:t>
            </w:r>
          </w:p>
          <w:p w14:paraId="2545CD41"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Exhaust ventilation</w:t>
            </w:r>
          </w:p>
          <w:p w14:paraId="01E00E0F"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Dust reduced procedures</w:t>
            </w:r>
          </w:p>
          <w:p w14:paraId="0B8807F4"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w:t>
            </w:r>
          </w:p>
        </w:tc>
        <w:tc>
          <w:tcPr>
            <w:tcW w:w="280" w:type="dxa"/>
            <w:tcBorders>
              <w:top w:val="nil"/>
              <w:left w:val="single" w:sz="4" w:space="0" w:color="auto"/>
              <w:bottom w:val="nil"/>
              <w:right w:val="single" w:sz="4" w:space="0" w:color="auto"/>
            </w:tcBorders>
            <w:shd w:val="clear" w:color="auto" w:fill="auto"/>
          </w:tcPr>
          <w:p w14:paraId="7CA5DF73" w14:textId="77777777" w:rsidR="00DB3FEF" w:rsidRPr="00DB3FEF" w:rsidRDefault="00DB3FEF" w:rsidP="00C2533D">
            <w:pPr>
              <w:keepNext/>
              <w:keepLines/>
              <w:spacing w:before="120"/>
              <w:rPr>
                <w:i/>
                <w:sz w:val="18"/>
                <w:szCs w:val="18"/>
                <w:u w:val="single"/>
              </w:rPr>
            </w:pPr>
          </w:p>
        </w:tc>
        <w:tc>
          <w:tcPr>
            <w:tcW w:w="2973" w:type="dxa"/>
            <w:vMerge w:val="restart"/>
            <w:tcBorders>
              <w:top w:val="single" w:sz="4" w:space="0" w:color="auto"/>
              <w:left w:val="single" w:sz="4" w:space="0" w:color="auto"/>
              <w:right w:val="single" w:sz="4" w:space="0" w:color="auto"/>
            </w:tcBorders>
            <w:shd w:val="clear" w:color="auto" w:fill="auto"/>
          </w:tcPr>
          <w:p w14:paraId="027A3E60" w14:textId="77777777" w:rsidR="00DB3FEF" w:rsidRPr="00DB3FEF" w:rsidRDefault="00DB3FEF" w:rsidP="00C2533D">
            <w:pPr>
              <w:keepNext/>
              <w:keepLines/>
              <w:spacing w:before="60" w:after="60"/>
              <w:rPr>
                <w:i/>
                <w:sz w:val="18"/>
                <w:szCs w:val="18"/>
                <w:u w:val="single"/>
              </w:rPr>
            </w:pPr>
            <w:r w:rsidRPr="00DB3FEF">
              <w:rPr>
                <w:i/>
                <w:sz w:val="18"/>
                <w:szCs w:val="18"/>
                <w:u w:val="single"/>
              </w:rPr>
              <w:t>Relevant safety characteristics</w:t>
            </w:r>
          </w:p>
          <w:p w14:paraId="26B799F4" w14:textId="77777777" w:rsidR="00DB3FEF" w:rsidRPr="00DB3FEF" w:rsidRDefault="00DB3FEF" w:rsidP="00DB3FEF">
            <w:pPr>
              <w:pStyle w:val="ListParagraph"/>
              <w:keepNext/>
              <w:keepLines/>
              <w:numPr>
                <w:ilvl w:val="0"/>
                <w:numId w:val="9"/>
              </w:numPr>
              <w:spacing w:before="60" w:after="60"/>
              <w:ind w:left="284" w:hanging="284"/>
              <w:rPr>
                <w:i/>
                <w:sz w:val="18"/>
                <w:szCs w:val="18"/>
              </w:rPr>
            </w:pPr>
            <w:r w:rsidRPr="00DB3FEF">
              <w:rPr>
                <w:i/>
                <w:sz w:val="18"/>
                <w:szCs w:val="18"/>
              </w:rPr>
              <w:t>Minimum ignition energy</w:t>
            </w:r>
          </w:p>
          <w:p w14:paraId="6C99FE81" w14:textId="77777777" w:rsidR="00DB3FEF" w:rsidRPr="00DB3FEF" w:rsidRDefault="00DB3FEF" w:rsidP="00DB3FEF">
            <w:pPr>
              <w:pStyle w:val="ListParagraph"/>
              <w:keepNext/>
              <w:keepLines/>
              <w:numPr>
                <w:ilvl w:val="0"/>
                <w:numId w:val="9"/>
              </w:numPr>
              <w:spacing w:before="60" w:after="60"/>
              <w:ind w:left="284" w:hanging="284"/>
              <w:rPr>
                <w:i/>
                <w:sz w:val="18"/>
                <w:szCs w:val="18"/>
              </w:rPr>
            </w:pPr>
            <w:r w:rsidRPr="00DB3FEF">
              <w:rPr>
                <w:i/>
                <w:sz w:val="18"/>
                <w:szCs w:val="18"/>
              </w:rPr>
              <w:t>Minimum ignition temperatures (dust clouds and dust layers)</w:t>
            </w:r>
          </w:p>
          <w:p w14:paraId="6AC59C0A" w14:textId="77777777" w:rsidR="00DB3FEF" w:rsidRPr="00DB3FEF" w:rsidRDefault="00DB3FEF" w:rsidP="00DB3FEF">
            <w:pPr>
              <w:pStyle w:val="ListParagraph"/>
              <w:keepNext/>
              <w:keepLines/>
              <w:numPr>
                <w:ilvl w:val="0"/>
                <w:numId w:val="9"/>
              </w:numPr>
              <w:spacing w:before="60" w:after="60"/>
              <w:ind w:left="284" w:hanging="284"/>
              <w:rPr>
                <w:i/>
                <w:sz w:val="18"/>
                <w:szCs w:val="18"/>
              </w:rPr>
            </w:pPr>
            <w:r w:rsidRPr="00DB3FEF">
              <w:rPr>
                <w:i/>
                <w:sz w:val="18"/>
                <w:szCs w:val="18"/>
              </w:rPr>
              <w:t>Self-ignition behaviour</w:t>
            </w:r>
          </w:p>
          <w:p w14:paraId="3A000B2B" w14:textId="77777777" w:rsidR="00DB3FEF" w:rsidRPr="00DB3FEF" w:rsidRDefault="00DB3FEF" w:rsidP="00C2533D">
            <w:pPr>
              <w:keepNext/>
              <w:keepLines/>
              <w:spacing w:before="60" w:after="60"/>
              <w:rPr>
                <w:sz w:val="18"/>
                <w:szCs w:val="18"/>
                <w:u w:val="single"/>
              </w:rPr>
            </w:pPr>
          </w:p>
          <w:p w14:paraId="2EB93AE0" w14:textId="77777777" w:rsidR="00DB3FEF" w:rsidRPr="00DB3FEF" w:rsidRDefault="00DB3FEF" w:rsidP="00C2533D">
            <w:pPr>
              <w:keepNext/>
              <w:keepLines/>
              <w:spacing w:before="60" w:after="60"/>
              <w:rPr>
                <w:b/>
                <w:sz w:val="18"/>
                <w:szCs w:val="18"/>
              </w:rPr>
            </w:pPr>
            <w:r w:rsidRPr="00DB3FEF">
              <w:rPr>
                <w:b/>
                <w:sz w:val="18"/>
                <w:szCs w:val="18"/>
              </w:rPr>
              <w:t>Prevention of effective ignition sources by [examples below]</w:t>
            </w:r>
          </w:p>
          <w:p w14:paraId="13147D71"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Avoidance of open fire or flames</w:t>
            </w:r>
          </w:p>
          <w:p w14:paraId="141D1844"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No smoking</w:t>
            </w:r>
          </w:p>
          <w:p w14:paraId="3B38B5BB"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Limitation of surface temperatures</w:t>
            </w:r>
          </w:p>
          <w:p w14:paraId="09A09649"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Use of approved electrical and mechanical equipment (according to respective zone)</w:t>
            </w:r>
          </w:p>
          <w:p w14:paraId="70B22FB4"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 xml:space="preserve">Prevention of electrostatic discharges (e.g., grounding, dissipative materials) </w:t>
            </w:r>
          </w:p>
          <w:p w14:paraId="7EDD0DA3"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Prevention of mechanical heating or sparks (e.g., temperature monitoring, misalignment monitoring of moving parts, …)</w:t>
            </w:r>
          </w:p>
          <w:p w14:paraId="01613329"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 xml:space="preserve">Spark detection and extinguishing </w:t>
            </w:r>
          </w:p>
          <w:p w14:paraId="08F452A3"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w:t>
            </w:r>
          </w:p>
        </w:tc>
        <w:tc>
          <w:tcPr>
            <w:tcW w:w="254" w:type="dxa"/>
            <w:tcBorders>
              <w:top w:val="nil"/>
              <w:left w:val="single" w:sz="4" w:space="0" w:color="auto"/>
              <w:bottom w:val="nil"/>
              <w:right w:val="single" w:sz="4" w:space="0" w:color="auto"/>
            </w:tcBorders>
            <w:shd w:val="clear" w:color="auto" w:fill="auto"/>
          </w:tcPr>
          <w:p w14:paraId="2012E72C" w14:textId="77777777" w:rsidR="00DB3FEF" w:rsidRPr="00DB3FEF" w:rsidRDefault="00DB3FEF" w:rsidP="00C2533D">
            <w:pPr>
              <w:keepNext/>
              <w:keepLines/>
              <w:spacing w:before="120" w:after="120"/>
              <w:rPr>
                <w:sz w:val="18"/>
                <w:szCs w:val="18"/>
                <w:u w:val="single"/>
              </w:rPr>
            </w:pPr>
          </w:p>
        </w:tc>
        <w:tc>
          <w:tcPr>
            <w:tcW w:w="2544" w:type="dxa"/>
            <w:tcBorders>
              <w:top w:val="single" w:sz="4" w:space="0" w:color="auto"/>
              <w:left w:val="single" w:sz="4" w:space="0" w:color="auto"/>
              <w:bottom w:val="single" w:sz="4" w:space="0" w:color="auto"/>
            </w:tcBorders>
            <w:shd w:val="clear" w:color="auto" w:fill="auto"/>
          </w:tcPr>
          <w:p w14:paraId="103B4B8E" w14:textId="77777777" w:rsidR="00DB3FEF" w:rsidRPr="00DB3FEF" w:rsidRDefault="00DB3FEF" w:rsidP="00C2533D">
            <w:pPr>
              <w:keepNext/>
              <w:keepLines/>
              <w:spacing w:before="60" w:after="60"/>
              <w:rPr>
                <w:b/>
                <w:sz w:val="18"/>
                <w:szCs w:val="18"/>
              </w:rPr>
            </w:pPr>
            <w:r w:rsidRPr="00DB3FEF">
              <w:rPr>
                <w:b/>
                <w:sz w:val="18"/>
                <w:szCs w:val="18"/>
              </w:rPr>
              <w:t>Explosion suppression by [examples below]</w:t>
            </w:r>
          </w:p>
          <w:p w14:paraId="4DCE4A22"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Explosion detection and dispersion of extinguishing media (powder, water, …)</w:t>
            </w:r>
          </w:p>
          <w:p w14:paraId="7DFEDDBE" w14:textId="77777777" w:rsidR="00DB3FEF" w:rsidRPr="00DB3FEF" w:rsidRDefault="00DB3FEF" w:rsidP="00DB3FEF">
            <w:pPr>
              <w:pStyle w:val="ListParagraph"/>
              <w:keepNext/>
              <w:keepLines/>
              <w:numPr>
                <w:ilvl w:val="0"/>
                <w:numId w:val="9"/>
              </w:numPr>
              <w:spacing w:before="60" w:after="60"/>
              <w:ind w:left="284" w:hanging="284"/>
              <w:rPr>
                <w:sz w:val="18"/>
                <w:szCs w:val="18"/>
              </w:rPr>
            </w:pPr>
            <w:r w:rsidRPr="00DB3FEF">
              <w:rPr>
                <w:sz w:val="18"/>
                <w:szCs w:val="18"/>
              </w:rPr>
              <w:t>…</w:t>
            </w:r>
          </w:p>
          <w:p w14:paraId="358DAD06" w14:textId="77777777" w:rsidR="00DB3FEF" w:rsidRPr="00DB3FEF" w:rsidRDefault="00DB3FEF" w:rsidP="00C2533D">
            <w:pPr>
              <w:keepNext/>
              <w:keepLines/>
              <w:spacing w:before="120" w:after="120"/>
              <w:rPr>
                <w:sz w:val="18"/>
                <w:szCs w:val="18"/>
              </w:rPr>
            </w:pPr>
          </w:p>
        </w:tc>
      </w:tr>
      <w:tr w:rsidR="00DB3FEF" w:rsidRPr="00DB3FEF" w14:paraId="6A2CD8EC" w14:textId="77777777" w:rsidTr="00C2533D">
        <w:trPr>
          <w:cantSplit/>
          <w:trHeight w:hRule="exact" w:val="170"/>
          <w:jc w:val="center"/>
        </w:trPr>
        <w:tc>
          <w:tcPr>
            <w:tcW w:w="3011" w:type="dxa"/>
            <w:tcBorders>
              <w:top w:val="single" w:sz="4" w:space="0" w:color="auto"/>
              <w:left w:val="nil"/>
              <w:bottom w:val="single" w:sz="4" w:space="0" w:color="auto"/>
              <w:right w:val="nil"/>
            </w:tcBorders>
            <w:shd w:val="clear" w:color="auto" w:fill="auto"/>
          </w:tcPr>
          <w:p w14:paraId="2DF5CF5B" w14:textId="77777777" w:rsidR="00DB3FEF" w:rsidRPr="00DB3FEF" w:rsidRDefault="00DB3FEF" w:rsidP="00C2533D">
            <w:pPr>
              <w:keepLines/>
              <w:spacing w:before="120"/>
              <w:rPr>
                <w:i/>
                <w:sz w:val="18"/>
                <w:szCs w:val="18"/>
                <w:u w:val="single"/>
              </w:rPr>
            </w:pPr>
          </w:p>
        </w:tc>
        <w:tc>
          <w:tcPr>
            <w:tcW w:w="280" w:type="dxa"/>
            <w:tcBorders>
              <w:top w:val="nil"/>
              <w:left w:val="nil"/>
              <w:bottom w:val="nil"/>
              <w:right w:val="single" w:sz="4" w:space="0" w:color="auto"/>
            </w:tcBorders>
            <w:shd w:val="clear" w:color="auto" w:fill="auto"/>
          </w:tcPr>
          <w:p w14:paraId="4A20AD5A" w14:textId="77777777" w:rsidR="00DB3FEF" w:rsidRPr="00DB3FEF" w:rsidRDefault="00DB3FEF" w:rsidP="00C2533D">
            <w:pPr>
              <w:keepLines/>
              <w:spacing w:before="120" w:after="120"/>
              <w:rPr>
                <w:sz w:val="18"/>
                <w:szCs w:val="18"/>
              </w:rPr>
            </w:pPr>
          </w:p>
        </w:tc>
        <w:tc>
          <w:tcPr>
            <w:tcW w:w="2973" w:type="dxa"/>
            <w:vMerge/>
            <w:tcBorders>
              <w:left w:val="single" w:sz="4" w:space="0" w:color="auto"/>
              <w:right w:val="single" w:sz="4" w:space="0" w:color="auto"/>
            </w:tcBorders>
            <w:shd w:val="clear" w:color="auto" w:fill="auto"/>
          </w:tcPr>
          <w:p w14:paraId="62A7209F" w14:textId="77777777" w:rsidR="00DB3FEF" w:rsidRPr="00DB3FEF" w:rsidRDefault="00DB3FEF" w:rsidP="00C2533D">
            <w:pPr>
              <w:keepLines/>
              <w:spacing w:before="120" w:after="120"/>
              <w:rPr>
                <w:sz w:val="18"/>
                <w:szCs w:val="18"/>
              </w:rPr>
            </w:pPr>
          </w:p>
        </w:tc>
        <w:tc>
          <w:tcPr>
            <w:tcW w:w="254" w:type="dxa"/>
            <w:tcBorders>
              <w:top w:val="nil"/>
              <w:left w:val="single" w:sz="4" w:space="0" w:color="auto"/>
              <w:bottom w:val="nil"/>
              <w:right w:val="nil"/>
            </w:tcBorders>
            <w:shd w:val="clear" w:color="auto" w:fill="auto"/>
          </w:tcPr>
          <w:p w14:paraId="409B662D" w14:textId="77777777" w:rsidR="00DB3FEF" w:rsidRPr="00DB3FEF" w:rsidRDefault="00DB3FEF" w:rsidP="00C2533D">
            <w:pPr>
              <w:keepLines/>
              <w:spacing w:before="120" w:after="120"/>
              <w:rPr>
                <w:sz w:val="18"/>
                <w:szCs w:val="18"/>
                <w:u w:val="single"/>
              </w:rPr>
            </w:pPr>
          </w:p>
        </w:tc>
        <w:tc>
          <w:tcPr>
            <w:tcW w:w="2544" w:type="dxa"/>
            <w:tcBorders>
              <w:top w:val="single" w:sz="4" w:space="0" w:color="auto"/>
              <w:left w:val="nil"/>
              <w:bottom w:val="single" w:sz="4" w:space="0" w:color="auto"/>
              <w:right w:val="nil"/>
            </w:tcBorders>
            <w:shd w:val="clear" w:color="auto" w:fill="auto"/>
          </w:tcPr>
          <w:p w14:paraId="24ABB433" w14:textId="77777777" w:rsidR="00DB3FEF" w:rsidRPr="00DB3FEF" w:rsidRDefault="00DB3FEF" w:rsidP="00C2533D">
            <w:pPr>
              <w:keepLines/>
              <w:spacing w:before="120" w:after="120"/>
              <w:rPr>
                <w:sz w:val="18"/>
                <w:szCs w:val="18"/>
                <w:u w:val="single"/>
              </w:rPr>
            </w:pPr>
          </w:p>
        </w:tc>
      </w:tr>
      <w:tr w:rsidR="00DB3FEF" w:rsidRPr="00DB3FEF" w14:paraId="197FFDF6" w14:textId="77777777" w:rsidTr="00C2533D">
        <w:trPr>
          <w:cantSplit/>
          <w:trHeight w:val="505"/>
          <w:jc w:val="center"/>
        </w:trPr>
        <w:tc>
          <w:tcPr>
            <w:tcW w:w="3011" w:type="dxa"/>
            <w:vMerge w:val="restart"/>
            <w:tcBorders>
              <w:top w:val="single" w:sz="4" w:space="0" w:color="auto"/>
              <w:right w:val="single" w:sz="4" w:space="0" w:color="auto"/>
            </w:tcBorders>
            <w:shd w:val="clear" w:color="auto" w:fill="auto"/>
          </w:tcPr>
          <w:p w14:paraId="558AD21D" w14:textId="77777777" w:rsidR="00DB3FEF" w:rsidRPr="00DB3FEF" w:rsidRDefault="00DB3FEF" w:rsidP="00C2533D">
            <w:pPr>
              <w:keepLines/>
              <w:spacing w:before="60" w:after="60"/>
              <w:rPr>
                <w:i/>
                <w:sz w:val="18"/>
                <w:szCs w:val="18"/>
                <w:u w:val="single"/>
              </w:rPr>
            </w:pPr>
            <w:r w:rsidRPr="00DB3FEF">
              <w:rPr>
                <w:i/>
                <w:sz w:val="18"/>
                <w:szCs w:val="18"/>
                <w:u w:val="single"/>
              </w:rPr>
              <w:t>Relevant safety characteristics</w:t>
            </w:r>
          </w:p>
          <w:p w14:paraId="49AB9074" w14:textId="77777777" w:rsidR="00DB3FEF" w:rsidRPr="00DB3FEF" w:rsidRDefault="00DB3FEF" w:rsidP="00DB3FEF">
            <w:pPr>
              <w:pStyle w:val="ListParagraph"/>
              <w:keepLines/>
              <w:numPr>
                <w:ilvl w:val="0"/>
                <w:numId w:val="9"/>
              </w:numPr>
              <w:spacing w:before="60" w:after="60"/>
              <w:ind w:left="284" w:hanging="284"/>
              <w:rPr>
                <w:i/>
                <w:sz w:val="18"/>
                <w:szCs w:val="18"/>
              </w:rPr>
            </w:pPr>
            <w:r w:rsidRPr="00DB3FEF">
              <w:rPr>
                <w:i/>
                <w:sz w:val="18"/>
                <w:szCs w:val="18"/>
              </w:rPr>
              <w:t>Limiting oxygen concentration (LOC)</w:t>
            </w:r>
          </w:p>
          <w:p w14:paraId="55D19DE3" w14:textId="77777777" w:rsidR="00DB3FEF" w:rsidRPr="00DB3FEF" w:rsidRDefault="00DB3FEF" w:rsidP="00C2533D">
            <w:pPr>
              <w:keepLines/>
              <w:spacing w:before="60" w:after="60"/>
              <w:rPr>
                <w:sz w:val="18"/>
                <w:szCs w:val="18"/>
                <w:u w:val="single"/>
              </w:rPr>
            </w:pPr>
          </w:p>
          <w:p w14:paraId="65A2EEF2" w14:textId="77777777" w:rsidR="00DB3FEF" w:rsidRPr="00DB3FEF" w:rsidRDefault="00DB3FEF" w:rsidP="00C2533D">
            <w:pPr>
              <w:keepLines/>
              <w:spacing w:before="60" w:after="60"/>
              <w:rPr>
                <w:b/>
                <w:sz w:val="18"/>
                <w:szCs w:val="18"/>
              </w:rPr>
            </w:pPr>
            <w:r w:rsidRPr="00DB3FEF">
              <w:rPr>
                <w:b/>
                <w:sz w:val="18"/>
                <w:szCs w:val="18"/>
              </w:rPr>
              <w:t>Oxygen reduction by [examples below]</w:t>
            </w:r>
          </w:p>
          <w:p w14:paraId="36B59FD1" w14:textId="77777777" w:rsidR="00DB3FEF" w:rsidRPr="00DB3FEF" w:rsidRDefault="00DB3FEF" w:rsidP="00DB3FEF">
            <w:pPr>
              <w:pStyle w:val="ListParagraph"/>
              <w:keepLines/>
              <w:numPr>
                <w:ilvl w:val="0"/>
                <w:numId w:val="9"/>
              </w:numPr>
              <w:spacing w:before="60" w:after="60"/>
              <w:ind w:left="284" w:hanging="284"/>
              <w:rPr>
                <w:i/>
                <w:sz w:val="18"/>
                <w:szCs w:val="18"/>
                <w:u w:val="single"/>
              </w:rPr>
            </w:pPr>
            <w:r w:rsidRPr="00DB3FEF">
              <w:rPr>
                <w:sz w:val="18"/>
                <w:szCs w:val="18"/>
              </w:rPr>
              <w:t>Inerting (N</w:t>
            </w:r>
            <w:r w:rsidRPr="00DB3FEF">
              <w:rPr>
                <w:sz w:val="18"/>
                <w:szCs w:val="18"/>
                <w:vertAlign w:val="subscript"/>
              </w:rPr>
              <w:t>2</w:t>
            </w:r>
            <w:r w:rsidRPr="00DB3FEF">
              <w:rPr>
                <w:sz w:val="18"/>
                <w:szCs w:val="18"/>
              </w:rPr>
              <w:t>, CO</w:t>
            </w:r>
            <w:r w:rsidRPr="00DB3FEF">
              <w:rPr>
                <w:sz w:val="18"/>
                <w:szCs w:val="18"/>
                <w:vertAlign w:val="subscript"/>
              </w:rPr>
              <w:t>2</w:t>
            </w:r>
            <w:r w:rsidRPr="00DB3FEF">
              <w:rPr>
                <w:sz w:val="18"/>
                <w:szCs w:val="18"/>
              </w:rPr>
              <w:t>, argon, flue gas, water vapour, …)</w:t>
            </w:r>
          </w:p>
        </w:tc>
        <w:tc>
          <w:tcPr>
            <w:tcW w:w="280" w:type="dxa"/>
            <w:tcBorders>
              <w:top w:val="nil"/>
              <w:left w:val="single" w:sz="4" w:space="0" w:color="auto"/>
              <w:bottom w:val="nil"/>
              <w:right w:val="single" w:sz="4" w:space="0" w:color="auto"/>
            </w:tcBorders>
            <w:shd w:val="clear" w:color="auto" w:fill="auto"/>
          </w:tcPr>
          <w:p w14:paraId="70C0EFF6" w14:textId="77777777" w:rsidR="00DB3FEF" w:rsidRPr="00DB3FEF" w:rsidRDefault="00DB3FEF" w:rsidP="00C2533D">
            <w:pPr>
              <w:keepLines/>
              <w:spacing w:before="120" w:after="120"/>
              <w:rPr>
                <w:sz w:val="18"/>
                <w:szCs w:val="18"/>
              </w:rPr>
            </w:pPr>
          </w:p>
        </w:tc>
        <w:tc>
          <w:tcPr>
            <w:tcW w:w="2973" w:type="dxa"/>
            <w:vMerge/>
            <w:tcBorders>
              <w:left w:val="single" w:sz="4" w:space="0" w:color="auto"/>
              <w:right w:val="single" w:sz="4" w:space="0" w:color="auto"/>
            </w:tcBorders>
            <w:shd w:val="clear" w:color="auto" w:fill="auto"/>
          </w:tcPr>
          <w:p w14:paraId="34C2A4CF" w14:textId="77777777" w:rsidR="00DB3FEF" w:rsidRPr="00DB3FEF" w:rsidRDefault="00DB3FEF" w:rsidP="00C2533D">
            <w:pPr>
              <w:keepLines/>
              <w:spacing w:before="120" w:after="120"/>
              <w:rPr>
                <w:sz w:val="18"/>
                <w:szCs w:val="18"/>
              </w:rPr>
            </w:pPr>
          </w:p>
        </w:tc>
        <w:tc>
          <w:tcPr>
            <w:tcW w:w="254" w:type="dxa"/>
            <w:tcBorders>
              <w:top w:val="nil"/>
              <w:left w:val="single" w:sz="4" w:space="0" w:color="auto"/>
              <w:bottom w:val="nil"/>
              <w:right w:val="single" w:sz="4" w:space="0" w:color="auto"/>
            </w:tcBorders>
            <w:shd w:val="clear" w:color="auto" w:fill="auto"/>
          </w:tcPr>
          <w:p w14:paraId="2A39572B" w14:textId="77777777" w:rsidR="00DB3FEF" w:rsidRPr="00DB3FEF" w:rsidRDefault="00DB3FEF" w:rsidP="00C2533D">
            <w:pPr>
              <w:keepLines/>
              <w:spacing w:before="120" w:after="120"/>
              <w:rPr>
                <w:sz w:val="18"/>
                <w:szCs w:val="18"/>
                <w:u w:val="single"/>
              </w:rPr>
            </w:pPr>
          </w:p>
        </w:tc>
        <w:tc>
          <w:tcPr>
            <w:tcW w:w="2544" w:type="dxa"/>
            <w:vMerge w:val="restart"/>
            <w:tcBorders>
              <w:top w:val="single" w:sz="4" w:space="0" w:color="auto"/>
              <w:left w:val="single" w:sz="4" w:space="0" w:color="auto"/>
            </w:tcBorders>
            <w:shd w:val="clear" w:color="auto" w:fill="auto"/>
          </w:tcPr>
          <w:p w14:paraId="74D1C869" w14:textId="77777777" w:rsidR="00DB3FEF" w:rsidRPr="00DB3FEF" w:rsidRDefault="00DB3FEF" w:rsidP="00C2533D">
            <w:pPr>
              <w:keepLines/>
              <w:spacing w:before="60" w:after="60"/>
              <w:rPr>
                <w:b/>
                <w:sz w:val="18"/>
                <w:szCs w:val="18"/>
              </w:rPr>
            </w:pPr>
            <w:r w:rsidRPr="00DB3FEF">
              <w:rPr>
                <w:b/>
                <w:sz w:val="18"/>
                <w:szCs w:val="18"/>
              </w:rPr>
              <w:t xml:space="preserve">Explosion isolation </w:t>
            </w:r>
            <w:r w:rsidRPr="00DB3FEF">
              <w:rPr>
                <w:b/>
                <w:sz w:val="18"/>
                <w:szCs w:val="18"/>
              </w:rPr>
              <w:br/>
              <w:t>by [examples below]</w:t>
            </w:r>
          </w:p>
          <w:p w14:paraId="2F026266" w14:textId="77777777" w:rsidR="00DB3FEF" w:rsidRPr="00DB3FEF" w:rsidRDefault="00DB3FEF" w:rsidP="00DB3FEF">
            <w:pPr>
              <w:pStyle w:val="ListParagraph"/>
              <w:keepLines/>
              <w:numPr>
                <w:ilvl w:val="0"/>
                <w:numId w:val="9"/>
              </w:numPr>
              <w:spacing w:before="60" w:after="60"/>
              <w:ind w:left="284" w:hanging="284"/>
              <w:rPr>
                <w:sz w:val="18"/>
                <w:szCs w:val="18"/>
              </w:rPr>
            </w:pPr>
            <w:r w:rsidRPr="00DB3FEF">
              <w:rPr>
                <w:sz w:val="18"/>
                <w:szCs w:val="18"/>
              </w:rPr>
              <w:t>Ignition and flame resistant components (rotary valves, double acting valves, quick acting gate valves, …)</w:t>
            </w:r>
          </w:p>
          <w:p w14:paraId="0985BF72" w14:textId="77777777" w:rsidR="00DB3FEF" w:rsidRPr="00DB3FEF" w:rsidRDefault="00DB3FEF" w:rsidP="00DB3FEF">
            <w:pPr>
              <w:pStyle w:val="ListParagraph"/>
              <w:keepLines/>
              <w:numPr>
                <w:ilvl w:val="0"/>
                <w:numId w:val="9"/>
              </w:numPr>
              <w:spacing w:before="60" w:after="60"/>
              <w:ind w:left="284" w:hanging="284"/>
              <w:rPr>
                <w:sz w:val="18"/>
                <w:szCs w:val="18"/>
              </w:rPr>
            </w:pPr>
            <w:r w:rsidRPr="00DB3FEF">
              <w:rPr>
                <w:sz w:val="18"/>
                <w:szCs w:val="18"/>
              </w:rPr>
              <w:t>Extinguishing barriers</w:t>
            </w:r>
          </w:p>
          <w:p w14:paraId="6B0E2A77" w14:textId="77777777" w:rsidR="00DB3FEF" w:rsidRPr="00DB3FEF" w:rsidRDefault="00DB3FEF" w:rsidP="00DB3FEF">
            <w:pPr>
              <w:pStyle w:val="ListParagraph"/>
              <w:keepLines/>
              <w:numPr>
                <w:ilvl w:val="0"/>
                <w:numId w:val="9"/>
              </w:numPr>
              <w:spacing w:before="60" w:after="60"/>
              <w:ind w:left="284" w:hanging="284"/>
              <w:rPr>
                <w:sz w:val="18"/>
                <w:szCs w:val="18"/>
                <w:u w:val="single"/>
              </w:rPr>
            </w:pPr>
            <w:r w:rsidRPr="00DB3FEF">
              <w:rPr>
                <w:sz w:val="18"/>
                <w:szCs w:val="18"/>
              </w:rPr>
              <w:t>…</w:t>
            </w:r>
          </w:p>
        </w:tc>
      </w:tr>
      <w:tr w:rsidR="00DB3FEF" w:rsidRPr="005F4603" w14:paraId="2DE1907A" w14:textId="77777777" w:rsidTr="00C2533D">
        <w:trPr>
          <w:cantSplit/>
          <w:jc w:val="center"/>
        </w:trPr>
        <w:tc>
          <w:tcPr>
            <w:tcW w:w="3011" w:type="dxa"/>
            <w:vMerge/>
            <w:tcBorders>
              <w:right w:val="single" w:sz="4" w:space="0" w:color="auto"/>
            </w:tcBorders>
            <w:shd w:val="clear" w:color="auto" w:fill="auto"/>
          </w:tcPr>
          <w:p w14:paraId="5E3E7B0A" w14:textId="77777777" w:rsidR="00DB3FEF" w:rsidRPr="00230E5F" w:rsidRDefault="00DB3FEF" w:rsidP="00DB3FEF">
            <w:pPr>
              <w:pStyle w:val="ListParagraph"/>
              <w:keepLines/>
              <w:numPr>
                <w:ilvl w:val="0"/>
                <w:numId w:val="9"/>
              </w:numPr>
              <w:spacing w:before="120" w:after="120"/>
              <w:ind w:left="284" w:hanging="284"/>
              <w:rPr>
                <w:sz w:val="20"/>
                <w:szCs w:val="20"/>
              </w:rPr>
            </w:pPr>
          </w:p>
        </w:tc>
        <w:tc>
          <w:tcPr>
            <w:tcW w:w="280" w:type="dxa"/>
            <w:tcBorders>
              <w:top w:val="nil"/>
              <w:left w:val="single" w:sz="4" w:space="0" w:color="auto"/>
              <w:bottom w:val="nil"/>
              <w:right w:val="single" w:sz="4" w:space="0" w:color="auto"/>
            </w:tcBorders>
            <w:shd w:val="clear" w:color="auto" w:fill="auto"/>
          </w:tcPr>
          <w:p w14:paraId="1E032313" w14:textId="77777777" w:rsidR="00DB3FEF" w:rsidRPr="005F4603" w:rsidRDefault="00DB3FEF" w:rsidP="00C2533D">
            <w:pPr>
              <w:keepLines/>
              <w:spacing w:before="120" w:after="120"/>
            </w:pPr>
          </w:p>
        </w:tc>
        <w:tc>
          <w:tcPr>
            <w:tcW w:w="2973" w:type="dxa"/>
            <w:vMerge/>
            <w:tcBorders>
              <w:left w:val="single" w:sz="4" w:space="0" w:color="auto"/>
              <w:right w:val="single" w:sz="4" w:space="0" w:color="auto"/>
            </w:tcBorders>
            <w:shd w:val="clear" w:color="auto" w:fill="auto"/>
          </w:tcPr>
          <w:p w14:paraId="79654DB7" w14:textId="77777777" w:rsidR="00DB3FEF" w:rsidRPr="005F4603" w:rsidRDefault="00DB3FEF" w:rsidP="00C2533D">
            <w:pPr>
              <w:keepLines/>
              <w:spacing w:before="120" w:after="120"/>
            </w:pPr>
          </w:p>
        </w:tc>
        <w:tc>
          <w:tcPr>
            <w:tcW w:w="254" w:type="dxa"/>
            <w:tcBorders>
              <w:top w:val="nil"/>
              <w:left w:val="single" w:sz="4" w:space="0" w:color="auto"/>
              <w:bottom w:val="nil"/>
              <w:right w:val="single" w:sz="4" w:space="0" w:color="auto"/>
            </w:tcBorders>
            <w:shd w:val="clear" w:color="auto" w:fill="auto"/>
          </w:tcPr>
          <w:p w14:paraId="3E636010" w14:textId="77777777" w:rsidR="00DB3FEF" w:rsidRPr="005F4603" w:rsidRDefault="00DB3FEF" w:rsidP="00C2533D">
            <w:pPr>
              <w:keepLines/>
              <w:spacing w:before="120" w:after="120"/>
              <w:rPr>
                <w:u w:val="single"/>
              </w:rPr>
            </w:pPr>
          </w:p>
        </w:tc>
        <w:tc>
          <w:tcPr>
            <w:tcW w:w="2544" w:type="dxa"/>
            <w:vMerge/>
            <w:tcBorders>
              <w:left w:val="single" w:sz="4" w:space="0" w:color="auto"/>
            </w:tcBorders>
            <w:shd w:val="clear" w:color="auto" w:fill="auto"/>
          </w:tcPr>
          <w:p w14:paraId="056925F3" w14:textId="77777777" w:rsidR="00DB3FEF" w:rsidRPr="005F4603" w:rsidRDefault="00DB3FEF" w:rsidP="00C2533D">
            <w:pPr>
              <w:keepLines/>
              <w:spacing w:before="120" w:after="120"/>
            </w:pPr>
          </w:p>
        </w:tc>
      </w:tr>
    </w:tbl>
    <w:p w14:paraId="417070D0" w14:textId="2C01D301" w:rsidR="00DB3FEF" w:rsidRPr="00706228" w:rsidRDefault="00DB3FEF" w:rsidP="006F1C86">
      <w:pPr>
        <w:pStyle w:val="H4G"/>
        <w:jc w:val="both"/>
      </w:pPr>
      <w:r>
        <w:lastRenderedPageBreak/>
        <w:tab/>
      </w:r>
      <w:r>
        <w:tab/>
      </w:r>
      <w:r w:rsidR="00A52F7D" w:rsidRPr="00706228">
        <w:rPr>
          <w:i w:val="0"/>
        </w:rPr>
        <w:t>A</w:t>
      </w:r>
      <w:r w:rsidR="00A52F7D">
        <w:rPr>
          <w:i w:val="0"/>
        </w:rPr>
        <w:t>11</w:t>
      </w:r>
      <w:r w:rsidRPr="00706228">
        <w:rPr>
          <w:i w:val="0"/>
        </w:rPr>
        <w:t>.2.6.2</w:t>
      </w:r>
      <w:r w:rsidRPr="00706228">
        <w:rPr>
          <w:i w:val="0"/>
        </w:rPr>
        <w:tab/>
      </w:r>
      <w:r w:rsidRPr="00706228">
        <w:t xml:space="preserve">Considerations for dust explosion protection during operations and processing </w:t>
      </w:r>
    </w:p>
    <w:p w14:paraId="11A4A2E6" w14:textId="61B944A5" w:rsidR="00DB3FEF" w:rsidRPr="002249C6" w:rsidRDefault="00A52F7D" w:rsidP="00DB3FEF">
      <w:pPr>
        <w:pStyle w:val="SingleTxtG"/>
        <w:keepNext/>
        <w:keepLines/>
      </w:pPr>
      <w:r>
        <w:t>A11</w:t>
      </w:r>
      <w:r w:rsidR="00DB3FEF">
        <w:t>.2.6.2.1</w:t>
      </w:r>
      <w:r w:rsidR="00DB3FEF">
        <w:tab/>
        <w:t xml:space="preserve">Processing operations may change the physical form of substances, mixtures, and solid materials such that smaller particles are formed (e.g., sieving, milling, grinding). When substances, mixtures, and solid materials that are not completely oxidized are subjected to such operations, this may result in the formation of combustible dusts. In such cases, the principles of this guidance apply equivalently, and the measures for hazard prevention, risk assessment and mitigation described in </w:t>
      </w:r>
      <w:r>
        <w:t>A11</w:t>
      </w:r>
      <w:r w:rsidR="00DB3FEF">
        <w:t>.2.6</w:t>
      </w:r>
      <w:r w:rsidR="00717EC9">
        <w:t>.1</w:t>
      </w:r>
      <w:r w:rsidR="00DB3FEF">
        <w:t xml:space="preserve"> should be considered</w:t>
      </w:r>
      <w:r w:rsidR="00DB3FEF" w:rsidRPr="002249C6">
        <w:t xml:space="preserve">.  The </w:t>
      </w:r>
      <w:r w:rsidR="00010944">
        <w:t xml:space="preserve">responsible party (e.g., manufacturer, employer) at a </w:t>
      </w:r>
      <w:r w:rsidR="00DB3FEF">
        <w:t xml:space="preserve">facility performing processing operations </w:t>
      </w:r>
      <w:r w:rsidR="00DB3FEF" w:rsidRPr="002249C6">
        <w:t xml:space="preserve">has the best knowledge about the operation </w:t>
      </w:r>
      <w:r w:rsidR="008B1FE0">
        <w:t xml:space="preserve">that is </w:t>
      </w:r>
      <w:r w:rsidR="00DB3FEF" w:rsidRPr="002249C6">
        <w:t>necessary to conduct an appropriate dust explosion risk assessment and determine the proper measures for hazard prevention and risk mitigation.</w:t>
      </w:r>
    </w:p>
    <w:p w14:paraId="740A0208" w14:textId="6E2DB562" w:rsidR="00DB3FEF" w:rsidRDefault="00A52F7D" w:rsidP="00DB3FEF">
      <w:pPr>
        <w:pStyle w:val="SingleTxtG"/>
      </w:pPr>
      <w:r>
        <w:t>A11</w:t>
      </w:r>
      <w:r w:rsidR="00DB3FEF">
        <w:t>.2.6.2.2</w:t>
      </w:r>
      <w:r w:rsidR="00DB3FEF">
        <w:tab/>
      </w:r>
      <w:r w:rsidR="00DB3FEF" w:rsidRPr="005F4603">
        <w:t xml:space="preserve">Table </w:t>
      </w:r>
      <w:r w:rsidRPr="005F4603">
        <w:t>A</w:t>
      </w:r>
      <w:r>
        <w:t>11</w:t>
      </w:r>
      <w:r w:rsidR="00DB3FEF" w:rsidRPr="005F4603">
        <w:t>.2.</w:t>
      </w:r>
      <w:r w:rsidR="00DB3FEF">
        <w:t>2</w:t>
      </w:r>
      <w:r w:rsidR="00DB3FEF" w:rsidRPr="005F4603">
        <w:t xml:space="preserve"> </w:t>
      </w:r>
      <w:r w:rsidR="00DB3FEF" w:rsidRPr="00FC76F8">
        <w:t xml:space="preserve">presents </w:t>
      </w:r>
      <w:r w:rsidR="00DB3FEF">
        <w:t xml:space="preserve">potential </w:t>
      </w:r>
      <w:r w:rsidR="00DB3FEF" w:rsidRPr="00FC76F8">
        <w:rPr>
          <w:bCs/>
          <w:color w:val="000000"/>
          <w:lang w:eastAsia="de-DE"/>
        </w:rPr>
        <w:t xml:space="preserve">ignition sources that </w:t>
      </w:r>
      <w:r w:rsidR="00DB3FEF">
        <w:rPr>
          <w:bCs/>
          <w:color w:val="000000"/>
          <w:lang w:eastAsia="de-DE"/>
        </w:rPr>
        <w:t xml:space="preserve">may be present </w:t>
      </w:r>
      <w:r w:rsidR="00DB3FEF" w:rsidRPr="00FC76F8">
        <w:t>during operations</w:t>
      </w:r>
      <w:r w:rsidR="00DB3FEF">
        <w:t xml:space="preserve"> and that </w:t>
      </w:r>
      <w:r w:rsidR="00DB3FEF" w:rsidRPr="00FC76F8">
        <w:rPr>
          <w:bCs/>
          <w:color w:val="000000"/>
          <w:lang w:eastAsia="de-DE"/>
        </w:rPr>
        <w:t>should be considered</w:t>
      </w:r>
      <w:r w:rsidR="00DB3FEF" w:rsidRPr="005F4603">
        <w:t xml:space="preserve">.  The table </w:t>
      </w:r>
      <w:r w:rsidR="00DB3FEF" w:rsidRPr="00E25405">
        <w:rPr>
          <w:color w:val="000000"/>
        </w:rPr>
        <w:t xml:space="preserve">uses ignition sources as an example when </w:t>
      </w:r>
      <w:r w:rsidR="00DB3FEF">
        <w:rPr>
          <w:color w:val="000000"/>
        </w:rPr>
        <w:t xml:space="preserve">evaluating </w:t>
      </w:r>
      <w:r w:rsidR="00DB3FEF" w:rsidRPr="00E25405">
        <w:rPr>
          <w:color w:val="000000"/>
        </w:rPr>
        <w:t xml:space="preserve">potential dust explosion protection measures during operations.  </w:t>
      </w:r>
      <w:r w:rsidR="00DB3FEF" w:rsidRPr="005F4603">
        <w:t>Expert advice may be needed to develop</w:t>
      </w:r>
      <w:r w:rsidR="00DB3FEF">
        <w:t xml:space="preserve"> and apply</w:t>
      </w:r>
      <w:r w:rsidR="00DB3FEF" w:rsidRPr="005F4603">
        <w:t xml:space="preserve"> appropriate preve</w:t>
      </w:r>
      <w:r w:rsidR="00DB3FEF">
        <w:t xml:space="preserve">ntive and </w:t>
      </w:r>
      <w:proofErr w:type="spellStart"/>
      <w:r w:rsidR="00DB3FEF">
        <w:t>mitigative</w:t>
      </w:r>
      <w:proofErr w:type="spellEnd"/>
      <w:r w:rsidR="00DB3FEF">
        <w:t xml:space="preserve"> measures.</w:t>
      </w:r>
    </w:p>
    <w:p w14:paraId="3EFCDAC0" w14:textId="77777777" w:rsidR="00BF2E35" w:rsidRPr="00DB3FEF" w:rsidRDefault="00FF2395" w:rsidP="00DB3FEF">
      <w:pPr>
        <w:pStyle w:val="HChG"/>
        <w:rPr>
          <w:sz w:val="18"/>
          <w:szCs w:val="18"/>
        </w:rPr>
      </w:pPr>
      <w:r w:rsidRPr="00DB3FEF">
        <w:tab/>
      </w:r>
    </w:p>
    <w:p w14:paraId="0560DCAF" w14:textId="77777777" w:rsidR="009F3D53" w:rsidRPr="00DB3FEF" w:rsidRDefault="009F3D53" w:rsidP="0025322D">
      <w:pPr>
        <w:pStyle w:val="SingleTxtG"/>
        <w:spacing w:before="240" w:after="0"/>
        <w:jc w:val="center"/>
        <w:rPr>
          <w:highlight w:val="yellow"/>
          <w:u w:val="single"/>
        </w:rPr>
      </w:pPr>
    </w:p>
    <w:p w14:paraId="6FFECC62" w14:textId="77777777" w:rsidR="004C34C3" w:rsidRPr="00DB3FEF" w:rsidRDefault="004C34C3" w:rsidP="0025322D">
      <w:pPr>
        <w:pStyle w:val="SingleTxtG"/>
        <w:spacing w:before="240" w:after="0"/>
        <w:jc w:val="center"/>
        <w:rPr>
          <w:highlight w:val="yellow"/>
          <w:u w:val="single"/>
        </w:rPr>
        <w:sectPr w:rsidR="004C34C3" w:rsidRPr="00DB3FEF" w:rsidSect="0099001C">
          <w:headerReference w:type="even" r:id="rId12"/>
          <w:headerReference w:type="default" r:id="rId13"/>
          <w:footerReference w:type="even" r:id="rId14"/>
          <w:footerReference w:type="default" r:id="rId15"/>
          <w:footnotePr>
            <w:numFmt w:val="chicago"/>
          </w:footnotePr>
          <w:endnotePr>
            <w:numFmt w:val="decimal"/>
          </w:endnotePr>
          <w:pgSz w:w="11907" w:h="16840" w:code="9"/>
          <w:pgMar w:top="1701" w:right="1134" w:bottom="2268" w:left="1134" w:header="1134" w:footer="1701" w:gutter="0"/>
          <w:cols w:space="720"/>
          <w:titlePg/>
          <w:docGrid w:linePitch="272"/>
        </w:sectPr>
      </w:pPr>
    </w:p>
    <w:p w14:paraId="1CF3CF41" w14:textId="4CF8C39E" w:rsidR="00DE4920" w:rsidRPr="00DB3FEF" w:rsidRDefault="00DB3FEF" w:rsidP="006F1C86">
      <w:pPr>
        <w:pStyle w:val="H1G"/>
        <w:tabs>
          <w:tab w:val="clear" w:pos="851"/>
        </w:tabs>
        <w:spacing w:before="0" w:after="160" w:line="240" w:lineRule="auto"/>
        <w:ind w:left="0" w:right="-454" w:firstLine="0"/>
        <w:jc w:val="center"/>
        <w:rPr>
          <w:sz w:val="20"/>
          <w:highlight w:val="yellow"/>
        </w:rPr>
      </w:pPr>
      <w:r w:rsidRPr="00DB3FEF">
        <w:rPr>
          <w:bCs/>
          <w:color w:val="000000"/>
          <w:sz w:val="20"/>
          <w:lang w:eastAsia="de-DE"/>
        </w:rPr>
        <w:lastRenderedPageBreak/>
        <w:t xml:space="preserve">Table </w:t>
      </w:r>
      <w:r w:rsidR="00A52F7D" w:rsidRPr="00DB3FEF">
        <w:rPr>
          <w:bCs/>
          <w:color w:val="000000"/>
          <w:sz w:val="20"/>
          <w:lang w:eastAsia="de-DE"/>
        </w:rPr>
        <w:t>A</w:t>
      </w:r>
      <w:r w:rsidR="00A52F7D">
        <w:rPr>
          <w:bCs/>
          <w:color w:val="000000"/>
          <w:sz w:val="20"/>
          <w:lang w:eastAsia="de-DE"/>
        </w:rPr>
        <w:t>11</w:t>
      </w:r>
      <w:r w:rsidRPr="00DB3FEF">
        <w:rPr>
          <w:bCs/>
          <w:color w:val="000000"/>
          <w:sz w:val="20"/>
          <w:lang w:eastAsia="de-DE"/>
        </w:rPr>
        <w:t>.2.2:</w:t>
      </w:r>
      <w:r w:rsidRPr="00DB3FEF">
        <w:rPr>
          <w:bCs/>
          <w:color w:val="000000"/>
          <w:sz w:val="20"/>
          <w:lang w:eastAsia="de-DE"/>
        </w:rPr>
        <w:tab/>
        <w:t xml:space="preserve">Potential ignition sources </w:t>
      </w:r>
      <w:r w:rsidRPr="00DB3FEF">
        <w:rPr>
          <w:sz w:val="20"/>
        </w:rPr>
        <w:t>during operations</w:t>
      </w:r>
    </w:p>
    <w:tbl>
      <w:tblPr>
        <w:tblW w:w="5195" w:type="pct"/>
        <w:tblInd w:w="-85" w:type="dxa"/>
        <w:tblLayout w:type="fixed"/>
        <w:tblCellMar>
          <w:top w:w="28" w:type="dxa"/>
          <w:left w:w="28" w:type="dxa"/>
          <w:bottom w:w="28" w:type="dxa"/>
          <w:right w:w="28" w:type="dxa"/>
        </w:tblCellMar>
        <w:tblLook w:val="04A0" w:firstRow="1" w:lastRow="0" w:firstColumn="1" w:lastColumn="0" w:noHBand="0" w:noVBand="1"/>
      </w:tblPr>
      <w:tblGrid>
        <w:gridCol w:w="1560"/>
        <w:gridCol w:w="1559"/>
        <w:gridCol w:w="851"/>
        <w:gridCol w:w="545"/>
        <w:gridCol w:w="481"/>
        <w:gridCol w:w="675"/>
        <w:gridCol w:w="425"/>
        <w:gridCol w:w="709"/>
        <w:gridCol w:w="425"/>
        <w:gridCol w:w="567"/>
        <w:gridCol w:w="1206"/>
        <w:gridCol w:w="1055"/>
        <w:gridCol w:w="7"/>
        <w:gridCol w:w="1134"/>
        <w:gridCol w:w="1090"/>
        <w:gridCol w:w="1172"/>
      </w:tblGrid>
      <w:tr w:rsidR="00DB3FEF" w:rsidRPr="001346AA" w14:paraId="56069A20" w14:textId="77777777" w:rsidTr="001346AA">
        <w:trPr>
          <w:trHeight w:val="454"/>
          <w:tblHeader/>
        </w:trPr>
        <w:tc>
          <w:tcPr>
            <w:tcW w:w="1560" w:type="dxa"/>
            <w:tcBorders>
              <w:top w:val="nil"/>
              <w:left w:val="nil"/>
              <w:bottom w:val="nil"/>
              <w:right w:val="nil"/>
            </w:tcBorders>
            <w:shd w:val="clear" w:color="auto" w:fill="auto"/>
            <w:tcMar>
              <w:left w:w="57" w:type="dxa"/>
              <w:bottom w:w="0" w:type="dxa"/>
              <w:right w:w="28" w:type="dxa"/>
            </w:tcMar>
            <w:vAlign w:val="center"/>
            <w:hideMark/>
          </w:tcPr>
          <w:p w14:paraId="5062A9A2" w14:textId="77777777" w:rsidR="00DB3FEF" w:rsidRPr="001346AA" w:rsidRDefault="00DB3FEF" w:rsidP="00B416C0">
            <w:pPr>
              <w:suppressAutoHyphens w:val="0"/>
              <w:spacing w:before="20" w:after="20" w:line="240" w:lineRule="auto"/>
              <w:jc w:val="center"/>
              <w:rPr>
                <w:color w:val="000000"/>
                <w:sz w:val="16"/>
                <w:szCs w:val="16"/>
                <w:lang w:eastAsia="de-DE"/>
              </w:rPr>
            </w:pPr>
          </w:p>
        </w:tc>
        <w:tc>
          <w:tcPr>
            <w:tcW w:w="1559" w:type="dxa"/>
            <w:tcBorders>
              <w:top w:val="double" w:sz="6" w:space="0" w:color="auto"/>
              <w:left w:val="double" w:sz="6" w:space="0" w:color="auto"/>
              <w:bottom w:val="single" w:sz="12" w:space="0" w:color="auto"/>
              <w:right w:val="single" w:sz="12" w:space="0" w:color="auto"/>
            </w:tcBorders>
            <w:shd w:val="clear" w:color="auto" w:fill="auto"/>
            <w:tcMar>
              <w:left w:w="28" w:type="dxa"/>
              <w:bottom w:w="0" w:type="dxa"/>
              <w:right w:w="28" w:type="dxa"/>
            </w:tcMar>
            <w:vAlign w:val="center"/>
            <w:hideMark/>
          </w:tcPr>
          <w:p w14:paraId="74128E74" w14:textId="77777777" w:rsidR="00DB3FEF" w:rsidRPr="001346AA" w:rsidRDefault="00DB3FEF" w:rsidP="00B416C0">
            <w:pPr>
              <w:suppressAutoHyphens w:val="0"/>
              <w:spacing w:before="20" w:after="20" w:line="240" w:lineRule="auto"/>
              <w:jc w:val="center"/>
              <w:rPr>
                <w:b/>
                <w:bCs/>
                <w:color w:val="000000"/>
                <w:sz w:val="16"/>
                <w:szCs w:val="16"/>
                <w:lang w:eastAsia="de-DE"/>
              </w:rPr>
            </w:pPr>
            <w:r w:rsidRPr="001346AA">
              <w:rPr>
                <w:b/>
                <w:bCs/>
                <w:color w:val="000000"/>
                <w:sz w:val="16"/>
                <w:szCs w:val="16"/>
                <w:lang w:eastAsia="de-DE"/>
              </w:rPr>
              <w:t xml:space="preserve">Facility </w:t>
            </w:r>
            <w:r w:rsidRPr="001346AA">
              <w:rPr>
                <w:b/>
                <w:bCs/>
                <w:color w:val="000000"/>
                <w:sz w:val="16"/>
                <w:szCs w:val="16"/>
                <w:lang w:eastAsia="de-DE"/>
              </w:rPr>
              <w:br/>
              <w:t>management</w:t>
            </w:r>
          </w:p>
        </w:tc>
        <w:tc>
          <w:tcPr>
            <w:tcW w:w="851" w:type="dxa"/>
            <w:tcBorders>
              <w:top w:val="double" w:sz="6"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14:paraId="06EFF9D8" w14:textId="77777777" w:rsidR="00DB3FEF" w:rsidRPr="001346AA" w:rsidRDefault="00DB3FEF" w:rsidP="00B416C0">
            <w:pPr>
              <w:suppressAutoHyphens w:val="0"/>
              <w:spacing w:before="20" w:after="20" w:line="240" w:lineRule="auto"/>
              <w:jc w:val="center"/>
              <w:rPr>
                <w:b/>
                <w:bCs/>
                <w:color w:val="000000"/>
                <w:sz w:val="16"/>
                <w:szCs w:val="16"/>
                <w:lang w:eastAsia="de-DE"/>
              </w:rPr>
            </w:pPr>
            <w:r w:rsidRPr="001346AA">
              <w:rPr>
                <w:b/>
                <w:bCs/>
                <w:color w:val="000000"/>
                <w:sz w:val="16"/>
                <w:szCs w:val="16"/>
                <w:lang w:eastAsia="de-DE"/>
              </w:rPr>
              <w:t>Storage</w:t>
            </w:r>
          </w:p>
        </w:tc>
        <w:tc>
          <w:tcPr>
            <w:tcW w:w="1701" w:type="dxa"/>
            <w:gridSpan w:val="3"/>
            <w:tcBorders>
              <w:top w:val="double" w:sz="6"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14:paraId="3F509721" w14:textId="77777777" w:rsidR="00DB3FEF" w:rsidRPr="001346AA" w:rsidRDefault="00B416C0" w:rsidP="00B416C0">
            <w:pPr>
              <w:suppressAutoHyphens w:val="0"/>
              <w:spacing w:before="20" w:after="20" w:line="240" w:lineRule="auto"/>
              <w:jc w:val="center"/>
              <w:rPr>
                <w:b/>
                <w:bCs/>
                <w:color w:val="000000"/>
                <w:sz w:val="16"/>
                <w:szCs w:val="16"/>
                <w:lang w:eastAsia="de-DE"/>
              </w:rPr>
            </w:pPr>
            <w:r w:rsidRPr="001346AA">
              <w:rPr>
                <w:b/>
                <w:bCs/>
                <w:color w:val="000000"/>
                <w:sz w:val="16"/>
                <w:szCs w:val="16"/>
                <w:lang w:eastAsia="de-DE"/>
              </w:rPr>
              <w:t>Transfer-o</w:t>
            </w:r>
            <w:r w:rsidR="00DB3FEF" w:rsidRPr="001346AA">
              <w:rPr>
                <w:b/>
                <w:bCs/>
                <w:color w:val="000000"/>
                <w:sz w:val="16"/>
                <w:szCs w:val="16"/>
                <w:lang w:eastAsia="de-DE"/>
              </w:rPr>
              <w:t>perations</w:t>
            </w:r>
          </w:p>
        </w:tc>
        <w:tc>
          <w:tcPr>
            <w:tcW w:w="2126" w:type="dxa"/>
            <w:gridSpan w:val="4"/>
            <w:tcBorders>
              <w:top w:val="double" w:sz="6"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14:paraId="11C2A7A8" w14:textId="77777777" w:rsidR="00DB3FEF" w:rsidRPr="001346AA" w:rsidRDefault="00DB3FEF" w:rsidP="00B416C0">
            <w:pPr>
              <w:suppressAutoHyphens w:val="0"/>
              <w:spacing w:before="20" w:after="20" w:line="240" w:lineRule="auto"/>
              <w:jc w:val="center"/>
              <w:rPr>
                <w:b/>
                <w:bCs/>
                <w:color w:val="000000"/>
                <w:sz w:val="16"/>
                <w:szCs w:val="16"/>
                <w:lang w:eastAsia="de-DE"/>
              </w:rPr>
            </w:pPr>
            <w:r w:rsidRPr="001346AA">
              <w:rPr>
                <w:b/>
                <w:bCs/>
                <w:color w:val="000000"/>
                <w:sz w:val="16"/>
                <w:szCs w:val="16"/>
                <w:lang w:eastAsia="de-DE"/>
              </w:rPr>
              <w:t xml:space="preserve">Formulation </w:t>
            </w:r>
            <w:r w:rsidR="00B416C0" w:rsidRPr="001346AA">
              <w:rPr>
                <w:b/>
                <w:bCs/>
                <w:color w:val="000000"/>
                <w:sz w:val="16"/>
                <w:szCs w:val="16"/>
                <w:lang w:eastAsia="de-DE"/>
              </w:rPr>
              <w:t>and</w:t>
            </w:r>
            <w:r w:rsidRPr="001346AA">
              <w:rPr>
                <w:b/>
                <w:bCs/>
                <w:color w:val="000000"/>
                <w:sz w:val="16"/>
                <w:szCs w:val="16"/>
                <w:lang w:eastAsia="de-DE"/>
              </w:rPr>
              <w:t xml:space="preserve"> </w:t>
            </w:r>
            <w:r w:rsidR="00B416C0" w:rsidRPr="001346AA">
              <w:rPr>
                <w:b/>
                <w:bCs/>
                <w:color w:val="000000"/>
                <w:sz w:val="16"/>
                <w:szCs w:val="16"/>
                <w:lang w:eastAsia="de-DE"/>
              </w:rPr>
              <w:t>p</w:t>
            </w:r>
            <w:r w:rsidRPr="001346AA">
              <w:rPr>
                <w:b/>
                <w:bCs/>
                <w:color w:val="000000"/>
                <w:sz w:val="16"/>
                <w:szCs w:val="16"/>
                <w:lang w:eastAsia="de-DE"/>
              </w:rPr>
              <w:t>ackaging</w:t>
            </w:r>
          </w:p>
        </w:tc>
        <w:tc>
          <w:tcPr>
            <w:tcW w:w="5664" w:type="dxa"/>
            <w:gridSpan w:val="6"/>
            <w:tcBorders>
              <w:top w:val="double" w:sz="6"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73A68343" w14:textId="77777777" w:rsidR="00DB3FEF" w:rsidRPr="001346AA" w:rsidRDefault="00DB3FEF" w:rsidP="00B416C0">
            <w:pPr>
              <w:suppressAutoHyphens w:val="0"/>
              <w:spacing w:before="20" w:after="20" w:line="240" w:lineRule="auto"/>
              <w:jc w:val="center"/>
              <w:rPr>
                <w:b/>
                <w:bCs/>
                <w:color w:val="000000"/>
                <w:sz w:val="16"/>
                <w:szCs w:val="16"/>
                <w:lang w:eastAsia="de-DE"/>
              </w:rPr>
            </w:pPr>
            <w:r w:rsidRPr="001346AA">
              <w:rPr>
                <w:b/>
                <w:bCs/>
                <w:color w:val="000000"/>
                <w:sz w:val="16"/>
                <w:szCs w:val="16"/>
                <w:lang w:eastAsia="de-DE"/>
              </w:rPr>
              <w:t xml:space="preserve">Reaction </w:t>
            </w:r>
            <w:r w:rsidR="00B416C0" w:rsidRPr="001346AA">
              <w:rPr>
                <w:b/>
                <w:bCs/>
                <w:color w:val="000000"/>
                <w:sz w:val="16"/>
                <w:szCs w:val="16"/>
                <w:lang w:eastAsia="de-DE"/>
              </w:rPr>
              <w:t>and</w:t>
            </w:r>
            <w:r w:rsidRPr="001346AA">
              <w:rPr>
                <w:b/>
                <w:bCs/>
                <w:color w:val="000000"/>
                <w:sz w:val="16"/>
                <w:szCs w:val="16"/>
                <w:lang w:eastAsia="de-DE"/>
              </w:rPr>
              <w:t xml:space="preserve"> </w:t>
            </w:r>
            <w:r w:rsidR="00B416C0" w:rsidRPr="001346AA">
              <w:rPr>
                <w:b/>
                <w:bCs/>
                <w:color w:val="000000"/>
                <w:sz w:val="16"/>
                <w:szCs w:val="16"/>
                <w:lang w:eastAsia="de-DE"/>
              </w:rPr>
              <w:t>d</w:t>
            </w:r>
            <w:r w:rsidRPr="001346AA">
              <w:rPr>
                <w:b/>
                <w:bCs/>
                <w:color w:val="000000"/>
                <w:sz w:val="16"/>
                <w:szCs w:val="16"/>
                <w:lang w:eastAsia="de-DE"/>
              </w:rPr>
              <w:t xml:space="preserve">ownstream </w:t>
            </w:r>
            <w:r w:rsidR="00B416C0" w:rsidRPr="001346AA">
              <w:rPr>
                <w:b/>
                <w:bCs/>
                <w:color w:val="000000"/>
                <w:sz w:val="16"/>
                <w:szCs w:val="16"/>
                <w:lang w:eastAsia="de-DE"/>
              </w:rPr>
              <w:t>p</w:t>
            </w:r>
            <w:r w:rsidRPr="001346AA">
              <w:rPr>
                <w:b/>
                <w:bCs/>
                <w:color w:val="000000"/>
                <w:sz w:val="16"/>
                <w:szCs w:val="16"/>
                <w:lang w:eastAsia="de-DE"/>
              </w:rPr>
              <w:t>rocessing</w:t>
            </w:r>
          </w:p>
        </w:tc>
      </w:tr>
      <w:tr w:rsidR="001346AA" w:rsidRPr="001346AA" w14:paraId="6EA1812D" w14:textId="77777777" w:rsidTr="001346AA">
        <w:trPr>
          <w:cantSplit/>
          <w:trHeight w:val="1191"/>
          <w:tblHeader/>
        </w:trPr>
        <w:tc>
          <w:tcPr>
            <w:tcW w:w="1560" w:type="dxa"/>
            <w:tcBorders>
              <w:top w:val="nil"/>
              <w:left w:val="nil"/>
              <w:bottom w:val="nil"/>
              <w:right w:val="nil"/>
            </w:tcBorders>
            <w:shd w:val="clear" w:color="auto" w:fill="auto"/>
            <w:tcMar>
              <w:left w:w="57" w:type="dxa"/>
              <w:bottom w:w="0" w:type="dxa"/>
              <w:right w:w="28" w:type="dxa"/>
            </w:tcMar>
            <w:vAlign w:val="center"/>
            <w:hideMark/>
          </w:tcPr>
          <w:p w14:paraId="56538FF8"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 xml:space="preserve">Type of ignition source </w:t>
            </w:r>
          </w:p>
          <w:p w14:paraId="5EC70ED5" w14:textId="02121F66" w:rsidR="00DB3FEF" w:rsidRPr="001346AA" w:rsidRDefault="00B416C0" w:rsidP="00A52F7D">
            <w:pPr>
              <w:suppressAutoHyphens w:val="0"/>
              <w:spacing w:before="20" w:after="20" w:line="240" w:lineRule="auto"/>
              <w:rPr>
                <w:b/>
                <w:bCs/>
                <w:color w:val="000000"/>
                <w:sz w:val="16"/>
                <w:szCs w:val="16"/>
                <w:lang w:eastAsia="de-DE"/>
              </w:rPr>
            </w:pPr>
            <w:r w:rsidRPr="001346AA">
              <w:rPr>
                <w:b/>
                <w:bCs/>
                <w:color w:val="000000"/>
                <w:sz w:val="16"/>
                <w:szCs w:val="16"/>
                <w:lang w:eastAsia="de-DE"/>
              </w:rPr>
              <w:t xml:space="preserve">[see </w:t>
            </w:r>
            <w:r w:rsidR="00A52F7D" w:rsidRPr="001346AA">
              <w:rPr>
                <w:b/>
                <w:bCs/>
                <w:color w:val="000000"/>
                <w:sz w:val="16"/>
                <w:szCs w:val="16"/>
                <w:lang w:eastAsia="de-DE"/>
              </w:rPr>
              <w:t>A</w:t>
            </w:r>
            <w:r w:rsidR="00A52F7D">
              <w:rPr>
                <w:b/>
                <w:bCs/>
                <w:color w:val="000000"/>
                <w:sz w:val="16"/>
                <w:szCs w:val="16"/>
                <w:lang w:eastAsia="de-DE"/>
              </w:rPr>
              <w:t>11</w:t>
            </w:r>
            <w:r w:rsidR="00DB3FEF" w:rsidRPr="001346AA">
              <w:rPr>
                <w:b/>
                <w:bCs/>
                <w:color w:val="000000"/>
                <w:sz w:val="16"/>
                <w:szCs w:val="16"/>
                <w:lang w:eastAsia="de-DE"/>
              </w:rPr>
              <w:t>.2.4.4.3]</w:t>
            </w:r>
          </w:p>
        </w:tc>
        <w:tc>
          <w:tcPr>
            <w:tcW w:w="1559" w:type="dxa"/>
            <w:tcBorders>
              <w:top w:val="nil"/>
              <w:left w:val="double" w:sz="6" w:space="0" w:color="auto"/>
              <w:bottom w:val="double" w:sz="6" w:space="0" w:color="auto"/>
              <w:right w:val="single" w:sz="12" w:space="0" w:color="auto"/>
            </w:tcBorders>
            <w:shd w:val="clear" w:color="auto" w:fill="auto"/>
            <w:tcMar>
              <w:left w:w="28" w:type="dxa"/>
              <w:bottom w:w="0" w:type="dxa"/>
              <w:right w:w="28" w:type="dxa"/>
            </w:tcMar>
            <w:textDirection w:val="tbRl"/>
            <w:vAlign w:val="center"/>
            <w:hideMark/>
          </w:tcPr>
          <w:p w14:paraId="1590F73E"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Construction work, repair, maintenance</w:t>
            </w:r>
          </w:p>
        </w:tc>
        <w:tc>
          <w:tcPr>
            <w:tcW w:w="851" w:type="dxa"/>
            <w:tcBorders>
              <w:top w:val="nil"/>
              <w:left w:val="nil"/>
              <w:bottom w:val="double" w:sz="6" w:space="0" w:color="auto"/>
              <w:right w:val="single" w:sz="12" w:space="0" w:color="auto"/>
            </w:tcBorders>
            <w:shd w:val="clear" w:color="auto" w:fill="auto"/>
            <w:tcMar>
              <w:left w:w="28" w:type="dxa"/>
              <w:bottom w:w="0" w:type="dxa"/>
              <w:right w:w="28" w:type="dxa"/>
            </w:tcMar>
            <w:textDirection w:val="tbRl"/>
            <w:vAlign w:val="center"/>
            <w:hideMark/>
          </w:tcPr>
          <w:p w14:paraId="7569D4A5" w14:textId="77777777" w:rsidR="00DB3FEF" w:rsidRPr="001346AA" w:rsidRDefault="00DB3FEF" w:rsidP="00B416C0">
            <w:pPr>
              <w:suppressAutoHyphens w:val="0"/>
              <w:spacing w:before="20" w:after="20" w:line="240" w:lineRule="auto"/>
              <w:ind w:left="57"/>
              <w:rPr>
                <w:b/>
                <w:bCs/>
                <w:color w:val="000000"/>
                <w:sz w:val="16"/>
                <w:szCs w:val="16"/>
                <w:lang w:eastAsia="de-DE"/>
              </w:rPr>
            </w:pPr>
          </w:p>
        </w:tc>
        <w:tc>
          <w:tcPr>
            <w:tcW w:w="545"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780FB6F3"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Conveying (solids)</w:t>
            </w:r>
          </w:p>
        </w:tc>
        <w:tc>
          <w:tcPr>
            <w:tcW w:w="481"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0DEA6F9B"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Pumping (liquids)</w:t>
            </w:r>
          </w:p>
        </w:tc>
        <w:tc>
          <w:tcPr>
            <w:tcW w:w="675" w:type="dxa"/>
            <w:tcBorders>
              <w:top w:val="nil"/>
              <w:left w:val="nil"/>
              <w:bottom w:val="double" w:sz="6" w:space="0" w:color="auto"/>
              <w:right w:val="single" w:sz="12" w:space="0" w:color="auto"/>
            </w:tcBorders>
            <w:shd w:val="clear" w:color="auto" w:fill="auto"/>
            <w:tcMar>
              <w:left w:w="28" w:type="dxa"/>
              <w:bottom w:w="0" w:type="dxa"/>
              <w:right w:w="28" w:type="dxa"/>
            </w:tcMar>
            <w:textDirection w:val="tbRl"/>
            <w:vAlign w:val="center"/>
            <w:hideMark/>
          </w:tcPr>
          <w:p w14:paraId="75C8535D"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Other transfer operations</w:t>
            </w:r>
          </w:p>
        </w:tc>
        <w:tc>
          <w:tcPr>
            <w:tcW w:w="425"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2133109F"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Mixing (no reaction)</w:t>
            </w:r>
          </w:p>
        </w:tc>
        <w:tc>
          <w:tcPr>
            <w:tcW w:w="709"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3F1164BA" w14:textId="77777777" w:rsidR="00DB3FEF" w:rsidRPr="001346AA" w:rsidRDefault="00B416C0" w:rsidP="001346AA">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Sieving/m</w:t>
            </w:r>
            <w:r w:rsidR="001346AA">
              <w:rPr>
                <w:b/>
                <w:bCs/>
                <w:color w:val="000000"/>
                <w:sz w:val="16"/>
                <w:szCs w:val="16"/>
                <w:lang w:eastAsia="de-DE"/>
              </w:rPr>
              <w:t>illing/</w:t>
            </w:r>
            <w:r w:rsidRPr="001346AA">
              <w:rPr>
                <w:b/>
                <w:bCs/>
                <w:color w:val="000000"/>
                <w:sz w:val="16"/>
                <w:szCs w:val="16"/>
                <w:lang w:eastAsia="de-DE"/>
              </w:rPr>
              <w:t>g</w:t>
            </w:r>
            <w:r w:rsidR="00DB3FEF" w:rsidRPr="001346AA">
              <w:rPr>
                <w:b/>
                <w:bCs/>
                <w:color w:val="000000"/>
                <w:sz w:val="16"/>
                <w:szCs w:val="16"/>
                <w:lang w:eastAsia="de-DE"/>
              </w:rPr>
              <w:t>rinding</w:t>
            </w:r>
          </w:p>
        </w:tc>
        <w:tc>
          <w:tcPr>
            <w:tcW w:w="425"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1951F98E" w14:textId="77777777" w:rsidR="00DB3FEF" w:rsidRPr="001346AA" w:rsidRDefault="00B416C0"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Formulation o</w:t>
            </w:r>
            <w:r w:rsidR="00DB3FEF" w:rsidRPr="001346AA">
              <w:rPr>
                <w:b/>
                <w:bCs/>
                <w:color w:val="000000"/>
                <w:sz w:val="16"/>
                <w:szCs w:val="16"/>
                <w:lang w:eastAsia="de-DE"/>
              </w:rPr>
              <w:t>perations</w:t>
            </w:r>
          </w:p>
        </w:tc>
        <w:tc>
          <w:tcPr>
            <w:tcW w:w="567" w:type="dxa"/>
            <w:tcBorders>
              <w:top w:val="nil"/>
              <w:left w:val="nil"/>
              <w:bottom w:val="double" w:sz="6" w:space="0" w:color="auto"/>
              <w:right w:val="single" w:sz="12" w:space="0" w:color="auto"/>
            </w:tcBorders>
            <w:shd w:val="clear" w:color="auto" w:fill="auto"/>
            <w:tcMar>
              <w:left w:w="28" w:type="dxa"/>
              <w:bottom w:w="0" w:type="dxa"/>
              <w:right w:w="28" w:type="dxa"/>
            </w:tcMar>
            <w:textDirection w:val="tbRl"/>
            <w:vAlign w:val="center"/>
            <w:hideMark/>
          </w:tcPr>
          <w:p w14:paraId="78DF8916"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Packaging</w:t>
            </w:r>
          </w:p>
        </w:tc>
        <w:tc>
          <w:tcPr>
            <w:tcW w:w="1206"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329AFC4A"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Reaction</w:t>
            </w:r>
          </w:p>
        </w:tc>
        <w:tc>
          <w:tcPr>
            <w:tcW w:w="1062" w:type="dxa"/>
            <w:gridSpan w:val="2"/>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7ECD80EA"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Off</w:t>
            </w:r>
            <w:r w:rsidR="00B416C0" w:rsidRPr="001346AA">
              <w:rPr>
                <w:b/>
                <w:bCs/>
                <w:color w:val="000000"/>
                <w:sz w:val="16"/>
                <w:szCs w:val="16"/>
                <w:lang w:eastAsia="de-DE"/>
              </w:rPr>
              <w:t>-gas handling / s</w:t>
            </w:r>
            <w:r w:rsidRPr="001346AA">
              <w:rPr>
                <w:b/>
                <w:bCs/>
                <w:color w:val="000000"/>
                <w:sz w:val="16"/>
                <w:szCs w:val="16"/>
                <w:lang w:eastAsia="de-DE"/>
              </w:rPr>
              <w:t>crubbing</w:t>
            </w:r>
          </w:p>
        </w:tc>
        <w:tc>
          <w:tcPr>
            <w:tcW w:w="1134"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2CD78FA3"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Work</w:t>
            </w:r>
            <w:r w:rsidR="00B416C0" w:rsidRPr="001346AA">
              <w:rPr>
                <w:b/>
                <w:bCs/>
                <w:color w:val="000000"/>
                <w:sz w:val="16"/>
                <w:szCs w:val="16"/>
                <w:lang w:eastAsia="de-DE"/>
              </w:rPr>
              <w:t>-u</w:t>
            </w:r>
            <w:r w:rsidRPr="001346AA">
              <w:rPr>
                <w:b/>
                <w:bCs/>
                <w:color w:val="000000"/>
                <w:sz w:val="16"/>
                <w:szCs w:val="16"/>
                <w:lang w:eastAsia="de-DE"/>
              </w:rPr>
              <w:t xml:space="preserve">p </w:t>
            </w:r>
            <w:r w:rsidR="00B416C0" w:rsidRPr="001346AA">
              <w:rPr>
                <w:b/>
                <w:bCs/>
                <w:color w:val="000000"/>
                <w:sz w:val="16"/>
                <w:szCs w:val="16"/>
                <w:lang w:eastAsia="de-DE"/>
              </w:rPr>
              <w:br/>
            </w:r>
            <w:r w:rsidRPr="001346AA">
              <w:rPr>
                <w:b/>
                <w:bCs/>
                <w:color w:val="000000"/>
                <w:sz w:val="16"/>
                <w:szCs w:val="16"/>
                <w:lang w:eastAsia="de-DE"/>
              </w:rPr>
              <w:t>(phase</w:t>
            </w:r>
            <w:r w:rsidRPr="001346AA">
              <w:rPr>
                <w:b/>
                <w:bCs/>
                <w:color w:val="000000"/>
                <w:sz w:val="16"/>
                <w:szCs w:val="16"/>
                <w:lang w:eastAsia="de-DE"/>
              </w:rPr>
              <w:br/>
              <w:t xml:space="preserve"> separation; crystallization;</w:t>
            </w:r>
            <w:r w:rsidR="001346AA" w:rsidRPr="001346AA">
              <w:rPr>
                <w:b/>
                <w:bCs/>
                <w:color w:val="000000"/>
                <w:sz w:val="16"/>
                <w:szCs w:val="16"/>
                <w:lang w:eastAsia="de-DE"/>
              </w:rPr>
              <w:t xml:space="preserve"> </w:t>
            </w:r>
            <w:r w:rsidRPr="001346AA">
              <w:rPr>
                <w:b/>
                <w:bCs/>
                <w:color w:val="000000"/>
                <w:sz w:val="16"/>
                <w:szCs w:val="16"/>
                <w:lang w:eastAsia="de-DE"/>
              </w:rPr>
              <w:t>filtration, isolation)</w:t>
            </w:r>
          </w:p>
        </w:tc>
        <w:tc>
          <w:tcPr>
            <w:tcW w:w="1090"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14:paraId="64AE3927"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Distillation</w:t>
            </w:r>
          </w:p>
        </w:tc>
        <w:tc>
          <w:tcPr>
            <w:tcW w:w="1172" w:type="dxa"/>
            <w:tcBorders>
              <w:top w:val="nil"/>
              <w:left w:val="nil"/>
              <w:bottom w:val="double" w:sz="6" w:space="0" w:color="auto"/>
              <w:right w:val="double" w:sz="6" w:space="0" w:color="auto"/>
            </w:tcBorders>
            <w:shd w:val="clear" w:color="auto" w:fill="auto"/>
            <w:tcMar>
              <w:left w:w="28" w:type="dxa"/>
              <w:bottom w:w="0" w:type="dxa"/>
              <w:right w:w="28" w:type="dxa"/>
            </w:tcMar>
            <w:textDirection w:val="tbRl"/>
            <w:vAlign w:val="center"/>
            <w:hideMark/>
          </w:tcPr>
          <w:p w14:paraId="0AD37E50" w14:textId="77777777" w:rsidR="00DB3FEF" w:rsidRPr="001346AA" w:rsidRDefault="00DB3FEF" w:rsidP="00B416C0">
            <w:pPr>
              <w:suppressAutoHyphens w:val="0"/>
              <w:spacing w:before="20" w:after="20" w:line="240" w:lineRule="auto"/>
              <w:ind w:left="57"/>
              <w:rPr>
                <w:b/>
                <w:bCs/>
                <w:color w:val="000000"/>
                <w:sz w:val="16"/>
                <w:szCs w:val="16"/>
                <w:lang w:eastAsia="de-DE"/>
              </w:rPr>
            </w:pPr>
            <w:r w:rsidRPr="001346AA">
              <w:rPr>
                <w:b/>
                <w:bCs/>
                <w:color w:val="000000"/>
                <w:sz w:val="16"/>
                <w:szCs w:val="16"/>
                <w:lang w:eastAsia="de-DE"/>
              </w:rPr>
              <w:t>Drying</w:t>
            </w:r>
          </w:p>
        </w:tc>
      </w:tr>
      <w:tr w:rsidR="00DB3FEF" w:rsidRPr="001346AA" w14:paraId="1C4F11C3" w14:textId="77777777" w:rsidTr="001346AA">
        <w:trPr>
          <w:trHeight w:val="57"/>
        </w:trPr>
        <w:tc>
          <w:tcPr>
            <w:tcW w:w="1560" w:type="dxa"/>
            <w:tcBorders>
              <w:top w:val="double" w:sz="6" w:space="0" w:color="auto"/>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44E58B71"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Hot surfaces</w:t>
            </w:r>
          </w:p>
        </w:tc>
        <w:tc>
          <w:tcPr>
            <w:tcW w:w="4111" w:type="dxa"/>
            <w:gridSpan w:val="5"/>
            <w:tcBorders>
              <w:top w:val="double" w:sz="6" w:space="0" w:color="auto"/>
              <w:left w:val="nil"/>
              <w:bottom w:val="single" w:sz="12" w:space="0" w:color="auto"/>
              <w:right w:val="single" w:sz="4" w:space="0" w:color="auto"/>
            </w:tcBorders>
            <w:shd w:val="clear" w:color="auto" w:fill="auto"/>
            <w:tcMar>
              <w:left w:w="28" w:type="dxa"/>
              <w:bottom w:w="0" w:type="dxa"/>
              <w:right w:w="28" w:type="dxa"/>
            </w:tcMar>
            <w:vAlign w:val="center"/>
            <w:hideMark/>
          </w:tcPr>
          <w:p w14:paraId="35233DB3" w14:textId="77777777" w:rsidR="00DB3FEF" w:rsidRPr="001346AA" w:rsidRDefault="00DB3FEF" w:rsidP="00B416C0">
            <w:pPr>
              <w:suppressAutoHyphens w:val="0"/>
              <w:spacing w:before="20" w:after="20" w:line="240" w:lineRule="auto"/>
              <w:ind w:left="-30"/>
              <w:jc w:val="center"/>
              <w:rPr>
                <w:color w:val="000000"/>
                <w:sz w:val="16"/>
                <w:szCs w:val="16"/>
                <w:lang w:eastAsia="de-DE"/>
              </w:rPr>
            </w:pPr>
            <w:r w:rsidRPr="001346AA">
              <w:rPr>
                <w:color w:val="000000"/>
                <w:sz w:val="16"/>
                <w:szCs w:val="16"/>
                <w:lang w:eastAsia="de-DE"/>
              </w:rPr>
              <w:t>Caused by friction of moving parts at bearings, shaft seals, etc.</w:t>
            </w:r>
          </w:p>
        </w:tc>
        <w:tc>
          <w:tcPr>
            <w:tcW w:w="7790" w:type="dxa"/>
            <w:gridSpan w:val="10"/>
            <w:tcBorders>
              <w:top w:val="double" w:sz="6"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2402D917"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Heated equipment, pipes, heat exchangers</w:t>
            </w:r>
          </w:p>
        </w:tc>
      </w:tr>
      <w:tr w:rsidR="00DB3FEF" w:rsidRPr="001346AA" w14:paraId="235A1A18" w14:textId="77777777" w:rsidTr="00B416C0">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2069277B"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Flames and hot gases</w:t>
            </w:r>
          </w:p>
        </w:tc>
        <w:tc>
          <w:tcPr>
            <w:tcW w:w="1559" w:type="dxa"/>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14:paraId="7D1C51A7"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Hot work: welding, cutting, etc.</w:t>
            </w:r>
          </w:p>
        </w:tc>
        <w:tc>
          <w:tcPr>
            <w:tcW w:w="4678" w:type="dxa"/>
            <w:gridSpan w:val="8"/>
            <w:tcBorders>
              <w:top w:val="single" w:sz="12"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14:paraId="427567CF"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Generally not relevant</w:t>
            </w:r>
          </w:p>
        </w:tc>
        <w:tc>
          <w:tcPr>
            <w:tcW w:w="1206" w:type="dxa"/>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14:paraId="2D1C38A8"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Possible formation of hot gases</w:t>
            </w:r>
          </w:p>
        </w:tc>
        <w:tc>
          <w:tcPr>
            <w:tcW w:w="4458" w:type="dxa"/>
            <w:gridSpan w:val="5"/>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2EB6514F"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Generally not relevant</w:t>
            </w:r>
          </w:p>
        </w:tc>
      </w:tr>
      <w:tr w:rsidR="00DB3FEF" w:rsidRPr="001346AA" w14:paraId="0A97839F" w14:textId="77777777" w:rsidTr="001346AA">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52A7CEC1"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Mechanically generated sparks</w:t>
            </w:r>
          </w:p>
        </w:tc>
        <w:tc>
          <w:tcPr>
            <w:tcW w:w="2410" w:type="dxa"/>
            <w:gridSpan w:val="2"/>
            <w:tcBorders>
              <w:top w:val="single" w:sz="12" w:space="0" w:color="auto"/>
              <w:left w:val="nil"/>
              <w:bottom w:val="single" w:sz="12" w:space="0" w:color="auto"/>
              <w:right w:val="single" w:sz="12" w:space="0" w:color="000000"/>
            </w:tcBorders>
            <w:shd w:val="clear" w:color="auto" w:fill="auto"/>
            <w:tcMar>
              <w:left w:w="28" w:type="dxa"/>
              <w:bottom w:w="0" w:type="dxa"/>
              <w:right w:w="28" w:type="dxa"/>
            </w:tcMar>
            <w:vAlign w:val="center"/>
            <w:hideMark/>
          </w:tcPr>
          <w:p w14:paraId="0AB39942"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Sparks generated by use of tools </w:t>
            </w:r>
            <w:r w:rsidRPr="001346AA">
              <w:rPr>
                <w:color w:val="000000"/>
                <w:sz w:val="16"/>
                <w:szCs w:val="16"/>
                <w:lang w:eastAsia="de-DE"/>
              </w:rPr>
              <w:br/>
              <w:t>(e.g., hammering, drilling, grinding)</w:t>
            </w:r>
          </w:p>
        </w:tc>
        <w:tc>
          <w:tcPr>
            <w:tcW w:w="5033" w:type="dxa"/>
            <w:gridSpan w:val="8"/>
            <w:tcBorders>
              <w:top w:val="single" w:sz="12" w:space="0" w:color="auto"/>
              <w:left w:val="nil"/>
              <w:bottom w:val="single" w:sz="12" w:space="0" w:color="auto"/>
              <w:right w:val="single" w:sz="12" w:space="0" w:color="000000"/>
            </w:tcBorders>
            <w:shd w:val="clear" w:color="auto" w:fill="auto"/>
            <w:tcMar>
              <w:left w:w="28" w:type="dxa"/>
              <w:bottom w:w="0" w:type="dxa"/>
              <w:right w:w="28" w:type="dxa"/>
            </w:tcMar>
            <w:vAlign w:val="center"/>
            <w:hideMark/>
          </w:tcPr>
          <w:p w14:paraId="270B35F8"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Sparks generated due to grinding, friction or impact (frequently caused by </w:t>
            </w:r>
            <w:r w:rsidRPr="001346AA">
              <w:rPr>
                <w:color w:val="000000"/>
                <w:sz w:val="16"/>
                <w:szCs w:val="16"/>
                <w:lang w:eastAsia="de-DE"/>
              </w:rPr>
              <w:br/>
              <w:t>mechanical failures or entrainment of foreign parts into moving equipment or machinery)</w:t>
            </w:r>
          </w:p>
        </w:tc>
        <w:tc>
          <w:tcPr>
            <w:tcW w:w="3286" w:type="dxa"/>
            <w:gridSpan w:val="4"/>
            <w:tcBorders>
              <w:top w:val="single" w:sz="12" w:space="0" w:color="auto"/>
              <w:left w:val="nil"/>
              <w:bottom w:val="single" w:sz="12" w:space="0" w:color="auto"/>
              <w:right w:val="single" w:sz="4" w:space="0" w:color="000000"/>
            </w:tcBorders>
            <w:shd w:val="clear" w:color="auto" w:fill="auto"/>
            <w:tcMar>
              <w:left w:w="28" w:type="dxa"/>
              <w:bottom w:w="0" w:type="dxa"/>
              <w:right w:w="28" w:type="dxa"/>
            </w:tcMar>
            <w:vAlign w:val="center"/>
            <w:hideMark/>
          </w:tcPr>
          <w:p w14:paraId="74223F63"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Generally not relevant</w:t>
            </w:r>
          </w:p>
        </w:tc>
        <w:tc>
          <w:tcPr>
            <w:tcW w:w="1172" w:type="dxa"/>
            <w:tcBorders>
              <w:top w:val="nil"/>
              <w:left w:val="nil"/>
              <w:bottom w:val="single" w:sz="12" w:space="0" w:color="auto"/>
              <w:right w:val="double" w:sz="6" w:space="0" w:color="auto"/>
            </w:tcBorders>
            <w:shd w:val="clear" w:color="auto" w:fill="auto"/>
            <w:tcMar>
              <w:left w:w="28" w:type="dxa"/>
              <w:bottom w:w="0" w:type="dxa"/>
              <w:right w:w="28" w:type="dxa"/>
            </w:tcMar>
            <w:vAlign w:val="center"/>
            <w:hideMark/>
          </w:tcPr>
          <w:p w14:paraId="60E6A011" w14:textId="77777777" w:rsidR="00DB3FEF" w:rsidRPr="001346AA" w:rsidRDefault="00DB3FEF" w:rsidP="00B416C0">
            <w:pPr>
              <w:suppressAutoHyphens w:val="0"/>
              <w:spacing w:before="20" w:after="20" w:line="240" w:lineRule="auto"/>
              <w:jc w:val="center"/>
              <w:rPr>
                <w:color w:val="000000"/>
                <w:spacing w:val="-2"/>
                <w:sz w:val="16"/>
                <w:szCs w:val="16"/>
                <w:lang w:eastAsia="de-DE"/>
              </w:rPr>
            </w:pPr>
            <w:r w:rsidRPr="001346AA">
              <w:rPr>
                <w:color w:val="000000"/>
                <w:spacing w:val="-2"/>
                <w:sz w:val="16"/>
                <w:szCs w:val="16"/>
                <w:lang w:eastAsia="de-DE"/>
              </w:rPr>
              <w:t>Sparks generated due to grinding, friction or impact</w:t>
            </w:r>
          </w:p>
        </w:tc>
      </w:tr>
      <w:tr w:rsidR="00DB3FEF" w:rsidRPr="001346AA" w14:paraId="2797F344" w14:textId="77777777" w:rsidTr="00B416C0">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71A11D43"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Electric apparatus</w:t>
            </w:r>
          </w:p>
        </w:tc>
        <w:tc>
          <w:tcPr>
            <w:tcW w:w="11901" w:type="dxa"/>
            <w:gridSpan w:val="15"/>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4CEC7D83"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Machines, process control technology installations, motors, switches, cables, lighting</w:t>
            </w:r>
          </w:p>
        </w:tc>
      </w:tr>
      <w:tr w:rsidR="00DB3FEF" w:rsidRPr="001346AA" w14:paraId="4564A1B7" w14:textId="77777777" w:rsidTr="00B416C0">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0B5C4808"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 xml:space="preserve">Stray electric currents and </w:t>
            </w:r>
            <w:proofErr w:type="spellStart"/>
            <w:r w:rsidRPr="001346AA">
              <w:rPr>
                <w:b/>
                <w:bCs/>
                <w:color w:val="000000"/>
                <w:sz w:val="16"/>
                <w:szCs w:val="16"/>
                <w:lang w:eastAsia="de-DE"/>
              </w:rPr>
              <w:t>cathodic</w:t>
            </w:r>
            <w:proofErr w:type="spellEnd"/>
            <w:r w:rsidRPr="001346AA">
              <w:rPr>
                <w:b/>
                <w:bCs/>
                <w:color w:val="000000"/>
                <w:sz w:val="16"/>
                <w:szCs w:val="16"/>
                <w:lang w:eastAsia="de-DE"/>
              </w:rPr>
              <w:t xml:space="preserve"> corrosion protection</w:t>
            </w:r>
          </w:p>
        </w:tc>
        <w:tc>
          <w:tcPr>
            <w:tcW w:w="1559" w:type="dxa"/>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14:paraId="6E440397"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Stray currents, e.g., from welding or faulty equipment</w:t>
            </w:r>
          </w:p>
        </w:tc>
        <w:tc>
          <w:tcPr>
            <w:tcW w:w="10342" w:type="dxa"/>
            <w:gridSpan w:val="14"/>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424AA9E6"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Relevant in some cases, e. g.:</w:t>
            </w:r>
            <w:r w:rsidR="00B416C0" w:rsidRPr="001346AA">
              <w:rPr>
                <w:color w:val="000000"/>
                <w:sz w:val="16"/>
                <w:szCs w:val="16"/>
                <w:lang w:eastAsia="de-DE"/>
              </w:rPr>
              <w:t xml:space="preserve"> </w:t>
            </w:r>
            <w:r w:rsidRPr="001346AA">
              <w:rPr>
                <w:color w:val="000000"/>
                <w:sz w:val="16"/>
                <w:szCs w:val="16"/>
                <w:lang w:eastAsia="de-DE"/>
              </w:rPr>
              <w:t>backflow to electricity generation plants, train tracks, vicinity of electric system with high current</w:t>
            </w:r>
          </w:p>
        </w:tc>
      </w:tr>
      <w:tr w:rsidR="00DB3FEF" w:rsidRPr="001346AA" w14:paraId="629C3B9C" w14:textId="77777777" w:rsidTr="00B416C0">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409CB60F"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Lightning</w:t>
            </w:r>
          </w:p>
        </w:tc>
        <w:tc>
          <w:tcPr>
            <w:tcW w:w="11901" w:type="dxa"/>
            <w:gridSpan w:val="15"/>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5701295A"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Relevant in some cases, e. g.:</w:t>
            </w:r>
            <w:r w:rsidR="00B416C0" w:rsidRPr="001346AA">
              <w:rPr>
                <w:color w:val="000000"/>
                <w:sz w:val="16"/>
                <w:szCs w:val="16"/>
                <w:lang w:eastAsia="de-DE"/>
              </w:rPr>
              <w:t xml:space="preserve"> </w:t>
            </w:r>
            <w:r w:rsidRPr="001346AA">
              <w:rPr>
                <w:color w:val="000000"/>
                <w:sz w:val="16"/>
                <w:szCs w:val="16"/>
                <w:lang w:eastAsia="de-DE"/>
              </w:rPr>
              <w:t>thunderstorm even with invisible lightning bolts, activities near lightning protection systems</w:t>
            </w:r>
          </w:p>
        </w:tc>
      </w:tr>
      <w:tr w:rsidR="00DB3FEF" w:rsidRPr="001346AA" w14:paraId="6C3BF1BE" w14:textId="77777777" w:rsidTr="001346AA">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1EA7A850"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Static electricity</w:t>
            </w:r>
          </w:p>
        </w:tc>
        <w:tc>
          <w:tcPr>
            <w:tcW w:w="1559" w:type="dxa"/>
            <w:vMerge w:val="restart"/>
            <w:tcBorders>
              <w:top w:val="nil"/>
              <w:left w:val="double" w:sz="6" w:space="0" w:color="auto"/>
              <w:right w:val="single" w:sz="12" w:space="0" w:color="auto"/>
            </w:tcBorders>
            <w:shd w:val="clear" w:color="auto" w:fill="auto"/>
            <w:noWrap/>
            <w:tcMar>
              <w:left w:w="28" w:type="dxa"/>
              <w:bottom w:w="0" w:type="dxa"/>
              <w:right w:w="28" w:type="dxa"/>
            </w:tcMar>
            <w:vAlign w:val="center"/>
            <w:hideMark/>
          </w:tcPr>
          <w:p w14:paraId="20F0DA55"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Generally not </w:t>
            </w:r>
            <w:r w:rsidRPr="001346AA">
              <w:rPr>
                <w:color w:val="000000"/>
                <w:sz w:val="16"/>
                <w:szCs w:val="16"/>
                <w:lang w:eastAsia="de-DE"/>
              </w:rPr>
              <w:br/>
              <w:t>relevant</w:t>
            </w:r>
          </w:p>
        </w:tc>
        <w:tc>
          <w:tcPr>
            <w:tcW w:w="851" w:type="dxa"/>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14:paraId="52F4BD7A"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Relevant in some cases </w:t>
            </w:r>
          </w:p>
        </w:tc>
        <w:tc>
          <w:tcPr>
            <w:tcW w:w="9491" w:type="dxa"/>
            <w:gridSpan w:val="13"/>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1215DFEB"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Frequently generated by flow or separation processes</w:t>
            </w:r>
          </w:p>
        </w:tc>
      </w:tr>
      <w:tr w:rsidR="00DB3FEF" w:rsidRPr="001346AA" w14:paraId="4ECC5ED4" w14:textId="77777777" w:rsidTr="001346AA">
        <w:trPr>
          <w:trHeight w:val="381"/>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52B5E8C7"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Radio frequency electromagnetic waves</w:t>
            </w:r>
          </w:p>
        </w:tc>
        <w:tc>
          <w:tcPr>
            <w:tcW w:w="1559" w:type="dxa"/>
            <w:vMerge/>
            <w:tcBorders>
              <w:left w:val="double" w:sz="6" w:space="0" w:color="auto"/>
              <w:right w:val="single" w:sz="12" w:space="0" w:color="auto"/>
            </w:tcBorders>
            <w:shd w:val="clear" w:color="auto" w:fill="auto"/>
            <w:tcMar>
              <w:left w:w="28" w:type="dxa"/>
              <w:bottom w:w="0" w:type="dxa"/>
              <w:right w:w="28" w:type="dxa"/>
            </w:tcMar>
            <w:vAlign w:val="center"/>
            <w:hideMark/>
          </w:tcPr>
          <w:p w14:paraId="27B003B8" w14:textId="77777777" w:rsidR="00DB3FEF" w:rsidRPr="001346AA" w:rsidRDefault="00DB3FEF" w:rsidP="00B416C0">
            <w:pPr>
              <w:suppressAutoHyphens w:val="0"/>
              <w:spacing w:before="20" w:after="20" w:line="240" w:lineRule="auto"/>
              <w:jc w:val="center"/>
              <w:rPr>
                <w:color w:val="000000"/>
                <w:sz w:val="16"/>
                <w:szCs w:val="16"/>
                <w:lang w:eastAsia="de-DE"/>
              </w:rPr>
            </w:pPr>
          </w:p>
        </w:tc>
        <w:tc>
          <w:tcPr>
            <w:tcW w:w="10342" w:type="dxa"/>
            <w:gridSpan w:val="14"/>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268B7320"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Relevant in some cases, e. g.:</w:t>
            </w:r>
            <w:r w:rsidR="00B416C0" w:rsidRPr="001346AA">
              <w:rPr>
                <w:color w:val="000000"/>
                <w:sz w:val="16"/>
                <w:szCs w:val="16"/>
                <w:lang w:eastAsia="de-DE"/>
              </w:rPr>
              <w:t xml:space="preserve"> </w:t>
            </w:r>
            <w:r w:rsidRPr="001346AA">
              <w:rPr>
                <w:color w:val="000000"/>
                <w:sz w:val="16"/>
                <w:szCs w:val="16"/>
                <w:lang w:eastAsia="de-DE"/>
              </w:rPr>
              <w:t>radio transmitting station, high frequency generators for heating, curing, welding, cutting</w:t>
            </w:r>
          </w:p>
        </w:tc>
      </w:tr>
      <w:tr w:rsidR="00DB3FEF" w:rsidRPr="001346AA" w14:paraId="70E39FD7" w14:textId="77777777" w:rsidTr="001346AA">
        <w:trPr>
          <w:trHeight w:val="149"/>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115EBA71"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Electromagnetic waves</w:t>
            </w:r>
          </w:p>
        </w:tc>
        <w:tc>
          <w:tcPr>
            <w:tcW w:w="1559" w:type="dxa"/>
            <w:vMerge/>
            <w:tcBorders>
              <w:left w:val="double" w:sz="6" w:space="0" w:color="auto"/>
              <w:right w:val="single" w:sz="12" w:space="0" w:color="auto"/>
            </w:tcBorders>
            <w:shd w:val="clear" w:color="auto" w:fill="auto"/>
            <w:tcMar>
              <w:left w:w="28" w:type="dxa"/>
              <w:bottom w:w="0" w:type="dxa"/>
              <w:right w:w="28" w:type="dxa"/>
            </w:tcMar>
            <w:vAlign w:val="center"/>
            <w:hideMark/>
          </w:tcPr>
          <w:p w14:paraId="7A234934" w14:textId="77777777" w:rsidR="00DB3FEF" w:rsidRPr="001346AA" w:rsidRDefault="00DB3FEF" w:rsidP="00B416C0">
            <w:pPr>
              <w:suppressAutoHyphens w:val="0"/>
              <w:spacing w:before="20" w:after="20" w:line="240" w:lineRule="auto"/>
              <w:jc w:val="center"/>
              <w:rPr>
                <w:color w:val="000000"/>
                <w:sz w:val="16"/>
                <w:szCs w:val="16"/>
                <w:lang w:eastAsia="de-DE"/>
              </w:rPr>
            </w:pPr>
          </w:p>
        </w:tc>
        <w:tc>
          <w:tcPr>
            <w:tcW w:w="10342" w:type="dxa"/>
            <w:gridSpan w:val="14"/>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36BC4D06"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Relevant in some cases, e. g.:</w:t>
            </w:r>
            <w:r w:rsidR="00B416C0" w:rsidRPr="001346AA">
              <w:rPr>
                <w:color w:val="000000"/>
                <w:sz w:val="16"/>
                <w:szCs w:val="16"/>
                <w:lang w:eastAsia="de-DE"/>
              </w:rPr>
              <w:t xml:space="preserve"> </w:t>
            </w:r>
            <w:r w:rsidRPr="001346AA">
              <w:rPr>
                <w:color w:val="000000"/>
                <w:sz w:val="16"/>
                <w:szCs w:val="16"/>
                <w:lang w:eastAsia="de-DE"/>
              </w:rPr>
              <w:t>insolation, powerful light source, laser radiation</w:t>
            </w:r>
          </w:p>
        </w:tc>
      </w:tr>
      <w:tr w:rsidR="00DB3FEF" w:rsidRPr="001346AA" w14:paraId="2E4186BB" w14:textId="77777777" w:rsidTr="00B416C0">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6777F1F1"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Ionizing radiation</w:t>
            </w:r>
          </w:p>
        </w:tc>
        <w:tc>
          <w:tcPr>
            <w:tcW w:w="1559" w:type="dxa"/>
            <w:vMerge/>
            <w:tcBorders>
              <w:left w:val="double" w:sz="6" w:space="0" w:color="auto"/>
              <w:right w:val="single" w:sz="12" w:space="0" w:color="auto"/>
            </w:tcBorders>
            <w:shd w:val="clear" w:color="auto" w:fill="auto"/>
            <w:tcMar>
              <w:left w:w="28" w:type="dxa"/>
              <w:bottom w:w="0" w:type="dxa"/>
              <w:right w:w="28" w:type="dxa"/>
            </w:tcMar>
            <w:vAlign w:val="center"/>
            <w:hideMark/>
          </w:tcPr>
          <w:p w14:paraId="7F8987AF" w14:textId="77777777" w:rsidR="00DB3FEF" w:rsidRPr="001346AA" w:rsidRDefault="00DB3FEF" w:rsidP="00B416C0">
            <w:pPr>
              <w:suppressAutoHyphens w:val="0"/>
              <w:spacing w:before="20" w:after="20" w:line="240" w:lineRule="auto"/>
              <w:jc w:val="center"/>
              <w:rPr>
                <w:color w:val="000000"/>
                <w:sz w:val="16"/>
                <w:szCs w:val="16"/>
                <w:lang w:eastAsia="de-DE"/>
              </w:rPr>
            </w:pPr>
          </w:p>
        </w:tc>
        <w:tc>
          <w:tcPr>
            <w:tcW w:w="10342" w:type="dxa"/>
            <w:gridSpan w:val="14"/>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5A273C4F"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Relevant in some cases, e. g.:</w:t>
            </w:r>
            <w:r w:rsidR="00B416C0" w:rsidRPr="001346AA">
              <w:rPr>
                <w:color w:val="000000"/>
                <w:sz w:val="16"/>
                <w:szCs w:val="16"/>
                <w:lang w:eastAsia="de-DE"/>
              </w:rPr>
              <w:t xml:space="preserve"> </w:t>
            </w:r>
            <w:r w:rsidRPr="001346AA">
              <w:rPr>
                <w:color w:val="000000"/>
                <w:sz w:val="16"/>
                <w:szCs w:val="16"/>
                <w:lang w:eastAsia="de-DE"/>
              </w:rPr>
              <w:t>X-ray machine, radioactive materials</w:t>
            </w:r>
          </w:p>
        </w:tc>
      </w:tr>
      <w:tr w:rsidR="00DB3FEF" w:rsidRPr="001346AA" w14:paraId="0898EB8D" w14:textId="77777777" w:rsidTr="00B416C0">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22DA7A38" w14:textId="77777777" w:rsidR="00DB3FEF" w:rsidRPr="001346AA" w:rsidRDefault="00DB3FEF" w:rsidP="00B416C0">
            <w:pPr>
              <w:suppressAutoHyphens w:val="0"/>
              <w:spacing w:before="20" w:after="20" w:line="240" w:lineRule="auto"/>
              <w:rPr>
                <w:b/>
                <w:bCs/>
                <w:color w:val="000000"/>
                <w:sz w:val="16"/>
                <w:szCs w:val="16"/>
                <w:lang w:eastAsia="de-DE"/>
              </w:rPr>
            </w:pPr>
            <w:proofErr w:type="spellStart"/>
            <w:r w:rsidRPr="001346AA">
              <w:rPr>
                <w:b/>
                <w:bCs/>
                <w:color w:val="000000"/>
                <w:sz w:val="16"/>
                <w:szCs w:val="16"/>
                <w:lang w:eastAsia="de-DE"/>
              </w:rPr>
              <w:t>Ultrasonics</w:t>
            </w:r>
            <w:proofErr w:type="spellEnd"/>
          </w:p>
        </w:tc>
        <w:tc>
          <w:tcPr>
            <w:tcW w:w="1559" w:type="dxa"/>
            <w:vMerge/>
            <w:tcBorders>
              <w:left w:val="double" w:sz="6" w:space="0" w:color="auto"/>
              <w:bottom w:val="single" w:sz="12" w:space="0" w:color="000000"/>
              <w:right w:val="single" w:sz="12" w:space="0" w:color="auto"/>
            </w:tcBorders>
            <w:shd w:val="clear" w:color="auto" w:fill="auto"/>
            <w:tcMar>
              <w:left w:w="28" w:type="dxa"/>
              <w:bottom w:w="0" w:type="dxa"/>
              <w:right w:w="28" w:type="dxa"/>
            </w:tcMar>
            <w:vAlign w:val="center"/>
            <w:hideMark/>
          </w:tcPr>
          <w:p w14:paraId="328F785B" w14:textId="77777777" w:rsidR="00DB3FEF" w:rsidRPr="001346AA" w:rsidRDefault="00DB3FEF" w:rsidP="00B416C0">
            <w:pPr>
              <w:suppressAutoHyphens w:val="0"/>
              <w:spacing w:before="20" w:after="20" w:line="240" w:lineRule="auto"/>
              <w:jc w:val="center"/>
              <w:rPr>
                <w:color w:val="000000"/>
                <w:sz w:val="16"/>
                <w:szCs w:val="16"/>
                <w:lang w:eastAsia="de-DE"/>
              </w:rPr>
            </w:pPr>
          </w:p>
        </w:tc>
        <w:tc>
          <w:tcPr>
            <w:tcW w:w="10342" w:type="dxa"/>
            <w:gridSpan w:val="14"/>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450915DF" w14:textId="5604C2A3"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Relevant in some cases, e. </w:t>
            </w:r>
            <w:r w:rsidR="00C51B5D" w:rsidRPr="001346AA">
              <w:rPr>
                <w:color w:val="000000"/>
                <w:sz w:val="16"/>
                <w:szCs w:val="16"/>
                <w:lang w:eastAsia="de-DE"/>
              </w:rPr>
              <w:t>g.:</w:t>
            </w:r>
            <w:r w:rsidR="00C51B5D">
              <w:rPr>
                <w:color w:val="000000"/>
                <w:sz w:val="16"/>
                <w:szCs w:val="16"/>
                <w:lang w:eastAsia="de-DE"/>
              </w:rPr>
              <w:t xml:space="preserve"> </w:t>
            </w:r>
            <w:r w:rsidR="00C51B5D" w:rsidRPr="001346AA">
              <w:rPr>
                <w:color w:val="000000"/>
                <w:sz w:val="16"/>
                <w:szCs w:val="16"/>
                <w:lang w:eastAsia="de-DE"/>
              </w:rPr>
              <w:t>ultrasound</w:t>
            </w:r>
            <w:r w:rsidRPr="001346AA">
              <w:rPr>
                <w:color w:val="000000"/>
                <w:sz w:val="16"/>
                <w:szCs w:val="16"/>
                <w:lang w:eastAsia="de-DE"/>
              </w:rPr>
              <w:t xml:space="preserve"> scanner, ultrasonic testing, sonic driller</w:t>
            </w:r>
          </w:p>
        </w:tc>
      </w:tr>
      <w:tr w:rsidR="00DB3FEF" w:rsidRPr="001346AA" w14:paraId="5B80605E" w14:textId="77777777" w:rsidTr="001346AA">
        <w:trPr>
          <w:trHeight w:val="57"/>
        </w:trPr>
        <w:tc>
          <w:tcPr>
            <w:tcW w:w="1560"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14:paraId="6D912409"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Adiabatic compression and shock waves</w:t>
            </w:r>
          </w:p>
        </w:tc>
        <w:tc>
          <w:tcPr>
            <w:tcW w:w="2410" w:type="dxa"/>
            <w:gridSpan w:val="2"/>
            <w:tcBorders>
              <w:top w:val="single" w:sz="12" w:space="0" w:color="auto"/>
              <w:left w:val="nil"/>
              <w:bottom w:val="single" w:sz="12" w:space="0" w:color="auto"/>
              <w:right w:val="nil"/>
            </w:tcBorders>
            <w:shd w:val="clear" w:color="auto" w:fill="auto"/>
            <w:tcMar>
              <w:left w:w="28" w:type="dxa"/>
              <w:bottom w:w="0" w:type="dxa"/>
              <w:right w:w="28" w:type="dxa"/>
            </w:tcMar>
            <w:vAlign w:val="center"/>
            <w:hideMark/>
          </w:tcPr>
          <w:p w14:paraId="742066BA"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Generally not relevant</w:t>
            </w:r>
          </w:p>
        </w:tc>
        <w:tc>
          <w:tcPr>
            <w:tcW w:w="1701" w:type="dxa"/>
            <w:gridSpan w:val="3"/>
            <w:tcBorders>
              <w:top w:val="single" w:sz="12" w:space="0" w:color="auto"/>
              <w:left w:val="single" w:sz="12" w:space="0" w:color="auto"/>
              <w:bottom w:val="single" w:sz="12" w:space="0" w:color="auto"/>
              <w:right w:val="nil"/>
            </w:tcBorders>
            <w:shd w:val="clear" w:color="auto" w:fill="auto"/>
            <w:tcMar>
              <w:left w:w="28" w:type="dxa"/>
              <w:bottom w:w="0" w:type="dxa"/>
              <w:right w:w="28" w:type="dxa"/>
            </w:tcMar>
            <w:vAlign w:val="center"/>
            <w:hideMark/>
          </w:tcPr>
          <w:p w14:paraId="1A11D859"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Compression of gases, rapidly shutting valves when conveying / pumping material</w:t>
            </w:r>
          </w:p>
        </w:tc>
        <w:tc>
          <w:tcPr>
            <w:tcW w:w="2126" w:type="dxa"/>
            <w:gridSpan w:val="4"/>
            <w:tcBorders>
              <w:top w:val="single" w:sz="12" w:space="0" w:color="auto"/>
              <w:left w:val="single" w:sz="12" w:space="0" w:color="auto"/>
              <w:bottom w:val="single" w:sz="12" w:space="0" w:color="auto"/>
              <w:right w:val="single" w:sz="12" w:space="0" w:color="000000"/>
            </w:tcBorders>
            <w:shd w:val="clear" w:color="auto" w:fill="auto"/>
            <w:tcMar>
              <w:left w:w="28" w:type="dxa"/>
              <w:bottom w:w="0" w:type="dxa"/>
              <w:right w:w="28" w:type="dxa"/>
            </w:tcMar>
            <w:vAlign w:val="center"/>
            <w:hideMark/>
          </w:tcPr>
          <w:p w14:paraId="39A57BAA"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Generally not relevant</w:t>
            </w:r>
          </w:p>
        </w:tc>
        <w:tc>
          <w:tcPr>
            <w:tcW w:w="5664" w:type="dxa"/>
            <w:gridSpan w:val="6"/>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14:paraId="1C85FE7A"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Relevant in some cases, e. g.:</w:t>
            </w:r>
            <w:r w:rsidRPr="001346AA">
              <w:rPr>
                <w:color w:val="000000"/>
                <w:sz w:val="16"/>
                <w:szCs w:val="16"/>
                <w:lang w:eastAsia="de-DE"/>
              </w:rPr>
              <w:br/>
              <w:t>relaxation of high-pressure gases in pipelines, hammer blow</w:t>
            </w:r>
          </w:p>
        </w:tc>
      </w:tr>
      <w:tr w:rsidR="00DB3FEF" w:rsidRPr="001346AA" w14:paraId="42C15348" w14:textId="77777777" w:rsidTr="001346AA">
        <w:trPr>
          <w:trHeight w:val="57"/>
        </w:trPr>
        <w:tc>
          <w:tcPr>
            <w:tcW w:w="1560" w:type="dxa"/>
            <w:tcBorders>
              <w:top w:val="double" w:sz="6" w:space="0" w:color="auto"/>
              <w:left w:val="double" w:sz="6" w:space="0" w:color="auto"/>
              <w:bottom w:val="double" w:sz="6" w:space="0" w:color="auto"/>
              <w:right w:val="double" w:sz="6" w:space="0" w:color="auto"/>
            </w:tcBorders>
            <w:shd w:val="clear" w:color="auto" w:fill="auto"/>
            <w:tcMar>
              <w:left w:w="57" w:type="dxa"/>
              <w:bottom w:w="0" w:type="dxa"/>
              <w:right w:w="28" w:type="dxa"/>
            </w:tcMar>
            <w:vAlign w:val="center"/>
            <w:hideMark/>
          </w:tcPr>
          <w:p w14:paraId="66FDCC04" w14:textId="77777777" w:rsidR="00DB3FEF" w:rsidRPr="001346AA" w:rsidRDefault="00DB3FEF" w:rsidP="00B416C0">
            <w:pPr>
              <w:suppressAutoHyphens w:val="0"/>
              <w:spacing w:before="20" w:after="20" w:line="240" w:lineRule="auto"/>
              <w:rPr>
                <w:b/>
                <w:bCs/>
                <w:color w:val="000000"/>
                <w:sz w:val="16"/>
                <w:szCs w:val="16"/>
                <w:lang w:eastAsia="de-DE"/>
              </w:rPr>
            </w:pPr>
            <w:r w:rsidRPr="001346AA">
              <w:rPr>
                <w:b/>
                <w:bCs/>
                <w:color w:val="000000"/>
                <w:sz w:val="16"/>
                <w:szCs w:val="16"/>
                <w:lang w:eastAsia="de-DE"/>
              </w:rPr>
              <w:t xml:space="preserve">Exothermic reactions </w:t>
            </w:r>
          </w:p>
        </w:tc>
        <w:tc>
          <w:tcPr>
            <w:tcW w:w="1559" w:type="dxa"/>
            <w:tcBorders>
              <w:top w:val="double" w:sz="6" w:space="0" w:color="auto"/>
              <w:left w:val="nil"/>
              <w:bottom w:val="double" w:sz="6" w:space="0" w:color="auto"/>
              <w:right w:val="single" w:sz="12" w:space="0" w:color="000000"/>
            </w:tcBorders>
            <w:shd w:val="clear" w:color="auto" w:fill="auto"/>
            <w:tcMar>
              <w:left w:w="28" w:type="dxa"/>
              <w:bottom w:w="0" w:type="dxa"/>
              <w:right w:w="28" w:type="dxa"/>
            </w:tcMar>
            <w:vAlign w:val="center"/>
            <w:hideMark/>
          </w:tcPr>
          <w:p w14:paraId="31889570"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Generally not relevant</w:t>
            </w:r>
          </w:p>
        </w:tc>
        <w:tc>
          <w:tcPr>
            <w:tcW w:w="851" w:type="dxa"/>
            <w:tcBorders>
              <w:top w:val="single" w:sz="12" w:space="0" w:color="auto"/>
              <w:left w:val="nil"/>
              <w:bottom w:val="double" w:sz="6" w:space="0" w:color="auto"/>
              <w:right w:val="single" w:sz="12" w:space="0" w:color="000000"/>
            </w:tcBorders>
            <w:shd w:val="clear" w:color="auto" w:fill="auto"/>
            <w:vAlign w:val="center"/>
          </w:tcPr>
          <w:p w14:paraId="5FD9B750"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Pyrophoric and self-heating </w:t>
            </w:r>
            <w:r w:rsidRPr="001346AA">
              <w:rPr>
                <w:color w:val="000000"/>
                <w:sz w:val="16"/>
                <w:szCs w:val="16"/>
                <w:lang w:eastAsia="de-DE"/>
              </w:rPr>
              <w:br/>
              <w:t>substances</w:t>
            </w:r>
          </w:p>
        </w:tc>
        <w:tc>
          <w:tcPr>
            <w:tcW w:w="1701" w:type="dxa"/>
            <w:gridSpan w:val="3"/>
            <w:tcBorders>
              <w:top w:val="single" w:sz="12" w:space="0" w:color="auto"/>
              <w:left w:val="nil"/>
              <w:bottom w:val="double" w:sz="6" w:space="0" w:color="auto"/>
              <w:right w:val="single" w:sz="12" w:space="0" w:color="000000"/>
            </w:tcBorders>
            <w:shd w:val="clear" w:color="auto" w:fill="auto"/>
            <w:tcMar>
              <w:left w:w="28" w:type="dxa"/>
              <w:bottom w:w="0" w:type="dxa"/>
              <w:right w:w="28" w:type="dxa"/>
            </w:tcMar>
            <w:vAlign w:val="center"/>
            <w:hideMark/>
          </w:tcPr>
          <w:p w14:paraId="3E5A58CC"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Transfer of smouldering nests into other areas</w:t>
            </w:r>
          </w:p>
        </w:tc>
        <w:tc>
          <w:tcPr>
            <w:tcW w:w="2126" w:type="dxa"/>
            <w:gridSpan w:val="4"/>
            <w:tcBorders>
              <w:top w:val="single" w:sz="12" w:space="0" w:color="auto"/>
              <w:left w:val="nil"/>
              <w:bottom w:val="double" w:sz="6" w:space="0" w:color="auto"/>
              <w:right w:val="single" w:sz="12" w:space="0" w:color="000000"/>
            </w:tcBorders>
            <w:shd w:val="clear" w:color="auto" w:fill="auto"/>
            <w:tcMar>
              <w:left w:w="28" w:type="dxa"/>
              <w:bottom w:w="0" w:type="dxa"/>
              <w:right w:w="28" w:type="dxa"/>
            </w:tcMar>
            <w:vAlign w:val="center"/>
            <w:hideMark/>
          </w:tcPr>
          <w:p w14:paraId="2B0D50B2"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Pyrophoric and self-heating substances</w:t>
            </w:r>
          </w:p>
        </w:tc>
        <w:tc>
          <w:tcPr>
            <w:tcW w:w="1206" w:type="dxa"/>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14:paraId="38DD7430"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Strongly</w:t>
            </w:r>
            <w:r w:rsidRPr="001346AA">
              <w:rPr>
                <w:color w:val="000000"/>
                <w:sz w:val="16"/>
                <w:szCs w:val="16"/>
                <w:lang w:eastAsia="de-DE"/>
              </w:rPr>
              <w:br/>
              <w:t>exothermic reaction</w:t>
            </w:r>
          </w:p>
        </w:tc>
        <w:tc>
          <w:tcPr>
            <w:tcW w:w="1055" w:type="dxa"/>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14:paraId="22BF1FC5"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Self-heating and ignition of charcoal absorbers</w:t>
            </w:r>
          </w:p>
        </w:tc>
        <w:tc>
          <w:tcPr>
            <w:tcW w:w="1141" w:type="dxa"/>
            <w:gridSpan w:val="2"/>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14:paraId="1932833D"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Activated </w:t>
            </w:r>
            <w:r w:rsidRPr="001346AA">
              <w:rPr>
                <w:color w:val="000000"/>
                <w:sz w:val="16"/>
                <w:szCs w:val="16"/>
                <w:lang w:eastAsia="de-DE"/>
              </w:rPr>
              <w:br/>
              <w:t>catalysts or residues</w:t>
            </w:r>
          </w:p>
        </w:tc>
        <w:tc>
          <w:tcPr>
            <w:tcW w:w="1090" w:type="dxa"/>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14:paraId="41E17741"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 xml:space="preserve">Possible </w:t>
            </w:r>
            <w:r w:rsidRPr="001346AA">
              <w:rPr>
                <w:color w:val="000000"/>
                <w:sz w:val="16"/>
                <w:szCs w:val="16"/>
                <w:lang w:eastAsia="de-DE"/>
              </w:rPr>
              <w:br/>
              <w:t>decomposition of residue</w:t>
            </w:r>
          </w:p>
        </w:tc>
        <w:tc>
          <w:tcPr>
            <w:tcW w:w="1172" w:type="dxa"/>
            <w:tcBorders>
              <w:top w:val="nil"/>
              <w:left w:val="nil"/>
              <w:bottom w:val="double" w:sz="6" w:space="0" w:color="auto"/>
              <w:right w:val="double" w:sz="6" w:space="0" w:color="auto"/>
            </w:tcBorders>
            <w:shd w:val="clear" w:color="auto" w:fill="auto"/>
            <w:tcMar>
              <w:left w:w="28" w:type="dxa"/>
              <w:bottom w:w="0" w:type="dxa"/>
              <w:right w:w="28" w:type="dxa"/>
            </w:tcMar>
            <w:vAlign w:val="center"/>
            <w:hideMark/>
          </w:tcPr>
          <w:p w14:paraId="01A8C605" w14:textId="77777777" w:rsidR="00DB3FEF" w:rsidRPr="001346AA" w:rsidRDefault="00DB3FEF" w:rsidP="00B416C0">
            <w:pPr>
              <w:suppressAutoHyphens w:val="0"/>
              <w:spacing w:before="20" w:after="20" w:line="240" w:lineRule="auto"/>
              <w:jc w:val="center"/>
              <w:rPr>
                <w:color w:val="000000"/>
                <w:sz w:val="16"/>
                <w:szCs w:val="16"/>
                <w:lang w:eastAsia="de-DE"/>
              </w:rPr>
            </w:pPr>
            <w:r w:rsidRPr="001346AA">
              <w:rPr>
                <w:color w:val="000000"/>
                <w:sz w:val="16"/>
                <w:szCs w:val="16"/>
                <w:lang w:eastAsia="de-DE"/>
              </w:rPr>
              <w:t>Self-ignition of dust layers (esp. spray drying)</w:t>
            </w:r>
          </w:p>
        </w:tc>
      </w:tr>
    </w:tbl>
    <w:p w14:paraId="0DA4C41B" w14:textId="77777777" w:rsidR="00FF2395" w:rsidRPr="00DB3FEF" w:rsidRDefault="00FF2395" w:rsidP="00FF2395">
      <w:pPr>
        <w:pStyle w:val="SingleTxtG"/>
        <w:rPr>
          <w:highlight w:val="yellow"/>
        </w:rPr>
      </w:pPr>
    </w:p>
    <w:p w14:paraId="050401AD" w14:textId="77777777" w:rsidR="000D0349" w:rsidRPr="00DB3FEF" w:rsidRDefault="000D0349" w:rsidP="00CA2452">
      <w:pPr>
        <w:spacing w:before="240"/>
        <w:ind w:left="1134" w:right="1134"/>
        <w:jc w:val="center"/>
        <w:rPr>
          <w:highlight w:val="yellow"/>
        </w:rPr>
        <w:sectPr w:rsidR="000D0349" w:rsidRPr="00DB3FEF" w:rsidSect="004C34C3">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14:paraId="05C0F05D" w14:textId="0C4B42FB" w:rsidR="00DB3FEF" w:rsidRPr="00375E0F" w:rsidRDefault="00DB3FEF" w:rsidP="00DB3FEF">
      <w:pPr>
        <w:pStyle w:val="H23G"/>
        <w:rPr>
          <w:i/>
        </w:rPr>
      </w:pPr>
      <w:r>
        <w:lastRenderedPageBreak/>
        <w:tab/>
      </w:r>
      <w:r>
        <w:tab/>
      </w:r>
      <w:r w:rsidR="00A52F7D" w:rsidRPr="001B7338">
        <w:t>A</w:t>
      </w:r>
      <w:r w:rsidR="00A52F7D">
        <w:t>11</w:t>
      </w:r>
      <w:r w:rsidRPr="001B7338">
        <w:t>.2.</w:t>
      </w:r>
      <w:r>
        <w:t>7</w:t>
      </w:r>
      <w:r w:rsidRPr="001B7338">
        <w:tab/>
      </w:r>
      <w:r w:rsidRPr="00375E0F">
        <w:rPr>
          <w:i/>
        </w:rPr>
        <w:t>Supplemental information for hazard and risk communication</w:t>
      </w:r>
    </w:p>
    <w:p w14:paraId="55D1E132" w14:textId="3E555022" w:rsidR="00DB3FEF" w:rsidRPr="003E18A3" w:rsidRDefault="00A52F7D" w:rsidP="00DB3FEF">
      <w:pPr>
        <w:pStyle w:val="SingleTxtG"/>
      </w:pPr>
      <w:r>
        <w:t>A11</w:t>
      </w:r>
      <w:r w:rsidR="00DB3FEF">
        <w:t>.2.7.1</w:t>
      </w:r>
      <w:r w:rsidR="00DB3FEF">
        <w:tab/>
      </w:r>
      <w:r w:rsidR="00DB3FEF" w:rsidRPr="003E18A3">
        <w:t xml:space="preserve">As explained in Chapter </w:t>
      </w:r>
      <w:r w:rsidR="00DB3FEF">
        <w:t xml:space="preserve">1.4, paragraph </w:t>
      </w:r>
      <w:r w:rsidR="00DB3FEF" w:rsidRPr="003E18A3">
        <w:t xml:space="preserve">1.4.6.3, there are many communication elements which have not been standardized in the harmonized system.  Some of these clearly need to be communicated to the downstream user.  Competent authorities may require additional information, or suppliers may choose to add supplementary information on their own initiative.  Each party producing or distributing a product that is determined to be hazardous, including if it becomes hazardous during downstream processing, should create and provide their downstream user </w:t>
      </w:r>
      <w:r w:rsidR="00DB3FEF">
        <w:t xml:space="preserve">with </w:t>
      </w:r>
      <w:r w:rsidR="00DB3FEF" w:rsidRPr="003E18A3">
        <w:t xml:space="preserve">appropriate information, in the form of a Safety Data Sheet </w:t>
      </w:r>
      <w:r w:rsidR="00DB3FEF">
        <w:t xml:space="preserve">(SDS) </w:t>
      </w:r>
      <w:r w:rsidR="00DB3FEF" w:rsidRPr="003E18A3">
        <w:t>or another format as appropriate, to alert the user to the hazards</w:t>
      </w:r>
      <w:r w:rsidR="00DB3FEF">
        <w:t xml:space="preserve"> and risks</w:t>
      </w:r>
      <w:r w:rsidR="00DB3FEF" w:rsidRPr="003E18A3">
        <w:t xml:space="preserve">.  </w:t>
      </w:r>
    </w:p>
    <w:p w14:paraId="6FB92AF4" w14:textId="128D2FC4" w:rsidR="00DB3FEF" w:rsidRPr="005F4603" w:rsidRDefault="00A52F7D" w:rsidP="00DB3FEF">
      <w:pPr>
        <w:pStyle w:val="SingleTxtG"/>
      </w:pPr>
      <w:r>
        <w:t>A11</w:t>
      </w:r>
      <w:r w:rsidR="00DB3FEF">
        <w:t>.2.7.2</w:t>
      </w:r>
      <w:r w:rsidR="00DB3FEF">
        <w:tab/>
      </w:r>
      <w:r w:rsidR="00DB3FEF" w:rsidRPr="003E18A3">
        <w:t>For substances</w:t>
      </w:r>
      <w:r w:rsidR="00DB3FEF">
        <w:t>,</w:t>
      </w:r>
      <w:r w:rsidR="00DB3FEF" w:rsidRPr="003E18A3">
        <w:t xml:space="preserve"> mixtures</w:t>
      </w:r>
      <w:r w:rsidR="00DB3FEF">
        <w:t>, or solid materials</w:t>
      </w:r>
      <w:r w:rsidR="00DB3FEF" w:rsidRPr="003E18A3">
        <w:t xml:space="preserve">, </w:t>
      </w:r>
      <w:r w:rsidR="00DB3FEF">
        <w:t>s</w:t>
      </w:r>
      <w:r w:rsidR="00DB3FEF" w:rsidRPr="005F4603">
        <w:t xml:space="preserve">ections 2, 5, 7, and 9 of the </w:t>
      </w:r>
      <w:r w:rsidR="00DB3FEF">
        <w:t>SDS</w:t>
      </w:r>
      <w:r w:rsidR="00717EC9">
        <w:t>,</w:t>
      </w:r>
      <w:r w:rsidR="00DB3FEF" w:rsidRPr="005F4603">
        <w:t xml:space="preserve"> </w:t>
      </w:r>
      <w:r w:rsidR="00717EC9" w:rsidRPr="005F4603">
        <w:t>at a minimum,</w:t>
      </w:r>
      <w:r w:rsidR="00717EC9">
        <w:t xml:space="preserve"> </w:t>
      </w:r>
      <w:r w:rsidR="00DB3FEF" w:rsidRPr="005F4603">
        <w:t>should provide information on combustible dusts.  Annex 4 in the GHS provides further guidance on each section of t</w:t>
      </w:r>
      <w:r w:rsidR="006F1C86">
        <w:t>he SDS.  For example, section 2 </w:t>
      </w:r>
      <w:r w:rsidR="00DB3FEF" w:rsidRPr="005F4603">
        <w:t>(A4.3.2) addresses hazards that do not result in classification; section 5 (A4.3.5) covers requirements for fighting a fire; section 7 (A4.3.7) provides guidance on safe handling practices and section 9</w:t>
      </w:r>
      <w:r w:rsidR="00DB3FEF">
        <w:t xml:space="preserve"> </w:t>
      </w:r>
      <w:r w:rsidR="00DB3FEF" w:rsidRPr="005F4603">
        <w:t>(A4.3.9) describes the physical and chemical properties of a substance</w:t>
      </w:r>
      <w:r w:rsidR="00DB3FEF">
        <w:t>,</w:t>
      </w:r>
      <w:r w:rsidR="00DB3FEF" w:rsidRPr="005F4603">
        <w:t xml:space="preserve"> mixture</w:t>
      </w:r>
      <w:r w:rsidR="00DB3FEF">
        <w:t>, or solid material</w:t>
      </w:r>
      <w:r w:rsidR="00DB3FEF" w:rsidRPr="005F4603">
        <w:t xml:space="preserve">.  </w:t>
      </w:r>
    </w:p>
    <w:p w14:paraId="2DB1D325" w14:textId="6F226B92" w:rsidR="00DB3FEF" w:rsidRPr="002B63E0" w:rsidRDefault="00A52F7D" w:rsidP="00DB3FEF">
      <w:pPr>
        <w:pStyle w:val="SingleTxtG"/>
      </w:pPr>
      <w:r>
        <w:t>A11</w:t>
      </w:r>
      <w:r w:rsidR="00DB3FEF">
        <w:t>.2.7.3</w:t>
      </w:r>
      <w:r w:rsidR="00DB3FEF">
        <w:tab/>
      </w:r>
      <w:r w:rsidR="00DB3FEF" w:rsidRPr="005F4603">
        <w:t xml:space="preserve">To communicate </w:t>
      </w:r>
      <w:r w:rsidR="00DB3FEF">
        <w:t xml:space="preserve">combustible dust </w:t>
      </w:r>
      <w:r w:rsidR="00DB3FEF" w:rsidRPr="005F4603">
        <w:t>hazards</w:t>
      </w:r>
      <w:r w:rsidR="00DB3FEF">
        <w:t>, and thus a potential risk</w:t>
      </w:r>
      <w:r w:rsidR="00DB3FEF" w:rsidRPr="005F4603">
        <w:t xml:space="preserve"> of dust explosions </w:t>
      </w:r>
      <w:r w:rsidR="00DB3FEF">
        <w:t xml:space="preserve">under the approach described in this annex </w:t>
      </w:r>
      <w:r w:rsidR="00DB3FEF" w:rsidRPr="005F4603">
        <w:t xml:space="preserve">in a standardized manner, competent authorities may </w:t>
      </w:r>
      <w:r w:rsidR="00DB3FEF">
        <w:t xml:space="preserve">require the </w:t>
      </w:r>
      <w:r w:rsidR="00DB3FEF" w:rsidRPr="005F4603">
        <w:t>use</w:t>
      </w:r>
      <w:r w:rsidR="00DB3FEF">
        <w:t xml:space="preserve"> of</w:t>
      </w:r>
      <w:r w:rsidR="00DB3FEF" w:rsidRPr="005F4603">
        <w:t xml:space="preserve"> the following phrases on labels</w:t>
      </w:r>
      <w:r w:rsidR="00010944">
        <w:t>,</w:t>
      </w:r>
      <w:r w:rsidR="00DB3FEF" w:rsidRPr="005F4603">
        <w:t xml:space="preserve"> </w:t>
      </w:r>
      <w:r w:rsidR="00DB3FEF">
        <w:t xml:space="preserve">SDSs </w:t>
      </w:r>
      <w:r w:rsidR="00010944">
        <w:t xml:space="preserve">and/or in operating instructions </w:t>
      </w:r>
      <w:r w:rsidR="00DB3FEF">
        <w:t>or may leave the choice to the manufacturer or supplier:</w:t>
      </w:r>
      <w:r w:rsidR="00DB3FEF" w:rsidRPr="005F4603">
        <w:t xml:space="preserve">  </w:t>
      </w:r>
    </w:p>
    <w:p w14:paraId="19FDF9B3" w14:textId="22FED0EB" w:rsidR="00DB3FEF" w:rsidRPr="00CE5865" w:rsidRDefault="00DB3FEF" w:rsidP="00DB3FEF">
      <w:pPr>
        <w:pStyle w:val="SingleTxtG"/>
        <w:ind w:left="2835" w:hanging="567"/>
      </w:pPr>
      <w:r>
        <w:t>(a)</w:t>
      </w:r>
      <w:r>
        <w:tab/>
      </w:r>
      <w:r w:rsidRPr="00CE5865">
        <w:t xml:space="preserve">In the case where a substance or mixture </w:t>
      </w:r>
      <w:r>
        <w:t xml:space="preserve">is identified as a combustible dust according to Figure </w:t>
      </w:r>
      <w:r w:rsidR="00A52F7D">
        <w:t>A11</w:t>
      </w:r>
      <w:r>
        <w:t xml:space="preserve">.2.1: </w:t>
      </w:r>
      <w:r w:rsidRPr="00CE5865">
        <w:t xml:space="preserve">“May form </w:t>
      </w:r>
      <w:proofErr w:type="spellStart"/>
      <w:r w:rsidRPr="00CE5865">
        <w:t>explosible</w:t>
      </w:r>
      <w:proofErr w:type="spellEnd"/>
      <w:r w:rsidRPr="00CE5865">
        <w:t xml:space="preserve"> dust-air mixture</w:t>
      </w:r>
      <w:r>
        <w:t xml:space="preserve"> if dispersed</w:t>
      </w:r>
      <w:r w:rsidRPr="00CE5865">
        <w:t>”, or</w:t>
      </w:r>
    </w:p>
    <w:p w14:paraId="3F6117E7" w14:textId="654B41F6" w:rsidR="00DB3FEF" w:rsidRDefault="00DB3FEF" w:rsidP="00DB3FEF">
      <w:pPr>
        <w:pStyle w:val="SingleTxtG"/>
        <w:ind w:left="2835" w:hanging="567"/>
      </w:pPr>
      <w:r>
        <w:t>(b)</w:t>
      </w:r>
      <w:r>
        <w:tab/>
      </w:r>
      <w:r w:rsidRPr="00CE5865">
        <w:t>In the case where a substance, mixture, or solid material is to be further processed</w:t>
      </w:r>
      <w:r>
        <w:t xml:space="preserve"> in such a manner that the processing creates a combustible dust according to </w:t>
      </w:r>
      <w:r w:rsidR="00A52F7D">
        <w:t>A11</w:t>
      </w:r>
      <w:r>
        <w:t xml:space="preserve">.2.6.2.1, in combination with Figure </w:t>
      </w:r>
      <w:r w:rsidR="00A52F7D">
        <w:t>A11</w:t>
      </w:r>
      <w:r>
        <w:t xml:space="preserve">.2.1: </w:t>
      </w:r>
      <w:r w:rsidRPr="00CE5865">
        <w:t xml:space="preserve"> </w:t>
      </w:r>
      <w:r>
        <w:t>“M</w:t>
      </w:r>
      <w:r w:rsidRPr="00CE5865">
        <w:t xml:space="preserve">ay form </w:t>
      </w:r>
      <w:proofErr w:type="spellStart"/>
      <w:r w:rsidRPr="00CE5865">
        <w:t>explosible</w:t>
      </w:r>
      <w:proofErr w:type="spellEnd"/>
      <w:r w:rsidRPr="00CE5865">
        <w:t xml:space="preserve"> dust</w:t>
      </w:r>
      <w:r>
        <w:t>-</w:t>
      </w:r>
      <w:r w:rsidRPr="00CE5865">
        <w:t>air mixture</w:t>
      </w:r>
      <w:r>
        <w:t xml:space="preserve"> i</w:t>
      </w:r>
      <w:r w:rsidRPr="00CE5865">
        <w:t>f small particles are generated during further processing</w:t>
      </w:r>
      <w:r>
        <w:t xml:space="preserve">, handling, or by other means.” </w:t>
      </w:r>
    </w:p>
    <w:p w14:paraId="0ADEC486" w14:textId="6EB19B76" w:rsidR="00DB3FEF" w:rsidRPr="00CE5865" w:rsidRDefault="00DB3FEF" w:rsidP="00DB3FEF">
      <w:pPr>
        <w:pStyle w:val="SingleTxtG"/>
        <w:ind w:left="2835" w:hanging="567"/>
      </w:pPr>
      <w:r>
        <w:t>(c)</w:t>
      </w:r>
      <w:r>
        <w:tab/>
        <w:t>In addition, the phrase “Warning” may be used in conjunction with item</w:t>
      </w:r>
      <w:r w:rsidR="00717EC9">
        <w:t>s</w:t>
      </w:r>
      <w:r>
        <w:t xml:space="preserve"> (a) or (b).</w:t>
      </w:r>
    </w:p>
    <w:p w14:paraId="1F2606B9" w14:textId="43CC9843" w:rsidR="00DB3FEF" w:rsidRPr="00460B74" w:rsidRDefault="00DB3FEF" w:rsidP="00DB3FEF">
      <w:pPr>
        <w:pStyle w:val="H23G"/>
      </w:pPr>
      <w:r>
        <w:tab/>
      </w:r>
      <w:r>
        <w:tab/>
      </w:r>
      <w:r w:rsidR="00A52F7D" w:rsidRPr="00460B74">
        <w:t>A</w:t>
      </w:r>
      <w:r w:rsidR="00A52F7D">
        <w:t>11</w:t>
      </w:r>
      <w:r w:rsidRPr="00460B74">
        <w:t>.2.8</w:t>
      </w:r>
      <w:r w:rsidRPr="00460B74">
        <w:tab/>
      </w:r>
      <w:r w:rsidRPr="00375E0F">
        <w:rPr>
          <w:i/>
        </w:rPr>
        <w:t>References</w:t>
      </w:r>
      <w:r w:rsidRPr="00460B74">
        <w:t xml:space="preserve"> </w:t>
      </w:r>
    </w:p>
    <w:p w14:paraId="10DCA9F9" w14:textId="1AFA1164" w:rsidR="00DB3FEF" w:rsidRPr="00460B74" w:rsidRDefault="00DB3FEF" w:rsidP="00DB3FEF">
      <w:pPr>
        <w:pStyle w:val="H4G"/>
      </w:pPr>
      <w:r>
        <w:tab/>
      </w:r>
      <w:r>
        <w:tab/>
      </w:r>
      <w:r w:rsidR="00A52F7D" w:rsidRPr="00460B74">
        <w:rPr>
          <w:i w:val="0"/>
        </w:rPr>
        <w:t>A</w:t>
      </w:r>
      <w:r w:rsidR="00A52F7D">
        <w:rPr>
          <w:i w:val="0"/>
        </w:rPr>
        <w:t>11</w:t>
      </w:r>
      <w:r w:rsidRPr="00460B74">
        <w:rPr>
          <w:i w:val="0"/>
        </w:rPr>
        <w:t>.2.8.1</w:t>
      </w:r>
      <w:r w:rsidRPr="00460B74">
        <w:tab/>
        <w:t>Test methods</w:t>
      </w:r>
    </w:p>
    <w:p w14:paraId="7C7162DC" w14:textId="77777777" w:rsidR="00DB3FEF" w:rsidRPr="003E18A3" w:rsidRDefault="00DB3FEF" w:rsidP="00DB3FEF">
      <w:pPr>
        <w:pStyle w:val="SingleTxtG"/>
      </w:pPr>
      <w:r>
        <w:tab/>
      </w:r>
      <w:r>
        <w:tab/>
      </w:r>
      <w:r w:rsidRPr="003E18A3">
        <w:t xml:space="preserve">Recognized and scientifically validated testing methods and standards, such as those listed below, should be used when </w:t>
      </w:r>
      <w:r>
        <w:t>evaluating</w:t>
      </w:r>
      <w:r w:rsidRPr="003E18A3">
        <w:t xml:space="preserve"> dust </w:t>
      </w:r>
      <w:proofErr w:type="spellStart"/>
      <w:r w:rsidRPr="003E18A3">
        <w:t>explosibility</w:t>
      </w:r>
      <w:proofErr w:type="spellEnd"/>
      <w:r w:rsidRPr="003E18A3">
        <w:t>.</w:t>
      </w:r>
    </w:p>
    <w:p w14:paraId="24EA94F9" w14:textId="73E8A8FE" w:rsidR="00DB3FEF" w:rsidRDefault="00DB3FEF" w:rsidP="00DB3FEF">
      <w:pPr>
        <w:pStyle w:val="H56G"/>
      </w:pPr>
      <w:r>
        <w:tab/>
      </w:r>
      <w:r>
        <w:tab/>
      </w:r>
      <w:r w:rsidRPr="003D7E80">
        <w:t xml:space="preserve">International </w:t>
      </w:r>
      <w:r w:rsidR="00692AD4">
        <w:t>s</w:t>
      </w:r>
      <w:r w:rsidRPr="003D7E80">
        <w:t>tandards</w:t>
      </w:r>
    </w:p>
    <w:p w14:paraId="5661E275" w14:textId="77777777" w:rsidR="00DB3FEF" w:rsidRPr="00460B74" w:rsidRDefault="00DB3FEF" w:rsidP="00DB3FEF">
      <w:pPr>
        <w:pStyle w:val="SingleTxtG"/>
      </w:pPr>
      <w:r w:rsidRPr="00460B74">
        <w:t xml:space="preserve">ISO/IEC 80079-20-2, "Explosive atmospheres - Part 20-2: Material characteristics ‒ Combustible dusts test methods" </w:t>
      </w:r>
    </w:p>
    <w:p w14:paraId="04397FB8" w14:textId="2E6F55B1" w:rsidR="00DB3FEF" w:rsidRPr="005F4603" w:rsidRDefault="00DB3FEF" w:rsidP="00DB3FEF">
      <w:pPr>
        <w:pStyle w:val="H56G"/>
      </w:pPr>
      <w:r>
        <w:tab/>
      </w:r>
      <w:r>
        <w:tab/>
      </w:r>
      <w:r w:rsidRPr="005F4603">
        <w:t xml:space="preserve">National </w:t>
      </w:r>
      <w:r w:rsidR="00692AD4">
        <w:t>s</w:t>
      </w:r>
      <w:r w:rsidRPr="005F4603">
        <w:t>tandards</w:t>
      </w:r>
    </w:p>
    <w:p w14:paraId="2CE567D3" w14:textId="77777777" w:rsidR="00DB3FEF" w:rsidRPr="005F4603" w:rsidRDefault="00DB3FEF" w:rsidP="00DB3FEF">
      <w:pPr>
        <w:pStyle w:val="SingleTxtG"/>
      </w:pPr>
      <w:r w:rsidRPr="005F4603">
        <w:t xml:space="preserve">ASTM E1226, “Standard Test Method for </w:t>
      </w:r>
      <w:proofErr w:type="spellStart"/>
      <w:r w:rsidRPr="005F4603">
        <w:t>Explosibility</w:t>
      </w:r>
      <w:proofErr w:type="spellEnd"/>
      <w:r w:rsidRPr="005F4603">
        <w:t xml:space="preserve"> of Dust Clouds” </w:t>
      </w:r>
    </w:p>
    <w:p w14:paraId="77CCC30B" w14:textId="77777777" w:rsidR="00DB3FEF" w:rsidRPr="005F4603" w:rsidRDefault="00DB3FEF" w:rsidP="00DB3FEF">
      <w:pPr>
        <w:pStyle w:val="SingleTxtG"/>
      </w:pPr>
      <w:r w:rsidRPr="005F4603">
        <w:lastRenderedPageBreak/>
        <w:t>VDI</w:t>
      </w:r>
      <w:r w:rsidRPr="005F4603">
        <w:footnoteReference w:customMarkFollows="1" w:id="7"/>
        <w:t>* 2263-1, "Dust Fires and Dust Explosions; Hazards ‒ Assessment ‒ Protective Measures; Test Methods for the Determination of the Safety Characteristics of Dusts"</w:t>
      </w:r>
    </w:p>
    <w:p w14:paraId="05638273" w14:textId="0679F502" w:rsidR="00DB3FEF" w:rsidRPr="00460B74" w:rsidRDefault="00DB3FEF" w:rsidP="00DB3FEF">
      <w:pPr>
        <w:pStyle w:val="H4G"/>
      </w:pPr>
      <w:r>
        <w:tab/>
      </w:r>
      <w:r>
        <w:tab/>
      </w:r>
      <w:r w:rsidR="00A52F7D" w:rsidRPr="00460B74">
        <w:rPr>
          <w:i w:val="0"/>
        </w:rPr>
        <w:t>A</w:t>
      </w:r>
      <w:r w:rsidR="00A52F7D">
        <w:rPr>
          <w:i w:val="0"/>
        </w:rPr>
        <w:t>11</w:t>
      </w:r>
      <w:r w:rsidRPr="00460B74">
        <w:rPr>
          <w:i w:val="0"/>
        </w:rPr>
        <w:t>.2.8.2</w:t>
      </w:r>
      <w:r w:rsidRPr="00460B74">
        <w:rPr>
          <w:i w:val="0"/>
        </w:rPr>
        <w:tab/>
      </w:r>
      <w:r w:rsidRPr="00460B74">
        <w:t>Regulations and guidance on prevention and mitigation</w:t>
      </w:r>
    </w:p>
    <w:p w14:paraId="55901638" w14:textId="77777777" w:rsidR="00DB3FEF" w:rsidRPr="005F4603" w:rsidRDefault="00DB3FEF" w:rsidP="00DB3FEF">
      <w:pPr>
        <w:pStyle w:val="SingleTxtG"/>
      </w:pPr>
      <w:r>
        <w:tab/>
      </w:r>
      <w:r>
        <w:tab/>
      </w:r>
      <w:r w:rsidRPr="005F4603">
        <w:t xml:space="preserve">There are a number of documents available providing guidance on preventive and mitigation measures to minimize or eliminate dust explosions. A partial list is provided below.  </w:t>
      </w:r>
      <w:r>
        <w:t>The</w:t>
      </w:r>
      <w:r w:rsidRPr="005F4603">
        <w:t xml:space="preserve"> use </w:t>
      </w:r>
      <w:r>
        <w:t xml:space="preserve">of </w:t>
      </w:r>
      <w:r w:rsidRPr="005F4603">
        <w:t>country-specific documents</w:t>
      </w:r>
      <w:r>
        <w:t>, including</w:t>
      </w:r>
      <w:r w:rsidRPr="005F4603">
        <w:t xml:space="preserve"> </w:t>
      </w:r>
      <w:r w:rsidRPr="005F4603">
        <w:rPr>
          <w:bCs/>
        </w:rPr>
        <w:t>those addressing specific hazards</w:t>
      </w:r>
      <w:r>
        <w:rPr>
          <w:bCs/>
        </w:rPr>
        <w:t xml:space="preserve"> and risks</w:t>
      </w:r>
      <w:r w:rsidRPr="005F4603">
        <w:rPr>
          <w:bCs/>
        </w:rPr>
        <w:t xml:space="preserve"> associated with </w:t>
      </w:r>
      <w:r>
        <w:rPr>
          <w:bCs/>
        </w:rPr>
        <w:t>materials such</w:t>
      </w:r>
      <w:r w:rsidRPr="005F4603">
        <w:rPr>
          <w:bCs/>
        </w:rPr>
        <w:t xml:space="preserve"> as wood, coal, </w:t>
      </w:r>
      <w:proofErr w:type="spellStart"/>
      <w:r w:rsidRPr="005F4603">
        <w:rPr>
          <w:bCs/>
        </w:rPr>
        <w:t>sulfur</w:t>
      </w:r>
      <w:proofErr w:type="spellEnd"/>
      <w:r w:rsidRPr="005F4603">
        <w:rPr>
          <w:bCs/>
        </w:rPr>
        <w:t xml:space="preserve">, </w:t>
      </w:r>
      <w:r w:rsidRPr="005F4603">
        <w:t xml:space="preserve">combustible metals, and agricultural and food, </w:t>
      </w:r>
      <w:r>
        <w:t xml:space="preserve">is encouraged </w:t>
      </w:r>
      <w:r w:rsidRPr="005F4603">
        <w:t>where available.</w:t>
      </w:r>
    </w:p>
    <w:p w14:paraId="13B15523" w14:textId="77777777" w:rsidR="00DB3FEF" w:rsidRPr="005F4603" w:rsidRDefault="00DB3FEF" w:rsidP="00DB3FEF">
      <w:pPr>
        <w:pStyle w:val="SingleTxtG"/>
        <w:ind w:left="2835" w:hanging="567"/>
      </w:pPr>
      <w:r>
        <w:t>(a)</w:t>
      </w:r>
      <w:r>
        <w:tab/>
      </w:r>
      <w:r w:rsidRPr="005F4603">
        <w:t xml:space="preserve">Directive 1999/92/EC of the European Parliament and of the Council </w:t>
      </w:r>
      <w:r>
        <w:t>(</w:t>
      </w:r>
      <w:r w:rsidRPr="005F4603">
        <w:t>ATEX</w:t>
      </w:r>
      <w:r>
        <w:t>)</w:t>
      </w:r>
      <w:r w:rsidRPr="005F4603">
        <w:t>, Annex 1</w:t>
      </w:r>
    </w:p>
    <w:p w14:paraId="151BDDAF" w14:textId="4A109B4D" w:rsidR="00DB3FEF" w:rsidRPr="00776102" w:rsidRDefault="00DB3FEF" w:rsidP="00DB3FEF">
      <w:pPr>
        <w:pStyle w:val="SingleTxtG"/>
        <w:ind w:left="2835" w:hanging="567"/>
      </w:pPr>
      <w:r>
        <w:rPr>
          <w:color w:val="000000"/>
        </w:rPr>
        <w:t>(b)</w:t>
      </w:r>
      <w:r>
        <w:rPr>
          <w:color w:val="000000"/>
        </w:rPr>
        <w:tab/>
      </w:r>
      <w:r w:rsidRPr="005F4603">
        <w:rPr>
          <w:color w:val="000000"/>
        </w:rPr>
        <w:t xml:space="preserve">U.S. OSHA’s Combustible Dust Directive </w:t>
      </w:r>
      <w:r w:rsidR="00A52F7D">
        <w:rPr>
          <w:color w:val="000000"/>
        </w:rPr>
        <w:t>(</w:t>
      </w:r>
      <w:r w:rsidRPr="005F4603">
        <w:rPr>
          <w:color w:val="000000"/>
        </w:rPr>
        <w:t>Combustible Dust National Emphasis Program</w:t>
      </w:r>
      <w:r w:rsidR="00A52F7D">
        <w:rPr>
          <w:color w:val="000000"/>
        </w:rPr>
        <w:t>)</w:t>
      </w:r>
    </w:p>
    <w:p w14:paraId="69143E5D" w14:textId="77777777" w:rsidR="00DB3FEF" w:rsidRPr="005F4603" w:rsidRDefault="00DB3FEF" w:rsidP="00DB3FEF">
      <w:pPr>
        <w:pStyle w:val="SingleTxtG"/>
        <w:ind w:left="2835" w:hanging="567"/>
      </w:pPr>
      <w:r>
        <w:t>(c)</w:t>
      </w:r>
      <w:r>
        <w:tab/>
        <w:t xml:space="preserve">Health and Safety Executive, UK, HSG 103, </w:t>
      </w:r>
      <w:r w:rsidRPr="002E0397">
        <w:t xml:space="preserve">Safe Handling of Combustible Dusts: Precautions </w:t>
      </w:r>
      <w:proofErr w:type="gramStart"/>
      <w:r w:rsidRPr="002E0397">
        <w:t>Against</w:t>
      </w:r>
      <w:proofErr w:type="gramEnd"/>
      <w:r w:rsidRPr="002E0397">
        <w:t xml:space="preserve"> Explosions</w:t>
      </w:r>
      <w:r>
        <w:t xml:space="preserve"> </w:t>
      </w:r>
    </w:p>
    <w:p w14:paraId="48A9740A" w14:textId="77777777" w:rsidR="00DB3FEF" w:rsidRPr="005F4603" w:rsidRDefault="00DB3FEF" w:rsidP="00DB3FEF">
      <w:pPr>
        <w:pStyle w:val="SingleTxtG"/>
        <w:ind w:left="2835" w:hanging="567"/>
      </w:pPr>
      <w:r>
        <w:t>(d)</w:t>
      </w:r>
      <w:r>
        <w:tab/>
        <w:t xml:space="preserve">U.S. </w:t>
      </w:r>
      <w:r w:rsidRPr="005F4603">
        <w:t>National Fire Protection Association (NFPA)</w:t>
      </w:r>
    </w:p>
    <w:p w14:paraId="27D57FF2" w14:textId="77777777" w:rsidR="00DB3FEF" w:rsidRPr="005F4603" w:rsidRDefault="00DB3FEF" w:rsidP="00DB3FEF">
      <w:pPr>
        <w:pStyle w:val="SingleTxtG"/>
        <w:ind w:left="2835"/>
      </w:pPr>
      <w:r w:rsidRPr="005F4603">
        <w:t>NFPA 652: Standard on the Fundamentals of Combustible Dust</w:t>
      </w:r>
    </w:p>
    <w:p w14:paraId="449A385C" w14:textId="77777777" w:rsidR="00DB3FEF" w:rsidRPr="005F4603" w:rsidRDefault="00DB3FEF" w:rsidP="00DB3FEF">
      <w:pPr>
        <w:pStyle w:val="SingleTxtG"/>
        <w:ind w:left="2835"/>
      </w:pPr>
      <w:r w:rsidRPr="005F4603">
        <w:t>NFPA 654: Standard for the Prevention of Fire and Dust Explosions from the Manufacturing, Processing, and Handling of Combustible Particulate Solids</w:t>
      </w:r>
    </w:p>
    <w:p w14:paraId="6B710C44" w14:textId="77777777" w:rsidR="00DB3FEF" w:rsidRPr="005F4603" w:rsidRDefault="00DB3FEF" w:rsidP="00DB3FEF">
      <w:pPr>
        <w:pStyle w:val="SingleTxtG"/>
        <w:ind w:left="2835"/>
      </w:pPr>
      <w:r w:rsidRPr="005F4603">
        <w:t>NFPA 68: Standard on Explosion Protection by Deflagration Venting</w:t>
      </w:r>
    </w:p>
    <w:p w14:paraId="6AF08DA7" w14:textId="484C2343" w:rsidR="00DB3FEF" w:rsidRDefault="00DB3FEF" w:rsidP="00DB3FEF">
      <w:pPr>
        <w:pStyle w:val="SingleTxtG"/>
        <w:ind w:left="2835"/>
      </w:pPr>
      <w:r w:rsidRPr="005F4603">
        <w:t>NFPA 69: Standard on Explosion Prevention Systems</w:t>
      </w:r>
      <w:r w:rsidR="00151260">
        <w:t>”</w:t>
      </w:r>
    </w:p>
    <w:p w14:paraId="297730BD" w14:textId="77777777" w:rsidR="00DB3FEF" w:rsidRDefault="00DB3FEF" w:rsidP="00DB3FEF">
      <w:pPr>
        <w:pStyle w:val="SingleTxtG"/>
        <w:spacing w:before="240" w:after="0"/>
        <w:jc w:val="center"/>
        <w:rPr>
          <w:u w:val="single"/>
        </w:rPr>
      </w:pPr>
      <w:r>
        <w:rPr>
          <w:u w:val="single"/>
        </w:rPr>
        <w:tab/>
      </w:r>
      <w:r>
        <w:rPr>
          <w:u w:val="single"/>
        </w:rPr>
        <w:tab/>
      </w:r>
      <w:r>
        <w:rPr>
          <w:u w:val="single"/>
        </w:rPr>
        <w:tab/>
      </w:r>
    </w:p>
    <w:p w14:paraId="749CA2AF" w14:textId="381A01B8" w:rsidR="00B36766" w:rsidRDefault="00B36766">
      <w:pPr>
        <w:suppressAutoHyphens w:val="0"/>
        <w:spacing w:line="240" w:lineRule="auto"/>
        <w:rPr>
          <w:u w:val="single"/>
        </w:rPr>
      </w:pPr>
      <w:r>
        <w:rPr>
          <w:u w:val="single"/>
        </w:rPr>
        <w:br w:type="page"/>
      </w:r>
    </w:p>
    <w:p w14:paraId="58C0CA48" w14:textId="62ACA3BF" w:rsidR="00B36766" w:rsidRDefault="00B36766" w:rsidP="00B36766">
      <w:pPr>
        <w:pStyle w:val="SingleTxtG"/>
        <w:spacing w:before="240" w:after="0"/>
        <w:ind w:left="1138" w:right="1138"/>
        <w:jc w:val="left"/>
        <w:rPr>
          <w:sz w:val="28"/>
          <w:szCs w:val="28"/>
        </w:rPr>
      </w:pPr>
      <w:r>
        <w:rPr>
          <w:b/>
          <w:sz w:val="28"/>
          <w:szCs w:val="28"/>
        </w:rPr>
        <w:lastRenderedPageBreak/>
        <w:t>A</w:t>
      </w:r>
      <w:r w:rsidR="006F1C86">
        <w:rPr>
          <w:b/>
          <w:sz w:val="28"/>
          <w:szCs w:val="28"/>
        </w:rPr>
        <w:t>nnex</w:t>
      </w:r>
      <w:r>
        <w:rPr>
          <w:b/>
          <w:sz w:val="28"/>
          <w:szCs w:val="28"/>
        </w:rPr>
        <w:t xml:space="preserve"> 2</w:t>
      </w:r>
    </w:p>
    <w:p w14:paraId="62727437" w14:textId="293825AF" w:rsidR="00B36766" w:rsidRDefault="00B36766" w:rsidP="00B36766">
      <w:pPr>
        <w:pStyle w:val="HChG"/>
        <w:ind w:left="2276" w:right="1138" w:hanging="1138"/>
      </w:pPr>
      <w:r w:rsidRPr="0020759A">
        <w:t xml:space="preserve">Consequential </w:t>
      </w:r>
      <w:r>
        <w:t xml:space="preserve">amendments to Annex 4 </w:t>
      </w:r>
      <w:r w:rsidRPr="0020759A">
        <w:t>of the GHS</w:t>
      </w:r>
    </w:p>
    <w:p w14:paraId="75811CBA" w14:textId="7D6CA18C" w:rsidR="00B36766" w:rsidRPr="0020759A" w:rsidRDefault="00B36766" w:rsidP="00B36766">
      <w:pPr>
        <w:pStyle w:val="H1G"/>
        <w:ind w:left="2276" w:right="1138" w:hanging="1138"/>
      </w:pPr>
      <w:r w:rsidRPr="0020759A">
        <w:t xml:space="preserve">Section </w:t>
      </w:r>
      <w:r w:rsidR="00B128C2">
        <w:t>A4.3.2.3</w:t>
      </w:r>
    </w:p>
    <w:p w14:paraId="6361AD27" w14:textId="7942F799" w:rsidR="00675F67" w:rsidRDefault="00675F67" w:rsidP="006F1C86">
      <w:pPr>
        <w:suppressAutoHyphens w:val="0"/>
        <w:autoSpaceDE w:val="0"/>
        <w:autoSpaceDN w:val="0"/>
        <w:adjustRightInd w:val="0"/>
        <w:spacing w:line="240" w:lineRule="auto"/>
        <w:ind w:left="1138" w:right="1138"/>
        <w:jc w:val="both"/>
        <w:rPr>
          <w:rFonts w:ascii="TimesNewRomanPSMT" w:hAnsi="TimesNewRomanPSMT" w:cs="TimesNewRomanPSMT"/>
          <w:lang w:val="en-US" w:eastAsia="zh-CN"/>
        </w:rPr>
      </w:pPr>
      <w:r>
        <w:t xml:space="preserve">Replace </w:t>
      </w:r>
      <w:r w:rsidR="00CA7F6E">
        <w:t xml:space="preserve">the </w:t>
      </w:r>
      <w:r>
        <w:t>last sentence (</w:t>
      </w:r>
      <w:r w:rsidR="00CA7F6E">
        <w:t>“</w:t>
      </w:r>
      <w:r w:rsidR="00CA7F6E">
        <w:rPr>
          <w:rFonts w:ascii="TimesNewRomanPSMT" w:hAnsi="TimesNewRomanPSMT" w:cs="TimesNewRomanPSMT"/>
          <w:lang w:val="en-US" w:eastAsia="zh-CN"/>
        </w:rPr>
        <w:t xml:space="preserve">The statement “May form </w:t>
      </w:r>
      <w:proofErr w:type="spellStart"/>
      <w:r w:rsidR="00CA7F6E">
        <w:rPr>
          <w:rFonts w:ascii="TimesNewRomanPSMT" w:hAnsi="TimesNewRomanPSMT" w:cs="TimesNewRomanPSMT"/>
          <w:lang w:val="en-US" w:eastAsia="zh-CN"/>
        </w:rPr>
        <w:t>explosible</w:t>
      </w:r>
      <w:proofErr w:type="spellEnd"/>
      <w:r w:rsidR="00CA7F6E">
        <w:rPr>
          <w:rFonts w:ascii="TimesNewRomanPSMT" w:hAnsi="TimesNewRomanPSMT" w:cs="TimesNewRomanPSMT"/>
          <w:lang w:val="en-US" w:eastAsia="zh-CN"/>
        </w:rPr>
        <w:t xml:space="preserve"> dust-air mixture if dispersed” is appropriate in the case of a dust explosion hazard.”</w:t>
      </w:r>
      <w:r>
        <w:rPr>
          <w:rFonts w:ascii="TimesNewRomanPSMT" w:hAnsi="TimesNewRomanPSMT" w:cs="TimesNewRomanPSMT"/>
          <w:lang w:val="en-US" w:eastAsia="zh-CN"/>
        </w:rPr>
        <w:t>)</w:t>
      </w:r>
      <w:r w:rsidR="00CA7F6E">
        <w:rPr>
          <w:rFonts w:ascii="TimesNewRomanPSMT" w:hAnsi="TimesNewRomanPSMT" w:cs="TimesNewRomanPSMT"/>
          <w:lang w:val="en-US" w:eastAsia="zh-CN"/>
        </w:rPr>
        <w:t xml:space="preserve">  </w:t>
      </w:r>
      <w:proofErr w:type="gramStart"/>
      <w:r>
        <w:rPr>
          <w:rFonts w:ascii="TimesNewRomanPSMT" w:hAnsi="TimesNewRomanPSMT" w:cs="TimesNewRomanPSMT"/>
          <w:lang w:val="en-US" w:eastAsia="zh-CN"/>
        </w:rPr>
        <w:t>with</w:t>
      </w:r>
      <w:proofErr w:type="gramEnd"/>
      <w:r>
        <w:rPr>
          <w:rFonts w:ascii="TimesNewRomanPSMT" w:hAnsi="TimesNewRomanPSMT" w:cs="TimesNewRomanPSMT"/>
          <w:lang w:val="en-US" w:eastAsia="zh-CN"/>
        </w:rPr>
        <w:t xml:space="preserve"> the following:</w:t>
      </w:r>
    </w:p>
    <w:p w14:paraId="65C0C662" w14:textId="77777777" w:rsidR="00675F67" w:rsidRDefault="00675F67" w:rsidP="006F1C86">
      <w:pPr>
        <w:suppressAutoHyphens w:val="0"/>
        <w:autoSpaceDE w:val="0"/>
        <w:autoSpaceDN w:val="0"/>
        <w:adjustRightInd w:val="0"/>
        <w:spacing w:line="240" w:lineRule="auto"/>
        <w:ind w:left="1138" w:right="1138"/>
        <w:jc w:val="both"/>
        <w:rPr>
          <w:rFonts w:ascii="TimesNewRomanPSMT" w:hAnsi="TimesNewRomanPSMT" w:cs="TimesNewRomanPSMT"/>
          <w:lang w:val="en-US" w:eastAsia="zh-CN"/>
        </w:rPr>
      </w:pPr>
    </w:p>
    <w:p w14:paraId="5DF186F4" w14:textId="59B42C13" w:rsidR="00CA7F6E" w:rsidRDefault="00CA7F6E" w:rsidP="006F1C86">
      <w:pPr>
        <w:suppressAutoHyphens w:val="0"/>
        <w:autoSpaceDE w:val="0"/>
        <w:autoSpaceDN w:val="0"/>
        <w:adjustRightInd w:val="0"/>
        <w:spacing w:line="240" w:lineRule="auto"/>
        <w:ind w:left="1138" w:right="1138"/>
        <w:jc w:val="both"/>
      </w:pPr>
      <w:r>
        <w:rPr>
          <w:rFonts w:ascii="TimesNewRomanPSMT" w:hAnsi="TimesNewRomanPSMT" w:cs="TimesNewRomanPSMT"/>
          <w:lang w:val="en-US" w:eastAsia="zh-CN"/>
        </w:rPr>
        <w:t xml:space="preserve"> “</w:t>
      </w:r>
      <w:r w:rsidRPr="005F4603">
        <w:t xml:space="preserve">To communicate </w:t>
      </w:r>
      <w:r>
        <w:t xml:space="preserve">combustible dust </w:t>
      </w:r>
      <w:r w:rsidRPr="005F4603">
        <w:t>hazards</w:t>
      </w:r>
      <w:r>
        <w:t>, and thus a potential risk</w:t>
      </w:r>
      <w:r w:rsidRPr="005F4603">
        <w:t xml:space="preserve"> of dust explosions </w:t>
      </w:r>
      <w:r>
        <w:t xml:space="preserve">under the approach described in Annex 11 </w:t>
      </w:r>
      <w:r w:rsidRPr="005F4603">
        <w:t xml:space="preserve">in a standardized manner, competent authorities may </w:t>
      </w:r>
      <w:r>
        <w:t xml:space="preserve">allow the </w:t>
      </w:r>
      <w:r w:rsidRPr="005F4603">
        <w:t>use</w:t>
      </w:r>
      <w:r>
        <w:t xml:space="preserve"> of</w:t>
      </w:r>
      <w:r w:rsidRPr="005F4603">
        <w:t xml:space="preserve"> the phrases </w:t>
      </w:r>
      <w:r>
        <w:t xml:space="preserve">identified in A11.2.7.3 </w:t>
      </w:r>
      <w:r w:rsidRPr="005F4603">
        <w:t xml:space="preserve">on </w:t>
      </w:r>
      <w:r w:rsidR="00A82449" w:rsidRPr="005F4603">
        <w:t>labels</w:t>
      </w:r>
      <w:r w:rsidR="00A82449">
        <w:t>,</w:t>
      </w:r>
      <w:r w:rsidR="00A82449" w:rsidRPr="005F4603">
        <w:t xml:space="preserve"> </w:t>
      </w:r>
      <w:r w:rsidR="00A82449">
        <w:t xml:space="preserve">SDSs and/or in operating instructions </w:t>
      </w:r>
      <w:r w:rsidR="00503F54">
        <w:t>or may leave the choice to the manufacturer or supplier</w:t>
      </w:r>
      <w:r>
        <w:t>.”</w:t>
      </w:r>
    </w:p>
    <w:p w14:paraId="6768FCDB" w14:textId="31FE9D49" w:rsidR="00B128C2" w:rsidRPr="00B36766" w:rsidRDefault="006F1C86" w:rsidP="006F1C86">
      <w:pPr>
        <w:pStyle w:val="SingleTxtG"/>
        <w:spacing w:before="240" w:after="0"/>
        <w:jc w:val="center"/>
      </w:pPr>
      <w:r>
        <w:t>________________</w:t>
      </w:r>
    </w:p>
    <w:sectPr w:rsidR="00B128C2" w:rsidRPr="00B36766" w:rsidSect="000D0349">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AF56" w14:textId="77777777" w:rsidR="005C3439" w:rsidRDefault="005C3439"/>
  </w:endnote>
  <w:endnote w:type="continuationSeparator" w:id="0">
    <w:p w14:paraId="3FBCF79D" w14:textId="77777777" w:rsidR="005C3439" w:rsidRDefault="005C3439"/>
  </w:endnote>
  <w:endnote w:type="continuationNotice" w:id="1">
    <w:p w14:paraId="32A0A618" w14:textId="77777777" w:rsidR="005C3439" w:rsidRDefault="005C3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B56C" w14:textId="73519B44" w:rsidR="00B128C2" w:rsidRPr="0099001C" w:rsidRDefault="00B128C2"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34235">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30CA" w14:textId="539F74A1" w:rsidR="00B128C2" w:rsidRPr="0099001C" w:rsidRDefault="00B128C2"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634235">
      <w:rPr>
        <w:b/>
        <w:noProof/>
        <w:sz w:val="18"/>
      </w:rPr>
      <w:t>13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A2D8" w14:textId="77777777" w:rsidR="00B128C2" w:rsidRPr="004C34C3" w:rsidRDefault="00B128C2" w:rsidP="004C34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5043" w14:textId="77777777" w:rsidR="00B128C2" w:rsidRPr="004C34C3" w:rsidRDefault="00B128C2" w:rsidP="004C34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4B5FE" w14:textId="2F54F2B5" w:rsidR="00B128C2" w:rsidRPr="004C34C3" w:rsidRDefault="00B128C2" w:rsidP="004C34C3">
    <w:pPr>
      <w:pStyle w:val="Footer"/>
      <w:tabs>
        <w:tab w:val="right" w:pos="9638"/>
      </w:tabs>
    </w:pPr>
    <w:r w:rsidRPr="004C34C3">
      <w:rPr>
        <w:b/>
        <w:sz w:val="18"/>
      </w:rPr>
      <w:fldChar w:fldCharType="begin"/>
    </w:r>
    <w:r w:rsidRPr="004C34C3">
      <w:rPr>
        <w:b/>
        <w:sz w:val="18"/>
      </w:rPr>
      <w:instrText xml:space="preserve"> PAGE  \* MERGEFORMAT </w:instrText>
    </w:r>
    <w:r w:rsidRPr="004C34C3">
      <w:rPr>
        <w:b/>
        <w:sz w:val="18"/>
      </w:rPr>
      <w:fldChar w:fldCharType="separate"/>
    </w:r>
    <w:r w:rsidR="00634235">
      <w:rPr>
        <w:b/>
        <w:noProof/>
        <w:sz w:val="18"/>
      </w:rPr>
      <w:t>18</w:t>
    </w:r>
    <w:r w:rsidRPr="004C34C3">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0CD" w14:textId="24527196" w:rsidR="00B128C2" w:rsidRPr="000D0349" w:rsidRDefault="00B128C2" w:rsidP="000D0349">
    <w:pPr>
      <w:pStyle w:val="Footer"/>
      <w:tabs>
        <w:tab w:val="right" w:pos="9638"/>
      </w:tabs>
    </w:pPr>
    <w:r w:rsidRPr="000D0349">
      <w:rPr>
        <w:b/>
        <w:sz w:val="18"/>
      </w:rPr>
      <w:fldChar w:fldCharType="begin"/>
    </w:r>
    <w:r w:rsidRPr="000D0349">
      <w:rPr>
        <w:b/>
        <w:sz w:val="18"/>
      </w:rPr>
      <w:instrText xml:space="preserve"> PAGE  \* MERGEFORMAT </w:instrText>
    </w:r>
    <w:r w:rsidRPr="000D0349">
      <w:rPr>
        <w:b/>
        <w:sz w:val="18"/>
      </w:rPr>
      <w:fldChar w:fldCharType="separate"/>
    </w:r>
    <w:r w:rsidR="00634235">
      <w:rPr>
        <w:b/>
        <w:noProof/>
        <w:sz w:val="18"/>
      </w:rPr>
      <w:t>17</w:t>
    </w:r>
    <w:r w:rsidRPr="000D0349">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7333D" w14:textId="77777777" w:rsidR="005C3439" w:rsidRPr="000B175B" w:rsidRDefault="005C3439" w:rsidP="000B175B">
      <w:pPr>
        <w:tabs>
          <w:tab w:val="right" w:pos="2155"/>
        </w:tabs>
        <w:spacing w:after="80"/>
        <w:ind w:left="680"/>
        <w:rPr>
          <w:u w:val="single"/>
        </w:rPr>
      </w:pPr>
      <w:r>
        <w:rPr>
          <w:u w:val="single"/>
        </w:rPr>
        <w:tab/>
      </w:r>
    </w:p>
  </w:footnote>
  <w:footnote w:type="continuationSeparator" w:id="0">
    <w:p w14:paraId="7C464E1F" w14:textId="77777777" w:rsidR="005C3439" w:rsidRPr="00FC68B7" w:rsidRDefault="005C3439" w:rsidP="00FC68B7">
      <w:pPr>
        <w:tabs>
          <w:tab w:val="left" w:pos="2155"/>
        </w:tabs>
        <w:spacing w:after="80"/>
        <w:ind w:left="680"/>
        <w:rPr>
          <w:u w:val="single"/>
        </w:rPr>
      </w:pPr>
      <w:r>
        <w:rPr>
          <w:u w:val="single"/>
        </w:rPr>
        <w:tab/>
      </w:r>
    </w:p>
  </w:footnote>
  <w:footnote w:type="continuationNotice" w:id="1">
    <w:p w14:paraId="3C47908C" w14:textId="77777777" w:rsidR="005C3439" w:rsidRDefault="005C3439"/>
  </w:footnote>
  <w:footnote w:id="2">
    <w:p w14:paraId="5DD7296E" w14:textId="251B7312" w:rsidR="00183B43" w:rsidRPr="00183B43" w:rsidRDefault="00183B43" w:rsidP="00183B43">
      <w:pPr>
        <w:pStyle w:val="FootnoteText"/>
        <w:tabs>
          <w:tab w:val="left" w:pos="1418"/>
        </w:tabs>
        <w:ind w:firstLine="0"/>
        <w:rPr>
          <w:lang w:val="fr-CH"/>
        </w:rPr>
      </w:pPr>
      <w:r>
        <w:rPr>
          <w:rStyle w:val="FootnoteReference"/>
        </w:rPr>
        <w:footnoteRef/>
      </w:r>
      <w: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 14</w:t>
      </w:r>
      <w:r w:rsidRPr="00DB63BF">
        <w:t>).</w:t>
      </w:r>
      <w:r>
        <w:t xml:space="preserve">  </w:t>
      </w:r>
    </w:p>
  </w:footnote>
  <w:footnote w:id="3">
    <w:p w14:paraId="3A5054E9" w14:textId="77777777" w:rsidR="00B128C2" w:rsidRPr="00F016FB" w:rsidRDefault="00B128C2" w:rsidP="00C2533D">
      <w:pPr>
        <w:pStyle w:val="FootnoteText"/>
        <w:tabs>
          <w:tab w:val="left" w:pos="709"/>
        </w:tabs>
        <w:spacing w:line="240" w:lineRule="auto"/>
        <w:ind w:left="993" w:hanging="993"/>
        <w:jc w:val="both"/>
      </w:pPr>
      <w:r>
        <w:tab/>
      </w:r>
      <w:r>
        <w:rPr>
          <w:rStyle w:val="FootnoteReference"/>
        </w:rPr>
        <w:footnoteRef/>
      </w:r>
      <w:r>
        <w:t xml:space="preserve"> </w:t>
      </w:r>
      <w:r w:rsidRPr="007413A2">
        <w:tab/>
      </w:r>
      <w:r w:rsidRPr="00706228">
        <w:tab/>
        <w:t xml:space="preserve">Explosions are divided into deflagration and detonation depending on whether they propagate with subsonic velocity (deflagration) or supersonic velocity (detonation). The reaction of a combustible dust which is dispersed in air and ignited normally propagates with subsonic speed, i.e. as a deflagration. Whereas explosive substances ("Explosives"; see Chapter 2.1) have the intrinsic potential for highly energetic decomposition and react in the condensed phase, combustible dusts need to be dispersed in the presence of an oxidizing atmosphere (generally oxygen) to create an </w:t>
      </w:r>
      <w:proofErr w:type="spellStart"/>
      <w:r w:rsidRPr="00706228">
        <w:t>explosible</w:t>
      </w:r>
      <w:proofErr w:type="spellEnd"/>
      <w:r w:rsidRPr="00706228">
        <w:t xml:space="preserve"> dust atmosphere.</w:t>
      </w:r>
    </w:p>
  </w:footnote>
  <w:footnote w:id="4">
    <w:p w14:paraId="36D63454" w14:textId="2FEFB049" w:rsidR="00B128C2" w:rsidRPr="007413A2" w:rsidRDefault="00B128C2" w:rsidP="00C2533D">
      <w:pPr>
        <w:pStyle w:val="FootnoteText"/>
        <w:tabs>
          <w:tab w:val="clear" w:pos="1021"/>
          <w:tab w:val="left" w:pos="709"/>
        </w:tabs>
        <w:ind w:left="993" w:hanging="993"/>
        <w:jc w:val="both"/>
      </w:pPr>
      <w:r>
        <w:tab/>
      </w:r>
      <w:r w:rsidRPr="007413A2">
        <w:rPr>
          <w:rStyle w:val="FootnoteReference"/>
        </w:rPr>
        <w:footnoteRef/>
      </w:r>
      <w:r w:rsidRPr="007413A2">
        <w:t xml:space="preserve"> </w:t>
      </w:r>
      <w:r w:rsidRPr="007413A2">
        <w:tab/>
        <w:t xml:space="preserve">For </w:t>
      </w:r>
      <w:r>
        <w:t>further information</w:t>
      </w:r>
      <w:r w:rsidRPr="007413A2">
        <w:t xml:space="preserve"> on particle size see </w:t>
      </w:r>
      <w:r>
        <w:t>A11.2.4.1</w:t>
      </w:r>
      <w:r w:rsidRPr="007413A2">
        <w:t>.</w:t>
      </w:r>
    </w:p>
  </w:footnote>
  <w:footnote w:id="5">
    <w:p w14:paraId="52A25182" w14:textId="77777777" w:rsidR="00B128C2" w:rsidRPr="00706228" w:rsidRDefault="00B128C2" w:rsidP="00DB3FEF">
      <w:pPr>
        <w:pStyle w:val="FootnoteText"/>
        <w:tabs>
          <w:tab w:val="left" w:pos="709"/>
        </w:tabs>
        <w:spacing w:line="240" w:lineRule="auto"/>
        <w:ind w:left="993" w:hanging="993"/>
        <w:jc w:val="both"/>
      </w:pPr>
      <w:r>
        <w:tab/>
      </w:r>
      <w:r w:rsidRPr="00F016FB">
        <w:rPr>
          <w:vertAlign w:val="superscript"/>
        </w:rPr>
        <w:footnoteRef/>
      </w:r>
      <w:r>
        <w:t xml:space="preserve"> </w:t>
      </w:r>
      <w:r w:rsidRPr="00FF6191">
        <w:tab/>
      </w:r>
      <w:r w:rsidRPr="00706228">
        <w:t>Use of ≤ aligns with NFPA 652, Standard on the Fundamentals of Combustible Dust.  However, this notation implies a precision which this parameter does not have in practice.</w:t>
      </w:r>
    </w:p>
  </w:footnote>
  <w:footnote w:id="6">
    <w:p w14:paraId="381DBDA5" w14:textId="77777777" w:rsidR="00B128C2" w:rsidRPr="00682824" w:rsidRDefault="00B128C2" w:rsidP="0066155E">
      <w:pPr>
        <w:spacing w:line="240" w:lineRule="auto"/>
        <w:ind w:left="993" w:right="1134"/>
        <w:jc w:val="both"/>
      </w:pPr>
      <w:r>
        <w:rPr>
          <w:rStyle w:val="FootnoteReference"/>
        </w:rPr>
        <w:footnoteRef/>
      </w:r>
      <w:r>
        <w:t xml:space="preserve"> </w:t>
      </w:r>
      <w:r w:rsidRPr="00682824">
        <w:tab/>
      </w:r>
      <w:r w:rsidRPr="00DB3FEF">
        <w:rPr>
          <w:color w:val="000000"/>
          <w:sz w:val="18"/>
          <w:szCs w:val="18"/>
        </w:rPr>
        <w:t xml:space="preserve">Although there is an UEL for dusts in air, it is difficult to measure and imprecise.  Furthermore, in practice it is not generally possible to consistently maintain a dust-in-air concentration above the UEL; tests in a blender showed dust </w:t>
      </w:r>
      <w:proofErr w:type="spellStart"/>
      <w:r w:rsidRPr="00DB3FEF">
        <w:rPr>
          <w:color w:val="000000"/>
          <w:sz w:val="18"/>
          <w:szCs w:val="18"/>
        </w:rPr>
        <w:t>explosibility</w:t>
      </w:r>
      <w:proofErr w:type="spellEnd"/>
      <w:r w:rsidRPr="00DB3FEF">
        <w:rPr>
          <w:color w:val="000000"/>
          <w:sz w:val="18"/>
          <w:szCs w:val="18"/>
        </w:rPr>
        <w:t xml:space="preserve"> even when 75% filled.  In consequence, and in contrast to gases and vapours, seeking to maintain safety by operating with dust concentrations above the UEL is not generally a viable approach.</w:t>
      </w:r>
    </w:p>
  </w:footnote>
  <w:footnote w:id="7">
    <w:p w14:paraId="68013F7A" w14:textId="77777777" w:rsidR="00B128C2" w:rsidRPr="007C0C7C" w:rsidRDefault="00B128C2" w:rsidP="00DB3FEF">
      <w:pPr>
        <w:pStyle w:val="FootnoteText"/>
        <w:rPr>
          <w:lang w:val="de-DE"/>
        </w:rPr>
      </w:pPr>
      <w:r>
        <w:rPr>
          <w:lang w:val="de-DE"/>
        </w:rPr>
        <w:tab/>
      </w:r>
      <w:r w:rsidRPr="007C0C7C">
        <w:rPr>
          <w:rStyle w:val="FootnoteReference"/>
          <w:lang w:val="de-DE"/>
        </w:rPr>
        <w:t>*</w:t>
      </w:r>
      <w:r>
        <w:rPr>
          <w:lang w:val="de-DE"/>
        </w:rPr>
        <w:tab/>
      </w:r>
      <w:r w:rsidRPr="00BC2E86">
        <w:rPr>
          <w:lang w:val="de-DE"/>
        </w:rPr>
        <w:t xml:space="preserve">VDI </w:t>
      </w:r>
      <w:proofErr w:type="spellStart"/>
      <w:r w:rsidRPr="00BC2E86">
        <w:rPr>
          <w:lang w:val="de-DE"/>
        </w:rPr>
        <w:t>stands</w:t>
      </w:r>
      <w:proofErr w:type="spellEnd"/>
      <w:r w:rsidRPr="00BC2E86">
        <w:rPr>
          <w:lang w:val="de-DE"/>
        </w:rPr>
        <w:t xml:space="preserve"> </w:t>
      </w:r>
      <w:proofErr w:type="spellStart"/>
      <w:r w:rsidRPr="00BC2E86">
        <w:rPr>
          <w:lang w:val="de-DE"/>
        </w:rPr>
        <w:t>for</w:t>
      </w:r>
      <w:proofErr w:type="spellEnd"/>
      <w:r w:rsidRPr="00BC2E86">
        <w:rPr>
          <w:lang w:val="de-DE"/>
        </w:rPr>
        <w:t xml:space="preserve"> "Verein Deutscher Ingenieure"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14D8" w14:textId="274271D5" w:rsidR="00B128C2" w:rsidRPr="00DB3FEF" w:rsidRDefault="00B128C2" w:rsidP="00DB3FEF">
    <w:pPr>
      <w:pStyle w:val="Header"/>
    </w:pPr>
    <w:r>
      <w:t>ST/SG/AC.10/C.4</w:t>
    </w:r>
    <w:r w:rsidRPr="003957B4">
      <w:t>/201</w:t>
    </w:r>
    <w:r>
      <w:t>7</w:t>
    </w:r>
    <w:r w:rsidRPr="003957B4">
      <w:t>/</w:t>
    </w:r>
    <w:r w:rsidR="0015126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2771" w14:textId="177D2B6F" w:rsidR="00B128C2" w:rsidRPr="0099001C" w:rsidRDefault="00B128C2" w:rsidP="0099001C">
    <w:pPr>
      <w:pStyle w:val="Header"/>
      <w:jc w:val="right"/>
    </w:pPr>
    <w:r>
      <w:t>ST/SG/AC.10/C.4</w:t>
    </w:r>
    <w:r w:rsidRPr="003957B4">
      <w:t>/201</w:t>
    </w:r>
    <w:r>
      <w:t>7</w:t>
    </w:r>
    <w:r w:rsidRPr="003957B4">
      <w:t>/</w:t>
    </w:r>
    <w:r w:rsidR="00151260">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5CECA" w14:textId="77777777" w:rsidR="00B128C2" w:rsidRPr="004C34C3" w:rsidRDefault="00B128C2" w:rsidP="004C34C3">
    <w:r>
      <w:rPr>
        <w:noProof/>
        <w:lang w:eastAsia="en-GB"/>
      </w:rPr>
      <mc:AlternateContent>
        <mc:Choice Requires="wps">
          <w:drawing>
            <wp:anchor distT="0" distB="0" distL="114300" distR="114300" simplePos="0" relativeHeight="251660800" behindDoc="0" locked="0" layoutInCell="1" allowOverlap="1" wp14:anchorId="2687181F" wp14:editId="27B511CA">
              <wp:simplePos x="0" y="0"/>
              <wp:positionH relativeFrom="page">
                <wp:posOffset>9737725</wp:posOffset>
              </wp:positionH>
              <wp:positionV relativeFrom="margin">
                <wp:posOffset>0</wp:posOffset>
              </wp:positionV>
              <wp:extent cx="269875" cy="6120130"/>
              <wp:effectExtent l="3175"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BD1F8" w14:textId="77777777" w:rsidR="00B128C2" w:rsidRPr="0099001C" w:rsidRDefault="00B128C2" w:rsidP="004B46AB">
                          <w:pPr>
                            <w:pStyle w:val="Header"/>
                          </w:pPr>
                          <w:r w:rsidRPr="003957B4">
                            <w:t>ST/SG/AC.10/C.4/201</w:t>
                          </w:r>
                          <w:r>
                            <w:t>7/xx</w:t>
                          </w:r>
                        </w:p>
                        <w:p w14:paraId="4542F2CE" w14:textId="77777777" w:rsidR="00B128C2" w:rsidRDefault="00B128C2" w:rsidP="004B46AB"/>
                        <w:p w14:paraId="3469AF44" w14:textId="77777777" w:rsidR="00B128C2" w:rsidRDefault="00B128C2" w:rsidP="004B46A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687181F" id="_x0000_t202" coordsize="21600,21600" o:spt="202" path="m,l,21600r21600,l21600,xe">
              <v:stroke joinstyle="miter"/>
              <v:path gradientshapeok="t" o:connecttype="rect"/>
            </v:shapetype>
            <v:shape id="Text Box 4" o:spid="_x0000_s1026" type="#_x0000_t202" style="position:absolute;margin-left:766.75pt;margin-top:0;width:21.25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" stroked="f">
              <v:textbox style="layout-flow:vertical" inset="0,0,0,0">
                <w:txbxContent>
                  <w:p w14:paraId="2BCBD1F8" w14:textId="77777777" w:rsidR="00B128C2" w:rsidRPr="0099001C" w:rsidRDefault="00B128C2" w:rsidP="004B46AB">
                    <w:pPr>
                      <w:pStyle w:val="Header"/>
                    </w:pPr>
                    <w:r w:rsidRPr="003957B4">
                      <w:t>ST/SG/AC.10/C.4/201</w:t>
                    </w:r>
                    <w:r>
                      <w:t>7/xx</w:t>
                    </w:r>
                  </w:p>
                  <w:p w14:paraId="4542F2CE" w14:textId="77777777" w:rsidR="00B128C2" w:rsidRDefault="00B128C2" w:rsidP="004B46AB"/>
                  <w:p w14:paraId="3469AF44" w14:textId="77777777" w:rsidR="00B128C2" w:rsidRDefault="00B128C2" w:rsidP="004B46AB"/>
                </w:txbxContent>
              </v:textbox>
              <w10:wrap anchorx="page" anchory="margin"/>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8783285" wp14:editId="663704BC">
              <wp:simplePos x="0" y="0"/>
              <wp:positionH relativeFrom="margin">
                <wp:posOffset>-431800</wp:posOffset>
              </wp:positionH>
              <wp:positionV relativeFrom="margin">
                <wp:posOffset>0</wp:posOffset>
              </wp:positionV>
              <wp:extent cx="222885" cy="6120130"/>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77D57" w14:textId="77777777" w:rsidR="00B128C2" w:rsidRDefault="00B128C2"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C51B5D">
                            <w:rPr>
                              <w:b/>
                              <w:noProof/>
                              <w:sz w:val="18"/>
                            </w:rPr>
                            <w:t>16</w:t>
                          </w:r>
                          <w:r w:rsidRPr="0099001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783285" id="Text Box 5" o:spid="_x0000_s1027" type="#_x0000_t202" style="position:absolute;margin-left:-34pt;margin-top:0;width:17.55pt;height:48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62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Ctaw62ewIAAAYF&#10;AAAOAAAAAAAAAAAAAAAAAC4CAABkcnMvZTJvRG9jLnhtbFBLAQItABQABgAIAAAAIQDERgJn3wAA&#10;AAgBAAAPAAAAAAAAAAAAAAAAANUEAABkcnMvZG93bnJldi54bWxQSwUGAAAAAAQABADzAAAA4QUA&#10;AAAA&#10;" stroked="f">
              <v:textbox style="layout-flow:vertical" inset="0,0,0,0">
                <w:txbxContent>
                  <w:p w14:paraId="18277D57" w14:textId="77777777" w:rsidR="00B128C2" w:rsidRDefault="00B128C2"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C51B5D">
                      <w:rPr>
                        <w:b/>
                        <w:noProof/>
                        <w:sz w:val="18"/>
                      </w:rPr>
                      <w:t>16</w:t>
                    </w:r>
                    <w:r w:rsidRPr="0099001C">
                      <w:rPr>
                        <w:b/>
                        <w:sz w:val="18"/>
                      </w:rPr>
                      <w:fldChar w:fldCharType="end"/>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7B7E" w14:textId="77777777" w:rsidR="00B128C2" w:rsidRPr="004C34C3" w:rsidRDefault="00B128C2" w:rsidP="004C34C3">
    <w:r>
      <w:rPr>
        <w:noProof/>
        <w:lang w:eastAsia="en-GB"/>
      </w:rPr>
      <mc:AlternateContent>
        <mc:Choice Requires="wps">
          <w:drawing>
            <wp:anchor distT="0" distB="0" distL="114300" distR="114300" simplePos="0" relativeHeight="251662848" behindDoc="0" locked="0" layoutInCell="1" allowOverlap="1" wp14:anchorId="67BD9A21" wp14:editId="6FCECB29">
              <wp:simplePos x="0" y="0"/>
              <wp:positionH relativeFrom="page">
                <wp:posOffset>9890125</wp:posOffset>
              </wp:positionH>
              <wp:positionV relativeFrom="margin">
                <wp:posOffset>0</wp:posOffset>
              </wp:positionV>
              <wp:extent cx="269875" cy="6120130"/>
              <wp:effectExtent l="3175" t="0" r="317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30EEE" w14:textId="383CB545" w:rsidR="00B128C2" w:rsidRPr="0099001C" w:rsidRDefault="00B128C2" w:rsidP="00DB3FEF">
                          <w:pPr>
                            <w:pStyle w:val="Header"/>
                            <w:jc w:val="right"/>
                          </w:pPr>
                          <w:r w:rsidRPr="003957B4">
                            <w:t>ST/SG/AC.10/C.4/201</w:t>
                          </w:r>
                          <w:r>
                            <w:t>7/</w:t>
                          </w:r>
                          <w:r w:rsidR="00151260">
                            <w:t>3</w:t>
                          </w:r>
                        </w:p>
                        <w:p w14:paraId="78508372" w14:textId="77777777" w:rsidR="00B128C2" w:rsidRDefault="00B128C2" w:rsidP="00DB3FEF">
                          <w:pPr>
                            <w:jc w:val="right"/>
                          </w:pPr>
                        </w:p>
                        <w:p w14:paraId="43CF9517" w14:textId="77777777" w:rsidR="00B128C2" w:rsidRDefault="00B128C2" w:rsidP="00DB3FEF">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BD9A21" id="_x0000_t202" coordsize="21600,21600" o:spt="202" path="m,l,21600r21600,l21600,xe">
              <v:stroke joinstyle="miter"/>
              <v:path gradientshapeok="t" o:connecttype="rect"/>
            </v:shapetype>
            <v:shape id="Text Box 8" o:spid="_x0000_s1028" type="#_x0000_t202" style="position:absolute;margin-left:778.75pt;margin-top:0;width:21.25pt;height:48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w2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" stroked="f">
              <v:textbox style="layout-flow:vertical" inset="0,0,0,0">
                <w:txbxContent>
                  <w:p w14:paraId="28B30EEE" w14:textId="383CB545" w:rsidR="00B128C2" w:rsidRPr="0099001C" w:rsidRDefault="00B128C2" w:rsidP="00DB3FEF">
                    <w:pPr>
                      <w:pStyle w:val="Header"/>
                      <w:jc w:val="right"/>
                    </w:pPr>
                    <w:r w:rsidRPr="003957B4">
                      <w:t>ST/SG/AC.10/C.4/201</w:t>
                    </w:r>
                    <w:r>
                      <w:t>7/</w:t>
                    </w:r>
                    <w:r w:rsidR="00151260">
                      <w:t>3</w:t>
                    </w:r>
                  </w:p>
                  <w:p w14:paraId="78508372" w14:textId="77777777" w:rsidR="00B128C2" w:rsidRDefault="00B128C2" w:rsidP="00DB3FEF">
                    <w:pPr>
                      <w:jc w:val="right"/>
                    </w:pPr>
                  </w:p>
                  <w:p w14:paraId="43CF9517" w14:textId="77777777" w:rsidR="00B128C2" w:rsidRDefault="00B128C2" w:rsidP="00DB3FEF">
                    <w:pPr>
                      <w:jc w:val="right"/>
                    </w:pPr>
                  </w:p>
                </w:txbxContent>
              </v:textbox>
              <w10:wrap anchorx="page" anchory="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B54E8AA" wp14:editId="336EBCDE">
              <wp:simplePos x="0" y="0"/>
              <wp:positionH relativeFrom="margin">
                <wp:posOffset>-431800</wp:posOffset>
              </wp:positionH>
              <wp:positionV relativeFrom="margin">
                <wp:posOffset>0</wp:posOffset>
              </wp:positionV>
              <wp:extent cx="222885" cy="612013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AB923" w14:textId="1F4C8577" w:rsidR="00B128C2" w:rsidRDefault="00B128C2"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634235">
                            <w:rPr>
                              <w:b/>
                              <w:noProof/>
                              <w:sz w:val="18"/>
                            </w:rPr>
                            <w:t>15</w:t>
                          </w:r>
                          <w:r w:rsidRPr="0099001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lD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" stroked="f">
              <v:textbox style="layout-flow:vertical" inset="0,0,0,0">
                <w:txbxContent>
                  <w:p w14:paraId="03DAB923" w14:textId="1F4C8577" w:rsidR="00B128C2" w:rsidRDefault="00B128C2"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634235">
                      <w:rPr>
                        <w:b/>
                        <w:noProof/>
                        <w:sz w:val="18"/>
                      </w:rPr>
                      <w:t>15</w:t>
                    </w:r>
                    <w:r w:rsidRPr="0099001C">
                      <w:rPr>
                        <w:b/>
                        <w:sz w:val="18"/>
                      </w:rPr>
                      <w:fldChar w:fldCharType="end"/>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DBEF" w14:textId="77777777" w:rsidR="00B128C2" w:rsidRDefault="00B128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2E10" w14:textId="41CAE073" w:rsidR="00B128C2" w:rsidRPr="004C34C3" w:rsidRDefault="00B128C2" w:rsidP="004B46AB">
    <w:pPr>
      <w:pStyle w:val="Header"/>
    </w:pPr>
    <w:r w:rsidRPr="003957B4">
      <w:t>ST/SG/AC.10/C.4/201</w:t>
    </w:r>
    <w:r>
      <w:t>7</w:t>
    </w:r>
    <w:r w:rsidRPr="003957B4">
      <w:t>/</w:t>
    </w:r>
    <w:r w:rsidR="00151260">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A8CA" w14:textId="78CE845A" w:rsidR="00B128C2" w:rsidRPr="000D0349" w:rsidRDefault="00B128C2" w:rsidP="000D0349">
    <w:pPr>
      <w:pStyle w:val="Header"/>
    </w:pPr>
    <w:r w:rsidRPr="003957B4">
      <w:t>ST/SG/AC.10/C.4/201</w:t>
    </w:r>
    <w:r>
      <w:t>7</w:t>
    </w:r>
    <w:r w:rsidRPr="003957B4">
      <w:t>/</w:t>
    </w:r>
    <w:r w:rsidR="0015126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66AA0"/>
    <w:lvl w:ilvl="0">
      <w:start w:val="1"/>
      <w:numFmt w:val="decimal"/>
      <w:lvlText w:val="%1."/>
      <w:lvlJc w:val="left"/>
      <w:pPr>
        <w:tabs>
          <w:tab w:val="num" w:pos="1209"/>
        </w:tabs>
        <w:ind w:left="1209" w:hanging="360"/>
      </w:pPr>
    </w:lvl>
  </w:abstractNum>
  <w:abstractNum w:abstractNumId="2">
    <w:nsid w:val="FFFFFF7E"/>
    <w:multiLevelType w:val="singleLevel"/>
    <w:tmpl w:val="6D666984"/>
    <w:lvl w:ilvl="0">
      <w:start w:val="1"/>
      <w:numFmt w:val="decimal"/>
      <w:lvlText w:val="%1."/>
      <w:lvlJc w:val="left"/>
      <w:pPr>
        <w:tabs>
          <w:tab w:val="num" w:pos="926"/>
        </w:tabs>
        <w:ind w:left="926" w:hanging="360"/>
      </w:pPr>
    </w:lvl>
  </w:abstractNum>
  <w:abstractNum w:abstractNumId="3">
    <w:nsid w:val="FFFFFF7F"/>
    <w:multiLevelType w:val="singleLevel"/>
    <w:tmpl w:val="164CA0B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861F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6C0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389F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98B11C"/>
    <w:lvl w:ilvl="0">
      <w:start w:val="1"/>
      <w:numFmt w:val="decimal"/>
      <w:lvlText w:val="%1."/>
      <w:lvlJc w:val="left"/>
      <w:pPr>
        <w:tabs>
          <w:tab w:val="num" w:pos="360"/>
        </w:tabs>
        <w:ind w:left="360" w:hanging="360"/>
      </w:pPr>
    </w:lvl>
  </w:abstractNum>
  <w:abstractNum w:abstractNumId="9">
    <w:nsid w:val="FFFFFF89"/>
    <w:multiLevelType w:val="singleLevel"/>
    <w:tmpl w:val="6FA46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944AB5"/>
    <w:multiLevelType w:val="hybridMultilevel"/>
    <w:tmpl w:val="4EBCF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FAF3A98"/>
    <w:multiLevelType w:val="multilevel"/>
    <w:tmpl w:val="3C9EF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5"/>
  </w:num>
  <w:num w:numId="3">
    <w:abstractNumId w:val="13"/>
  </w:num>
  <w:num w:numId="4">
    <w:abstractNumId w:val="11"/>
  </w:num>
  <w:num w:numId="5">
    <w:abstractNumId w:val="16"/>
  </w:num>
  <w:num w:numId="6">
    <w:abstractNumId w:val="4"/>
  </w:num>
  <w:num w:numId="7">
    <w:abstractNumId w:val="9"/>
  </w:num>
  <w:num w:numId="8">
    <w:abstractNumId w:val="0"/>
  </w:num>
  <w:num w:numId="9">
    <w:abstractNumId w:val="12"/>
  </w:num>
  <w:num w:numId="10">
    <w:abstractNumId w:val="7"/>
  </w:num>
  <w:num w:numId="11">
    <w:abstractNumId w:val="6"/>
  </w:num>
  <w:num w:numId="12">
    <w:abstractNumId w:val="5"/>
  </w:num>
  <w:num w:numId="13">
    <w:abstractNumId w:val="8"/>
  </w:num>
  <w:num w:numId="14">
    <w:abstractNumId w:val="3"/>
  </w:num>
  <w:num w:numId="15">
    <w:abstractNumId w:val="2"/>
  </w:num>
  <w:num w:numId="16">
    <w:abstractNumId w:val="1"/>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0"/>
  <w:activeWritingStyle w:appName="MSWord" w:lang="fr-BE"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10944"/>
    <w:rsid w:val="000134BD"/>
    <w:rsid w:val="00023BCD"/>
    <w:rsid w:val="00033B3D"/>
    <w:rsid w:val="00050F6B"/>
    <w:rsid w:val="00072C8C"/>
    <w:rsid w:val="0008017F"/>
    <w:rsid w:val="00081647"/>
    <w:rsid w:val="00081D44"/>
    <w:rsid w:val="0008354D"/>
    <w:rsid w:val="000931C0"/>
    <w:rsid w:val="000B175B"/>
    <w:rsid w:val="000B3A0F"/>
    <w:rsid w:val="000B3B59"/>
    <w:rsid w:val="000B4D15"/>
    <w:rsid w:val="000C6544"/>
    <w:rsid w:val="000D0349"/>
    <w:rsid w:val="000D10AA"/>
    <w:rsid w:val="000D657A"/>
    <w:rsid w:val="000D69C0"/>
    <w:rsid w:val="000E0415"/>
    <w:rsid w:val="001062CF"/>
    <w:rsid w:val="001220B8"/>
    <w:rsid w:val="001346AA"/>
    <w:rsid w:val="00143A3E"/>
    <w:rsid w:val="00151260"/>
    <w:rsid w:val="00156F3C"/>
    <w:rsid w:val="00162BF7"/>
    <w:rsid w:val="0017260B"/>
    <w:rsid w:val="00181E71"/>
    <w:rsid w:val="00183B43"/>
    <w:rsid w:val="00190AEA"/>
    <w:rsid w:val="00196671"/>
    <w:rsid w:val="001B4B04"/>
    <w:rsid w:val="001C5B99"/>
    <w:rsid w:val="001C6663"/>
    <w:rsid w:val="001C7895"/>
    <w:rsid w:val="001D26DF"/>
    <w:rsid w:val="001D288E"/>
    <w:rsid w:val="001D5F8C"/>
    <w:rsid w:val="001D7876"/>
    <w:rsid w:val="001E47FD"/>
    <w:rsid w:val="001E5C39"/>
    <w:rsid w:val="001F0443"/>
    <w:rsid w:val="0020759A"/>
    <w:rsid w:val="00207C5B"/>
    <w:rsid w:val="00211E0B"/>
    <w:rsid w:val="00216F08"/>
    <w:rsid w:val="002405A7"/>
    <w:rsid w:val="00244791"/>
    <w:rsid w:val="0025322D"/>
    <w:rsid w:val="00257E45"/>
    <w:rsid w:val="00262488"/>
    <w:rsid w:val="002666A4"/>
    <w:rsid w:val="002859C6"/>
    <w:rsid w:val="00294D29"/>
    <w:rsid w:val="002D59D3"/>
    <w:rsid w:val="003107FA"/>
    <w:rsid w:val="003127A2"/>
    <w:rsid w:val="00315A85"/>
    <w:rsid w:val="003229D8"/>
    <w:rsid w:val="0033745A"/>
    <w:rsid w:val="00351252"/>
    <w:rsid w:val="003610E9"/>
    <w:rsid w:val="003642AF"/>
    <w:rsid w:val="00365CBB"/>
    <w:rsid w:val="00366CA7"/>
    <w:rsid w:val="00373601"/>
    <w:rsid w:val="00375E0F"/>
    <w:rsid w:val="0039277A"/>
    <w:rsid w:val="003957B4"/>
    <w:rsid w:val="003972E0"/>
    <w:rsid w:val="003C2CC4"/>
    <w:rsid w:val="003C3936"/>
    <w:rsid w:val="003C61C4"/>
    <w:rsid w:val="003D1DD3"/>
    <w:rsid w:val="003D4B23"/>
    <w:rsid w:val="003D647D"/>
    <w:rsid w:val="003F1ED3"/>
    <w:rsid w:val="00401E79"/>
    <w:rsid w:val="004325CB"/>
    <w:rsid w:val="00436B90"/>
    <w:rsid w:val="00446DE4"/>
    <w:rsid w:val="00460DD9"/>
    <w:rsid w:val="00467F71"/>
    <w:rsid w:val="004A41CA"/>
    <w:rsid w:val="004B2FB5"/>
    <w:rsid w:val="004B46AB"/>
    <w:rsid w:val="004C34C3"/>
    <w:rsid w:val="004E7ED6"/>
    <w:rsid w:val="00503228"/>
    <w:rsid w:val="00503F54"/>
    <w:rsid w:val="00505384"/>
    <w:rsid w:val="005229FD"/>
    <w:rsid w:val="00522BFA"/>
    <w:rsid w:val="00531734"/>
    <w:rsid w:val="00532EF8"/>
    <w:rsid w:val="005420F2"/>
    <w:rsid w:val="005713A6"/>
    <w:rsid w:val="0059076E"/>
    <w:rsid w:val="005B2C89"/>
    <w:rsid w:val="005B3DB3"/>
    <w:rsid w:val="005C3439"/>
    <w:rsid w:val="005E22FE"/>
    <w:rsid w:val="00607EC8"/>
    <w:rsid w:val="00611FC4"/>
    <w:rsid w:val="006176FB"/>
    <w:rsid w:val="006226DE"/>
    <w:rsid w:val="00627ED0"/>
    <w:rsid w:val="00634235"/>
    <w:rsid w:val="00636FC1"/>
    <w:rsid w:val="00640B26"/>
    <w:rsid w:val="00645012"/>
    <w:rsid w:val="00646FAB"/>
    <w:rsid w:val="00647B08"/>
    <w:rsid w:val="0066155E"/>
    <w:rsid w:val="00665595"/>
    <w:rsid w:val="00675F67"/>
    <w:rsid w:val="00691F20"/>
    <w:rsid w:val="00692AD4"/>
    <w:rsid w:val="00693543"/>
    <w:rsid w:val="006A68DA"/>
    <w:rsid w:val="006A7392"/>
    <w:rsid w:val="006A7757"/>
    <w:rsid w:val="006D3A49"/>
    <w:rsid w:val="006E564B"/>
    <w:rsid w:val="006F1C86"/>
    <w:rsid w:val="006F6791"/>
    <w:rsid w:val="00701C1E"/>
    <w:rsid w:val="00701DF5"/>
    <w:rsid w:val="0071349F"/>
    <w:rsid w:val="007154F7"/>
    <w:rsid w:val="00717EC9"/>
    <w:rsid w:val="00720DEB"/>
    <w:rsid w:val="007216D1"/>
    <w:rsid w:val="007232E8"/>
    <w:rsid w:val="0072632A"/>
    <w:rsid w:val="00730DA7"/>
    <w:rsid w:val="00733AAE"/>
    <w:rsid w:val="007525A4"/>
    <w:rsid w:val="00771D5B"/>
    <w:rsid w:val="00781A60"/>
    <w:rsid w:val="007822D6"/>
    <w:rsid w:val="007A0B22"/>
    <w:rsid w:val="007B6BA5"/>
    <w:rsid w:val="007C3390"/>
    <w:rsid w:val="007C4F4B"/>
    <w:rsid w:val="007D6A9F"/>
    <w:rsid w:val="007E55FC"/>
    <w:rsid w:val="007F0B83"/>
    <w:rsid w:val="007F48EF"/>
    <w:rsid w:val="007F4FCD"/>
    <w:rsid w:val="007F6611"/>
    <w:rsid w:val="00805903"/>
    <w:rsid w:val="0081732C"/>
    <w:rsid w:val="008175E9"/>
    <w:rsid w:val="00823D9A"/>
    <w:rsid w:val="008242D7"/>
    <w:rsid w:val="00827E05"/>
    <w:rsid w:val="008311A3"/>
    <w:rsid w:val="00836AF7"/>
    <w:rsid w:val="0084664A"/>
    <w:rsid w:val="00856C41"/>
    <w:rsid w:val="00871FD5"/>
    <w:rsid w:val="00875D6F"/>
    <w:rsid w:val="008979B1"/>
    <w:rsid w:val="008A231F"/>
    <w:rsid w:val="008A6B25"/>
    <w:rsid w:val="008A6C4F"/>
    <w:rsid w:val="008B1FE0"/>
    <w:rsid w:val="008B675F"/>
    <w:rsid w:val="008B6E26"/>
    <w:rsid w:val="008E0E46"/>
    <w:rsid w:val="008E4C4C"/>
    <w:rsid w:val="00900C3F"/>
    <w:rsid w:val="00907AD2"/>
    <w:rsid w:val="00911047"/>
    <w:rsid w:val="00921554"/>
    <w:rsid w:val="00963CBA"/>
    <w:rsid w:val="009650E6"/>
    <w:rsid w:val="00974A8D"/>
    <w:rsid w:val="00983648"/>
    <w:rsid w:val="0099001C"/>
    <w:rsid w:val="00991261"/>
    <w:rsid w:val="009937EC"/>
    <w:rsid w:val="00994055"/>
    <w:rsid w:val="00997D92"/>
    <w:rsid w:val="009B543D"/>
    <w:rsid w:val="009D78F7"/>
    <w:rsid w:val="009F3A17"/>
    <w:rsid w:val="009F3D53"/>
    <w:rsid w:val="009F69D2"/>
    <w:rsid w:val="00A1427D"/>
    <w:rsid w:val="00A206E2"/>
    <w:rsid w:val="00A355A3"/>
    <w:rsid w:val="00A50C07"/>
    <w:rsid w:val="00A51CC4"/>
    <w:rsid w:val="00A52F7D"/>
    <w:rsid w:val="00A55FB2"/>
    <w:rsid w:val="00A658BD"/>
    <w:rsid w:val="00A72F22"/>
    <w:rsid w:val="00A748A6"/>
    <w:rsid w:val="00A7539A"/>
    <w:rsid w:val="00A80459"/>
    <w:rsid w:val="00A805EB"/>
    <w:rsid w:val="00A82449"/>
    <w:rsid w:val="00A879A4"/>
    <w:rsid w:val="00AA496B"/>
    <w:rsid w:val="00AE71F3"/>
    <w:rsid w:val="00AF6F59"/>
    <w:rsid w:val="00B02751"/>
    <w:rsid w:val="00B11F74"/>
    <w:rsid w:val="00B128C2"/>
    <w:rsid w:val="00B30179"/>
    <w:rsid w:val="00B30E8F"/>
    <w:rsid w:val="00B33EC0"/>
    <w:rsid w:val="00B36766"/>
    <w:rsid w:val="00B379E6"/>
    <w:rsid w:val="00B416C0"/>
    <w:rsid w:val="00B628F3"/>
    <w:rsid w:val="00B81E12"/>
    <w:rsid w:val="00B9132F"/>
    <w:rsid w:val="00B94409"/>
    <w:rsid w:val="00B96415"/>
    <w:rsid w:val="00B97D28"/>
    <w:rsid w:val="00BB07EF"/>
    <w:rsid w:val="00BC74E9"/>
    <w:rsid w:val="00BD2146"/>
    <w:rsid w:val="00BE4F74"/>
    <w:rsid w:val="00BE618E"/>
    <w:rsid w:val="00BF2E35"/>
    <w:rsid w:val="00C121DC"/>
    <w:rsid w:val="00C17699"/>
    <w:rsid w:val="00C1778D"/>
    <w:rsid w:val="00C2533D"/>
    <w:rsid w:val="00C41A28"/>
    <w:rsid w:val="00C463DD"/>
    <w:rsid w:val="00C51B5D"/>
    <w:rsid w:val="00C6661D"/>
    <w:rsid w:val="00C742C9"/>
    <w:rsid w:val="00C745C3"/>
    <w:rsid w:val="00C76F68"/>
    <w:rsid w:val="00C945EB"/>
    <w:rsid w:val="00CA2452"/>
    <w:rsid w:val="00CA3908"/>
    <w:rsid w:val="00CA7F6E"/>
    <w:rsid w:val="00CE4A8F"/>
    <w:rsid w:val="00D055EB"/>
    <w:rsid w:val="00D12E24"/>
    <w:rsid w:val="00D13B68"/>
    <w:rsid w:val="00D13DCC"/>
    <w:rsid w:val="00D2031B"/>
    <w:rsid w:val="00D25FE2"/>
    <w:rsid w:val="00D3064C"/>
    <w:rsid w:val="00D317BB"/>
    <w:rsid w:val="00D35D8F"/>
    <w:rsid w:val="00D43252"/>
    <w:rsid w:val="00D563BA"/>
    <w:rsid w:val="00D63881"/>
    <w:rsid w:val="00D87808"/>
    <w:rsid w:val="00D978C6"/>
    <w:rsid w:val="00DA67AD"/>
    <w:rsid w:val="00DA76F4"/>
    <w:rsid w:val="00DB3FEF"/>
    <w:rsid w:val="00DB5D0F"/>
    <w:rsid w:val="00DC3242"/>
    <w:rsid w:val="00DE4920"/>
    <w:rsid w:val="00DE7F20"/>
    <w:rsid w:val="00DF12F7"/>
    <w:rsid w:val="00DF2C64"/>
    <w:rsid w:val="00E02C81"/>
    <w:rsid w:val="00E04A75"/>
    <w:rsid w:val="00E06EAB"/>
    <w:rsid w:val="00E130AB"/>
    <w:rsid w:val="00E31C87"/>
    <w:rsid w:val="00E37B6B"/>
    <w:rsid w:val="00E403BC"/>
    <w:rsid w:val="00E70DF5"/>
    <w:rsid w:val="00E7260F"/>
    <w:rsid w:val="00E7606D"/>
    <w:rsid w:val="00E80F5F"/>
    <w:rsid w:val="00E87629"/>
    <w:rsid w:val="00E87921"/>
    <w:rsid w:val="00E941A2"/>
    <w:rsid w:val="00E96630"/>
    <w:rsid w:val="00EA264E"/>
    <w:rsid w:val="00EA3A41"/>
    <w:rsid w:val="00EC71A2"/>
    <w:rsid w:val="00ED71D9"/>
    <w:rsid w:val="00ED7A2A"/>
    <w:rsid w:val="00EF1D7F"/>
    <w:rsid w:val="00F2231B"/>
    <w:rsid w:val="00F30873"/>
    <w:rsid w:val="00F53EDA"/>
    <w:rsid w:val="00F77016"/>
    <w:rsid w:val="00F7753D"/>
    <w:rsid w:val="00F85F34"/>
    <w:rsid w:val="00FA06F7"/>
    <w:rsid w:val="00FB171A"/>
    <w:rsid w:val="00FB528C"/>
    <w:rsid w:val="00FC09B8"/>
    <w:rsid w:val="00FC68B7"/>
    <w:rsid w:val="00FD4F7E"/>
    <w:rsid w:val="00FD7BF6"/>
    <w:rsid w:val="00FF2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9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EF"/>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 w:type="paragraph" w:styleId="ListBullet">
    <w:name w:val="List Bullet"/>
    <w:basedOn w:val="Normal"/>
    <w:rsid w:val="00DB3FEF"/>
    <w:pPr>
      <w:numPr>
        <w:numId w:val="7"/>
      </w:numPr>
      <w:contextualSpacing/>
    </w:pPr>
  </w:style>
  <w:style w:type="character" w:styleId="CommentReference">
    <w:name w:val="annotation reference"/>
    <w:uiPriority w:val="99"/>
    <w:rsid w:val="00DB3FEF"/>
    <w:rPr>
      <w:sz w:val="6"/>
    </w:rPr>
  </w:style>
  <w:style w:type="paragraph" w:styleId="CommentText">
    <w:name w:val="annotation text"/>
    <w:basedOn w:val="Normal"/>
    <w:link w:val="CommentTextChar"/>
    <w:uiPriority w:val="99"/>
    <w:rsid w:val="00DB3FEF"/>
  </w:style>
  <w:style w:type="character" w:customStyle="1" w:styleId="CommentTextChar">
    <w:name w:val="Comment Text Char"/>
    <w:basedOn w:val="DefaultParagraphFont"/>
    <w:link w:val="CommentText"/>
    <w:uiPriority w:val="99"/>
    <w:rsid w:val="00DB3FEF"/>
    <w:rPr>
      <w:lang w:eastAsia="en-US"/>
    </w:rPr>
  </w:style>
  <w:style w:type="character" w:styleId="Emphasis">
    <w:name w:val="Emphasis"/>
    <w:uiPriority w:val="20"/>
    <w:qFormat/>
    <w:rsid w:val="00DB3FEF"/>
    <w:rPr>
      <w:i/>
      <w:iCs/>
    </w:rPr>
  </w:style>
  <w:style w:type="paragraph" w:styleId="List">
    <w:name w:val="List"/>
    <w:basedOn w:val="Normal"/>
    <w:rsid w:val="00DB3FEF"/>
    <w:pPr>
      <w:ind w:left="283" w:hanging="283"/>
    </w:pPr>
  </w:style>
  <w:style w:type="paragraph" w:styleId="ListNumber5">
    <w:name w:val="List Number 5"/>
    <w:basedOn w:val="Normal"/>
    <w:rsid w:val="00DB3FEF"/>
    <w:pPr>
      <w:numPr>
        <w:numId w:val="8"/>
      </w:numPr>
    </w:pPr>
  </w:style>
  <w:style w:type="paragraph" w:styleId="NormalIndent">
    <w:name w:val="Normal Indent"/>
    <w:basedOn w:val="Normal"/>
    <w:uiPriority w:val="99"/>
    <w:rsid w:val="00DB3FEF"/>
    <w:pPr>
      <w:ind w:left="567"/>
    </w:pPr>
  </w:style>
  <w:style w:type="paragraph" w:styleId="ListParagraph">
    <w:name w:val="List Paragraph"/>
    <w:basedOn w:val="Normal"/>
    <w:uiPriority w:val="34"/>
    <w:qFormat/>
    <w:rsid w:val="00DB3FEF"/>
    <w:pPr>
      <w:suppressAutoHyphens w:val="0"/>
      <w:spacing w:line="240" w:lineRule="auto"/>
      <w:ind w:left="720"/>
      <w:contextualSpacing/>
    </w:pPr>
    <w:rPr>
      <w:rFonts w:eastAsia="Calibri"/>
      <w:noProof/>
      <w:sz w:val="24"/>
      <w:szCs w:val="22"/>
      <w:lang w:val="en-US"/>
    </w:rPr>
  </w:style>
  <w:style w:type="paragraph" w:styleId="CommentSubject">
    <w:name w:val="annotation subject"/>
    <w:basedOn w:val="CommentText"/>
    <w:next w:val="CommentText"/>
    <w:link w:val="CommentSubjectChar"/>
    <w:semiHidden/>
    <w:unhideWhenUsed/>
    <w:rsid w:val="001F0443"/>
    <w:pPr>
      <w:spacing w:line="240" w:lineRule="auto"/>
    </w:pPr>
    <w:rPr>
      <w:b/>
      <w:bCs/>
    </w:rPr>
  </w:style>
  <w:style w:type="character" w:customStyle="1" w:styleId="CommentSubjectChar">
    <w:name w:val="Comment Subject Char"/>
    <w:basedOn w:val="CommentTextChar"/>
    <w:link w:val="CommentSubject"/>
    <w:semiHidden/>
    <w:rsid w:val="001F04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EF"/>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 w:type="paragraph" w:styleId="ListBullet">
    <w:name w:val="List Bullet"/>
    <w:basedOn w:val="Normal"/>
    <w:rsid w:val="00DB3FEF"/>
    <w:pPr>
      <w:numPr>
        <w:numId w:val="7"/>
      </w:numPr>
      <w:contextualSpacing/>
    </w:pPr>
  </w:style>
  <w:style w:type="character" w:styleId="CommentReference">
    <w:name w:val="annotation reference"/>
    <w:uiPriority w:val="99"/>
    <w:rsid w:val="00DB3FEF"/>
    <w:rPr>
      <w:sz w:val="6"/>
    </w:rPr>
  </w:style>
  <w:style w:type="paragraph" w:styleId="CommentText">
    <w:name w:val="annotation text"/>
    <w:basedOn w:val="Normal"/>
    <w:link w:val="CommentTextChar"/>
    <w:uiPriority w:val="99"/>
    <w:rsid w:val="00DB3FEF"/>
  </w:style>
  <w:style w:type="character" w:customStyle="1" w:styleId="CommentTextChar">
    <w:name w:val="Comment Text Char"/>
    <w:basedOn w:val="DefaultParagraphFont"/>
    <w:link w:val="CommentText"/>
    <w:uiPriority w:val="99"/>
    <w:rsid w:val="00DB3FEF"/>
    <w:rPr>
      <w:lang w:eastAsia="en-US"/>
    </w:rPr>
  </w:style>
  <w:style w:type="character" w:styleId="Emphasis">
    <w:name w:val="Emphasis"/>
    <w:uiPriority w:val="20"/>
    <w:qFormat/>
    <w:rsid w:val="00DB3FEF"/>
    <w:rPr>
      <w:i/>
      <w:iCs/>
    </w:rPr>
  </w:style>
  <w:style w:type="paragraph" w:styleId="List">
    <w:name w:val="List"/>
    <w:basedOn w:val="Normal"/>
    <w:rsid w:val="00DB3FEF"/>
    <w:pPr>
      <w:ind w:left="283" w:hanging="283"/>
    </w:pPr>
  </w:style>
  <w:style w:type="paragraph" w:styleId="ListNumber5">
    <w:name w:val="List Number 5"/>
    <w:basedOn w:val="Normal"/>
    <w:rsid w:val="00DB3FEF"/>
    <w:pPr>
      <w:numPr>
        <w:numId w:val="8"/>
      </w:numPr>
    </w:pPr>
  </w:style>
  <w:style w:type="paragraph" w:styleId="NormalIndent">
    <w:name w:val="Normal Indent"/>
    <w:basedOn w:val="Normal"/>
    <w:uiPriority w:val="99"/>
    <w:rsid w:val="00DB3FEF"/>
    <w:pPr>
      <w:ind w:left="567"/>
    </w:pPr>
  </w:style>
  <w:style w:type="paragraph" w:styleId="ListParagraph">
    <w:name w:val="List Paragraph"/>
    <w:basedOn w:val="Normal"/>
    <w:uiPriority w:val="34"/>
    <w:qFormat/>
    <w:rsid w:val="00DB3FEF"/>
    <w:pPr>
      <w:suppressAutoHyphens w:val="0"/>
      <w:spacing w:line="240" w:lineRule="auto"/>
      <w:ind w:left="720"/>
      <w:contextualSpacing/>
    </w:pPr>
    <w:rPr>
      <w:rFonts w:eastAsia="Calibri"/>
      <w:noProof/>
      <w:sz w:val="24"/>
      <w:szCs w:val="22"/>
      <w:lang w:val="en-US"/>
    </w:rPr>
  </w:style>
  <w:style w:type="paragraph" w:styleId="CommentSubject">
    <w:name w:val="annotation subject"/>
    <w:basedOn w:val="CommentText"/>
    <w:next w:val="CommentText"/>
    <w:link w:val="CommentSubjectChar"/>
    <w:semiHidden/>
    <w:unhideWhenUsed/>
    <w:rsid w:val="001F0443"/>
    <w:pPr>
      <w:spacing w:line="240" w:lineRule="auto"/>
    </w:pPr>
    <w:rPr>
      <w:b/>
      <w:bCs/>
    </w:rPr>
  </w:style>
  <w:style w:type="character" w:customStyle="1" w:styleId="CommentSubjectChar">
    <w:name w:val="Comment Subject Char"/>
    <w:basedOn w:val="CommentTextChar"/>
    <w:link w:val="CommentSubject"/>
    <w:semiHidden/>
    <w:rsid w:val="001F04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7596-D656-4007-A8E8-F75FA3C3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22</TotalTime>
  <Pages>18</Pages>
  <Words>5736</Words>
  <Characters>32698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9</cp:revision>
  <cp:lastPrinted>2017-04-25T09:01:00Z</cp:lastPrinted>
  <dcterms:created xsi:type="dcterms:W3CDTF">2017-04-24T17:24:00Z</dcterms:created>
  <dcterms:modified xsi:type="dcterms:W3CDTF">2017-04-25T09:45:00Z</dcterms:modified>
</cp:coreProperties>
</file>