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0B0348">
              <w:rPr>
                <w:b/>
                <w:sz w:val="40"/>
                <w:szCs w:val="40"/>
                <w:lang w:val="fr-CH"/>
              </w:rPr>
              <w:t>7</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0E23BE">
              <w:rPr>
                <w:b/>
                <w:sz w:val="40"/>
                <w:szCs w:val="40"/>
                <w:lang w:val="fr-CH"/>
              </w:rPr>
              <w:t>4</w:t>
            </w:r>
            <w:r w:rsidRPr="00CE2F07">
              <w:rPr>
                <w:b/>
                <w:sz w:val="40"/>
                <w:szCs w:val="40"/>
                <w:lang w:val="fr-CH"/>
              </w:rPr>
              <w:t>/INF.</w:t>
            </w:r>
            <w:r w:rsidR="000B0348">
              <w:rPr>
                <w:b/>
                <w:sz w:val="40"/>
                <w:szCs w:val="40"/>
                <w:lang w:val="fr-CH"/>
              </w:rPr>
              <w:t>4</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0B034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0B0348">
              <w:rPr>
                <w:b/>
              </w:rPr>
              <w:t>12 October</w:t>
            </w:r>
            <w:r w:rsidR="000E23BE" w:rsidRPr="00B35D5F">
              <w:rPr>
                <w:b/>
              </w:rPr>
              <w:t xml:space="preserve"> 2017</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0E23BE">
              <w:rPr>
                <w:b/>
              </w:rPr>
              <w:t>second</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0E23BE">
            <w:pPr>
              <w:spacing w:before="120"/>
              <w:rPr>
                <w:b/>
                <w:highlight w:val="yellow"/>
              </w:rPr>
            </w:pPr>
            <w:r w:rsidRPr="00EF18D3">
              <w:rPr>
                <w:b/>
              </w:rPr>
              <w:t>Thirty-</w:t>
            </w:r>
            <w:r w:rsidR="000E23BE">
              <w:rPr>
                <w:b/>
              </w:rPr>
              <w:t>fourth</w:t>
            </w:r>
            <w:r w:rsidR="00645A0B" w:rsidRPr="00EF18D3">
              <w:rPr>
                <w:b/>
              </w:rPr>
              <w:t xml:space="preserve"> session</w:t>
            </w:r>
          </w:p>
        </w:tc>
      </w:tr>
      <w:tr w:rsidR="00645A0B" w:rsidRPr="00EF18D3" w:rsidTr="00165735">
        <w:tc>
          <w:tcPr>
            <w:tcW w:w="4652" w:type="dxa"/>
            <w:tcMar>
              <w:top w:w="28" w:type="dxa"/>
              <w:left w:w="108" w:type="dxa"/>
              <w:bottom w:w="0" w:type="dxa"/>
              <w:right w:w="108" w:type="dxa"/>
            </w:tcMar>
          </w:tcPr>
          <w:p w:rsidR="00833EC7" w:rsidRDefault="00833EC7" w:rsidP="00833EC7">
            <w:pPr>
              <w:tabs>
                <w:tab w:val="left" w:pos="0"/>
                <w:tab w:val="left" w:pos="6361"/>
                <w:tab w:val="left" w:pos="6939"/>
              </w:tabs>
              <w:spacing w:before="40"/>
              <w:ind w:left="34" w:hanging="34"/>
              <w:outlineLvl w:val="0"/>
              <w:rPr>
                <w:bCs/>
              </w:rPr>
            </w:pPr>
            <w:r>
              <w:rPr>
                <w:bCs/>
              </w:rPr>
              <w:t xml:space="preserve">Geneva, </w:t>
            </w:r>
            <w:r w:rsidR="000E23BE">
              <w:rPr>
                <w:bCs/>
              </w:rPr>
              <w:t>26 November</w:t>
            </w:r>
            <w:r w:rsidR="00D636B4">
              <w:rPr>
                <w:bCs/>
              </w:rPr>
              <w:t xml:space="preserve"> </w:t>
            </w:r>
            <w:r w:rsidR="000E23BE">
              <w:rPr>
                <w:bCs/>
              </w:rPr>
              <w:t>-</w:t>
            </w:r>
            <w:r w:rsidR="00D636B4">
              <w:rPr>
                <w:bCs/>
              </w:rPr>
              <w:t xml:space="preserve"> </w:t>
            </w:r>
            <w:r w:rsidR="000E23BE">
              <w:rPr>
                <w:bCs/>
              </w:rPr>
              <w:t>6</w:t>
            </w:r>
            <w:r w:rsidR="003063E9">
              <w:rPr>
                <w:bCs/>
              </w:rPr>
              <w:t xml:space="preserve"> </w:t>
            </w:r>
            <w:r w:rsidR="000E23BE">
              <w:rPr>
                <w:bCs/>
              </w:rPr>
              <w:t>December 2017</w:t>
            </w:r>
          </w:p>
          <w:p w:rsidR="003A4561" w:rsidRDefault="003A4561" w:rsidP="003A4561">
            <w:pPr>
              <w:tabs>
                <w:tab w:val="left" w:pos="-10"/>
              </w:tabs>
              <w:spacing w:before="40"/>
              <w:ind w:left="34" w:hanging="34"/>
            </w:pPr>
            <w:r>
              <w:t xml:space="preserve">Item </w:t>
            </w:r>
            <w:r w:rsidR="000B0348">
              <w:t>2 (e)</w:t>
            </w:r>
            <w:r>
              <w:t xml:space="preserve"> of the provisional agenda</w:t>
            </w:r>
          </w:p>
          <w:p w:rsidR="00645A0B" w:rsidRPr="000B0348" w:rsidRDefault="000B0348" w:rsidP="000B0348">
            <w:pPr>
              <w:spacing w:before="40"/>
              <w:rPr>
                <w:b/>
                <w:bCs/>
              </w:rPr>
            </w:pPr>
            <w:r w:rsidRPr="000B0348">
              <w:rPr>
                <w:b/>
              </w:rPr>
              <w:t xml:space="preserve">Explosives and related matters: </w:t>
            </w:r>
            <w:r w:rsidRPr="000B0348">
              <w:rPr>
                <w:b/>
              </w:rPr>
              <w:br/>
              <w:t>stability tests for industrial nitrocellulose</w:t>
            </w:r>
          </w:p>
        </w:tc>
        <w:tc>
          <w:tcPr>
            <w:tcW w:w="4993" w:type="dxa"/>
            <w:tcMar>
              <w:top w:w="28" w:type="dxa"/>
              <w:left w:w="108" w:type="dxa"/>
              <w:bottom w:w="0" w:type="dxa"/>
              <w:right w:w="108" w:type="dxa"/>
            </w:tcMar>
          </w:tcPr>
          <w:p w:rsidR="00833EC7" w:rsidRPr="001039FD" w:rsidRDefault="00833EC7" w:rsidP="00833EC7">
            <w:pPr>
              <w:jc w:val="both"/>
            </w:pPr>
            <w:r w:rsidRPr="001039FD">
              <w:t xml:space="preserve">Geneva, </w:t>
            </w:r>
            <w:r w:rsidR="000E23BE">
              <w:t>6-8 December 2017</w:t>
            </w:r>
          </w:p>
          <w:p w:rsidR="003A4561" w:rsidRPr="001039FD" w:rsidRDefault="003A4561" w:rsidP="003A4561">
            <w:pPr>
              <w:spacing w:before="40"/>
            </w:pPr>
            <w:r w:rsidRPr="001039FD">
              <w:t xml:space="preserve">Item </w:t>
            </w:r>
            <w:r>
              <w:t xml:space="preserve">2 (a) </w:t>
            </w:r>
            <w:r w:rsidRPr="001039FD">
              <w:t>of the provisional agenda</w:t>
            </w:r>
          </w:p>
          <w:p w:rsidR="00645A0B" w:rsidRPr="000B0348" w:rsidRDefault="000B0348" w:rsidP="003A4561">
            <w:pPr>
              <w:spacing w:before="40"/>
              <w:rPr>
                <w:b/>
                <w:bCs/>
              </w:rPr>
            </w:pPr>
            <w:r w:rsidRPr="000B0348">
              <w:rPr>
                <w:b/>
              </w:rPr>
              <w:t>Classification criteria and related hazard communication:</w:t>
            </w:r>
            <w:r w:rsidRPr="000B0348">
              <w:rPr>
                <w:b/>
              </w:rPr>
              <w:br/>
              <w:t>work of the Sub-Committee of Experts on the Transport of Dangerous Goods (TDG) on matters of interest to the GHS Sub-Committee</w:t>
            </w:r>
          </w:p>
        </w:tc>
      </w:tr>
    </w:tbl>
    <w:p w:rsidR="000B0348" w:rsidRPr="0083343A" w:rsidRDefault="000B0348" w:rsidP="000B0348">
      <w:pPr>
        <w:pStyle w:val="HChG"/>
      </w:pPr>
      <w:r>
        <w:tab/>
      </w:r>
      <w:r>
        <w:tab/>
      </w:r>
      <w:r w:rsidRPr="0083343A">
        <w:t>Classification of desensitized explosives for the purposes of supply and use</w:t>
      </w:r>
      <w:r w:rsidRPr="001F3C66">
        <w:rPr>
          <w:lang w:val="en-US"/>
        </w:rPr>
        <w:t xml:space="preserve"> according to UN GHS chapter 2.</w:t>
      </w:r>
      <w:r>
        <w:rPr>
          <w:lang w:val="en-US"/>
        </w:rPr>
        <w:t>17</w:t>
      </w:r>
      <w:r>
        <w:t xml:space="preserve">: </w:t>
      </w:r>
      <w:r w:rsidRPr="0083343A">
        <w:t>Test results on industrial nitrocellulose</w:t>
      </w:r>
    </w:p>
    <w:p w:rsidR="000B0348" w:rsidRPr="0083343A" w:rsidRDefault="000B0348" w:rsidP="000B0348">
      <w:pPr>
        <w:pStyle w:val="H1G"/>
        <w:spacing w:before="240" w:after="120"/>
      </w:pPr>
      <w:r>
        <w:tab/>
      </w:r>
      <w:r>
        <w:tab/>
      </w:r>
      <w:r w:rsidRPr="0083343A">
        <w:t xml:space="preserve">Transmitted by the </w:t>
      </w:r>
      <w:r w:rsidRPr="00E34939">
        <w:rPr>
          <w:rFonts w:eastAsia="MS Mincho"/>
        </w:rPr>
        <w:t>European Chemical Industry Council (CEFIC)</w:t>
      </w:r>
      <w:r>
        <w:rPr>
          <w:rFonts w:eastAsia="MS Mincho"/>
        </w:rPr>
        <w:t xml:space="preserve"> on behalf of the World Nitrocellulose Producers Association WONIPA</w:t>
      </w:r>
    </w:p>
    <w:p w:rsidR="000B0348" w:rsidRDefault="000B0348" w:rsidP="000B0348">
      <w:pPr>
        <w:pStyle w:val="HChG"/>
        <w:spacing w:before="240" w:after="120"/>
      </w:pPr>
      <w:r>
        <w:tab/>
      </w:r>
      <w:r>
        <w:tab/>
        <w:t>Introduction</w:t>
      </w:r>
    </w:p>
    <w:p w:rsidR="000B0348" w:rsidRPr="000B0348" w:rsidRDefault="000B0348" w:rsidP="000B0348">
      <w:pPr>
        <w:pStyle w:val="SingleTxtG"/>
      </w:pPr>
      <w:r w:rsidRPr="000B0348">
        <w:t>1.</w:t>
      </w:r>
      <w:r w:rsidRPr="000B0348">
        <w:tab/>
        <w:t xml:space="preserve">During its </w:t>
      </w:r>
      <w:proofErr w:type="spellStart"/>
      <w:r>
        <w:rPr>
          <w:lang w:val="fr-CH"/>
        </w:rPr>
        <w:t>twenty-eighth</w:t>
      </w:r>
      <w:proofErr w:type="spellEnd"/>
      <w:r w:rsidRPr="000B0348">
        <w:t xml:space="preserve"> meeting the Sub-Committee of Experts on the Globally Harmonized System of Classification and Labelling of C</w:t>
      </w:r>
      <w:r>
        <w:t>hemicals held in Geneva from 10</w:t>
      </w:r>
      <w:r>
        <w:rPr>
          <w:lang w:val="fr-CH"/>
        </w:rPr>
        <w:t> </w:t>
      </w:r>
      <w:r w:rsidRPr="000B0348">
        <w:t xml:space="preserve">to 12 December 2014 adopted the introduction of a new chapter on desensitized explosives in the GHS as well as the relevant test method as contained in document ST/SG/AC.10/C.4/2014/2 considered at the 27th session. The proposal for the new chapter and consequential amendments to the GHS in document ST/SG/AC.10/C.4/2014/16 were adopted with a minor amendment to the decision logic 2.17.1. </w:t>
      </w:r>
    </w:p>
    <w:p w:rsidR="000B0348" w:rsidRPr="000B0348" w:rsidRDefault="000B0348" w:rsidP="000B0348">
      <w:pPr>
        <w:pStyle w:val="SingleTxtG"/>
      </w:pPr>
      <w:r>
        <w:t>2.</w:t>
      </w:r>
      <w:r>
        <w:tab/>
        <w:t>At its</w:t>
      </w:r>
      <w:r>
        <w:rPr>
          <w:lang w:val="fr-CH"/>
        </w:rPr>
        <w:t xml:space="preserve"> </w:t>
      </w:r>
      <w:proofErr w:type="spellStart"/>
      <w:r>
        <w:rPr>
          <w:lang w:val="fr-CH"/>
        </w:rPr>
        <w:t>forty</w:t>
      </w:r>
      <w:proofErr w:type="spellEnd"/>
      <w:r>
        <w:rPr>
          <w:lang w:val="fr-CH"/>
        </w:rPr>
        <w:t>-first</w:t>
      </w:r>
      <w:r w:rsidRPr="000B0348">
        <w:t xml:space="preserve"> session (June 2012), the S</w:t>
      </w:r>
      <w:r>
        <w:t xml:space="preserve">ub-Committee of experts on the </w:t>
      </w:r>
      <w:r>
        <w:rPr>
          <w:lang w:val="fr-CH"/>
        </w:rPr>
        <w:t>T</w:t>
      </w:r>
      <w:proofErr w:type="spellStart"/>
      <w:r>
        <w:t>ransport</w:t>
      </w:r>
      <w:proofErr w:type="spellEnd"/>
      <w:r>
        <w:t xml:space="preserve"> of </w:t>
      </w:r>
      <w:r>
        <w:rPr>
          <w:lang w:val="fr-CH"/>
        </w:rPr>
        <w:t>D</w:t>
      </w:r>
      <w:proofErr w:type="spellStart"/>
      <w:r w:rsidRPr="000B0348">
        <w:t>angerous</w:t>
      </w:r>
      <w:proofErr w:type="spellEnd"/>
      <w:r w:rsidRPr="000B0348">
        <w:t xml:space="preserve"> </w:t>
      </w:r>
      <w:r>
        <w:rPr>
          <w:lang w:val="fr-CH"/>
        </w:rPr>
        <w:t>G</w:t>
      </w:r>
      <w:proofErr w:type="spellStart"/>
      <w:r w:rsidRPr="000B0348">
        <w:t>oods</w:t>
      </w:r>
      <w:proofErr w:type="spellEnd"/>
      <w:r w:rsidRPr="000B0348">
        <w:t xml:space="preserve"> (TDG Sub-Committee) had endorsed the conclusions of the Working Group on Desensitized Explosives concerning desensitized explosives (see ST/SG/AC.10/C.3/82, paras. 3 and 45) as follows:</w:t>
      </w:r>
    </w:p>
    <w:p w:rsidR="000B0348" w:rsidRDefault="000B0348" w:rsidP="000B0348">
      <w:pPr>
        <w:pStyle w:val="SingleTxtG"/>
        <w:ind w:left="1701"/>
      </w:pPr>
      <w:r>
        <w:t>(a)</w:t>
      </w:r>
      <w:r>
        <w:tab/>
        <w:t>The conclusions of the Working Group on Explosives as reflected in informal document INF.67 (TDG Sub-Committee, 41</w:t>
      </w:r>
      <w:r w:rsidRPr="00535373">
        <w:t>st</w:t>
      </w:r>
      <w:r>
        <w:t xml:space="preserve"> session), para. 6 were confirmed;</w:t>
      </w:r>
    </w:p>
    <w:p w:rsidR="000B0348" w:rsidRDefault="000B0348" w:rsidP="000B0348">
      <w:pPr>
        <w:pStyle w:val="SingleTxtG"/>
        <w:ind w:left="1701"/>
      </w:pPr>
      <w:r>
        <w:t>(b)</w:t>
      </w:r>
      <w:r>
        <w:tab/>
        <w:t>A new chapter on desensitized explosives in the GHS is needed;</w:t>
      </w:r>
    </w:p>
    <w:p w:rsidR="000B0348" w:rsidRDefault="000B0348" w:rsidP="000B0348">
      <w:pPr>
        <w:pStyle w:val="SingleTxtG"/>
        <w:ind w:left="1701"/>
      </w:pPr>
      <w:r>
        <w:t>(c)</w:t>
      </w:r>
      <w:r>
        <w:tab/>
        <w:t>The German methodology is a good starting point to develop a comprehensive approach;</w:t>
      </w:r>
    </w:p>
    <w:p w:rsidR="000B0348" w:rsidRDefault="000B0348" w:rsidP="000B0348">
      <w:pPr>
        <w:pStyle w:val="SingleTxtG"/>
        <w:rPr>
          <w:lang w:val="en-US"/>
        </w:rPr>
      </w:pPr>
      <w:r>
        <w:rPr>
          <w:lang w:val="en-US"/>
        </w:rPr>
        <w:t>3.</w:t>
      </w:r>
      <w:r>
        <w:rPr>
          <w:lang w:val="en-US"/>
        </w:rPr>
        <w:tab/>
        <w:t xml:space="preserve">In the following meetings in the years 2012 to 2014 of the Expert group on explosives test methods and criteria for the classification of desensitized explosives were developed based on the </w:t>
      </w:r>
      <w:r w:rsidRPr="00763E81">
        <w:rPr>
          <w:lang w:val="en-US"/>
        </w:rPr>
        <w:t>“</w:t>
      </w:r>
      <w:r>
        <w:rPr>
          <w:lang w:val="en-US"/>
        </w:rPr>
        <w:t>Directive</w:t>
      </w:r>
      <w:r w:rsidRPr="00763E81">
        <w:rPr>
          <w:lang w:val="en-US"/>
        </w:rPr>
        <w:t xml:space="preserve"> for the assignment of </w:t>
      </w:r>
      <w:r>
        <w:rPr>
          <w:lang w:val="en-US"/>
        </w:rPr>
        <w:t xml:space="preserve">storage classes for substances having </w:t>
      </w:r>
      <w:r w:rsidRPr="00763E81">
        <w:rPr>
          <w:lang w:val="en-US"/>
        </w:rPr>
        <w:t xml:space="preserve">explosive </w:t>
      </w:r>
      <w:r>
        <w:rPr>
          <w:lang w:val="en-US"/>
        </w:rPr>
        <w:t xml:space="preserve">properties </w:t>
      </w:r>
      <w:r w:rsidRPr="00763E81">
        <w:rPr>
          <w:lang w:val="en-US"/>
        </w:rPr>
        <w:t>(SprengLR011)”</w:t>
      </w:r>
      <w:r>
        <w:rPr>
          <w:lang w:val="en-US"/>
        </w:rPr>
        <w:t xml:space="preserve"> of Germany</w:t>
      </w:r>
      <w:r w:rsidRPr="00763E81">
        <w:rPr>
          <w:lang w:val="en-US"/>
        </w:rPr>
        <w:t>.</w:t>
      </w:r>
      <w:r>
        <w:rPr>
          <w:lang w:val="en-US"/>
        </w:rPr>
        <w:t xml:space="preserve"> The test procedure and the classification limits of the new test method described in Section 51 “Classification Procedures, Test Methods and Criteria relating to the Hazard Class Desensitized Explosives” of the UN Manual of Tests and Criteria are exactly the same as those described </w:t>
      </w:r>
      <w:r>
        <w:rPr>
          <w:lang w:val="en-US"/>
        </w:rPr>
        <w:lastRenderedPageBreak/>
        <w:t xml:space="preserve">in the German regulation “SprengLR011”, only the nomenclature of the categories is different. This allows </w:t>
      </w:r>
      <w:proofErr w:type="gramStart"/>
      <w:r>
        <w:rPr>
          <w:lang w:val="en-US"/>
        </w:rPr>
        <w:t>to use</w:t>
      </w:r>
      <w:proofErr w:type="gramEnd"/>
      <w:r>
        <w:rPr>
          <w:lang w:val="en-US"/>
        </w:rPr>
        <w:t xml:space="preserve"> the test results of the tests done in the past according to “SprengLR011” for the classification of desensitized explosives according to the UN GHS chapter 2.17. By doing this, a lot of work and material can be saved. </w:t>
      </w:r>
    </w:p>
    <w:p w:rsidR="000B0348" w:rsidRDefault="000B0348" w:rsidP="000B0348">
      <w:pPr>
        <w:pStyle w:val="SingleTxtG"/>
        <w:rPr>
          <w:lang w:val="en-US"/>
        </w:rPr>
      </w:pPr>
      <w:r>
        <w:rPr>
          <w:lang w:val="en-US"/>
        </w:rPr>
        <w:t xml:space="preserve">4. </w:t>
      </w:r>
      <w:r>
        <w:rPr>
          <w:lang w:val="en-US"/>
        </w:rPr>
        <w:tab/>
        <w:t>CEFIC, on behalf of the Worldwide Nitrocellulose Producers Association (</w:t>
      </w:r>
      <w:r w:rsidRPr="00B82FDD">
        <w:rPr>
          <w:lang w:val="en-US"/>
        </w:rPr>
        <w:t>WONIPA</w:t>
      </w:r>
      <w:r>
        <w:rPr>
          <w:lang w:val="en-US"/>
        </w:rPr>
        <w:t xml:space="preserve">), which represents manufacturers of industrial nitrocellulose and accounts for 80% of the worldwide production (approximately 200.000 </w:t>
      </w:r>
      <w:proofErr w:type="spellStart"/>
      <w:r>
        <w:rPr>
          <w:lang w:val="en-US"/>
        </w:rPr>
        <w:t>tpa</w:t>
      </w:r>
      <w:proofErr w:type="spellEnd"/>
      <w:r>
        <w:rPr>
          <w:lang w:val="en-US"/>
        </w:rPr>
        <w:t xml:space="preserve">), </w:t>
      </w:r>
      <w:r w:rsidRPr="00B82FDD">
        <w:rPr>
          <w:lang w:val="en-US"/>
        </w:rPr>
        <w:t>present</w:t>
      </w:r>
      <w:r>
        <w:rPr>
          <w:lang w:val="en-US"/>
        </w:rPr>
        <w:t>ed</w:t>
      </w:r>
      <w:r w:rsidRPr="00B82FDD">
        <w:rPr>
          <w:lang w:val="en-US"/>
        </w:rPr>
        <w:t xml:space="preserve"> </w:t>
      </w:r>
      <w:r>
        <w:rPr>
          <w:lang w:val="en-US"/>
        </w:rPr>
        <w:t xml:space="preserve">test results from tests of the </w:t>
      </w:r>
      <w:r w:rsidRPr="00B82FDD">
        <w:rPr>
          <w:lang w:val="en-US"/>
        </w:rPr>
        <w:t>Ge</w:t>
      </w:r>
      <w:r>
        <w:rPr>
          <w:lang w:val="en-US"/>
        </w:rPr>
        <w:t>rman</w:t>
      </w:r>
      <w:r w:rsidRPr="00B82FDD">
        <w:rPr>
          <w:lang w:val="en-US"/>
        </w:rPr>
        <w:t xml:space="preserve"> </w:t>
      </w:r>
      <w:r>
        <w:rPr>
          <w:lang w:val="en-US"/>
        </w:rPr>
        <w:t xml:space="preserve">competent </w:t>
      </w:r>
      <w:r w:rsidRPr="00B82FDD">
        <w:rPr>
          <w:lang w:val="en-US"/>
        </w:rPr>
        <w:t>authority (Federal Institute for Material Research and Testing</w:t>
      </w:r>
      <w:r>
        <w:rPr>
          <w:lang w:val="en-US"/>
        </w:rPr>
        <w:t xml:space="preserve"> (</w:t>
      </w:r>
      <w:r w:rsidRPr="00B82FDD">
        <w:rPr>
          <w:lang w:val="en-US"/>
        </w:rPr>
        <w:t>BAM</w:t>
      </w:r>
      <w:r>
        <w:rPr>
          <w:lang w:val="en-US"/>
        </w:rPr>
        <w:t>)</w:t>
      </w:r>
      <w:r w:rsidRPr="00B82FDD">
        <w:rPr>
          <w:lang w:val="en-US"/>
        </w:rPr>
        <w:t>)</w:t>
      </w:r>
      <w:r>
        <w:rPr>
          <w:lang w:val="en-US"/>
        </w:rPr>
        <w:t xml:space="preserve"> according to “SprengLR011” in the nomenclature of</w:t>
      </w:r>
      <w:r w:rsidRPr="00633AEF">
        <w:rPr>
          <w:lang w:val="en-US"/>
        </w:rPr>
        <w:t xml:space="preserve"> </w:t>
      </w:r>
      <w:r>
        <w:rPr>
          <w:lang w:val="en-US"/>
        </w:rPr>
        <w:t>Section 51 “Classification Procedures, Test Methods and Criteria relating to the Hazard Class Desensitized Explosives” of the UN Manual of Tests and Criteria in an informal documents INF.10 (51</w:t>
      </w:r>
      <w:r w:rsidRPr="000B0348">
        <w:rPr>
          <w:vertAlign w:val="superscript"/>
          <w:lang w:val="en-US"/>
        </w:rPr>
        <w:t>st</w:t>
      </w:r>
      <w:r>
        <w:rPr>
          <w:lang w:val="en-US"/>
        </w:rPr>
        <w:t xml:space="preserve"> session) and INF.4 (33</w:t>
      </w:r>
      <w:r w:rsidRPr="000B0348">
        <w:rPr>
          <w:vertAlign w:val="superscript"/>
          <w:lang w:val="en-US"/>
        </w:rPr>
        <w:t>rd</w:t>
      </w:r>
      <w:r>
        <w:rPr>
          <w:lang w:val="en-US"/>
        </w:rPr>
        <w:t xml:space="preserve"> session) in the July 2017 meetings.</w:t>
      </w:r>
    </w:p>
    <w:p w:rsidR="000B0348" w:rsidRDefault="000B0348" w:rsidP="000B0348">
      <w:pPr>
        <w:pStyle w:val="SingleTxtG"/>
      </w:pPr>
      <w:r>
        <w:rPr>
          <w:lang w:val="en-US"/>
        </w:rPr>
        <w:t>5.</w:t>
      </w:r>
      <w:r>
        <w:rPr>
          <w:lang w:val="en-US"/>
        </w:rPr>
        <w:tab/>
      </w:r>
      <w:r>
        <w:t xml:space="preserve">The </w:t>
      </w:r>
      <w:r w:rsidRPr="002E7A7C">
        <w:rPr>
          <w:lang w:val="en-US"/>
        </w:rPr>
        <w:t xml:space="preserve">GHS </w:t>
      </w:r>
      <w:r>
        <w:t xml:space="preserve">Sub-Committee was informed </w:t>
      </w:r>
      <w:r w:rsidRPr="002E7A7C">
        <w:rPr>
          <w:lang w:val="en-US"/>
        </w:rPr>
        <w:t xml:space="preserve">in the July 2017 meeting </w:t>
      </w:r>
      <w:r>
        <w:t xml:space="preserve">that the TDG Sub-Committee had endorsed the conclusion of the Working Group on Explosives on using the results of the SprengLR011 test for classification of industrial nitrocellulose products according to Chapter 2.17 of the GHS. The </w:t>
      </w:r>
      <w:r w:rsidRPr="00127AEA">
        <w:rPr>
          <w:lang w:val="en-US"/>
        </w:rPr>
        <w:t xml:space="preserve">GHS </w:t>
      </w:r>
      <w:r>
        <w:t xml:space="preserve">Sub-Committee noted that an </w:t>
      </w:r>
      <w:proofErr w:type="spellStart"/>
      <w:r>
        <w:t>intersessional</w:t>
      </w:r>
      <w:proofErr w:type="spellEnd"/>
      <w:r>
        <w:t xml:space="preserve"> informal group led by CEFIC at the TDG Sub-Committee would consider how to include the results in the GHS, the United Nations Recommendations on the Transport of Dangerous Goods, Model Regulations or the Manual of Tests and Criteria to make them available worldwide.  </w:t>
      </w:r>
    </w:p>
    <w:p w:rsidR="000B0348" w:rsidRDefault="000B0348" w:rsidP="000B0348">
      <w:pPr>
        <w:pStyle w:val="SingleTxtG"/>
      </w:pPr>
      <w:r w:rsidRPr="002E7A7C">
        <w:rPr>
          <w:lang w:val="en-US"/>
        </w:rPr>
        <w:t>6.</w:t>
      </w:r>
      <w:r w:rsidRPr="002E7A7C">
        <w:rPr>
          <w:lang w:val="en-US"/>
        </w:rPr>
        <w:tab/>
      </w:r>
      <w:r>
        <w:t xml:space="preserve">The </w:t>
      </w:r>
      <w:r w:rsidRPr="002E7A7C">
        <w:rPr>
          <w:lang w:val="en-US"/>
        </w:rPr>
        <w:t xml:space="preserve">GHS </w:t>
      </w:r>
      <w:r>
        <w:t xml:space="preserve">Sub-Committee expressed support for this work and invited the representative of CEFIC to take account of the comments made, in particular as regards acknowledging the possibility of performing self-classifications.  </w:t>
      </w:r>
    </w:p>
    <w:p w:rsidR="000B0348" w:rsidRPr="002E7A7C" w:rsidRDefault="000B0348" w:rsidP="000B0348">
      <w:pPr>
        <w:pStyle w:val="SingleTxtG"/>
      </w:pPr>
      <w:r>
        <w:rPr>
          <w:lang w:val="en-US"/>
        </w:rPr>
        <w:t>7</w:t>
      </w:r>
      <w:r w:rsidRPr="002E7A7C">
        <w:rPr>
          <w:lang w:val="en-US"/>
        </w:rPr>
        <w:t xml:space="preserve">. </w:t>
      </w:r>
      <w:r w:rsidRPr="002E7A7C">
        <w:rPr>
          <w:lang w:val="en-US"/>
        </w:rPr>
        <w:tab/>
        <w:t xml:space="preserve">This </w:t>
      </w:r>
      <w:r>
        <w:rPr>
          <w:lang w:val="en-US"/>
        </w:rPr>
        <w:t>informal document</w:t>
      </w:r>
      <w:r w:rsidRPr="002E7A7C">
        <w:rPr>
          <w:lang w:val="en-US"/>
        </w:rPr>
        <w:t xml:space="preserve"> present</w:t>
      </w:r>
      <w:r>
        <w:rPr>
          <w:lang w:val="en-US"/>
        </w:rPr>
        <w:t xml:space="preserve">s the proposal of </w:t>
      </w:r>
      <w:r>
        <w:t xml:space="preserve">the </w:t>
      </w:r>
      <w:proofErr w:type="spellStart"/>
      <w:r>
        <w:t>intersessional</w:t>
      </w:r>
      <w:proofErr w:type="spellEnd"/>
      <w:r>
        <w:t xml:space="preserve"> informal group led by CEFIC</w:t>
      </w:r>
      <w:r w:rsidRPr="002E7A7C">
        <w:rPr>
          <w:lang w:val="en-US"/>
        </w:rPr>
        <w:t xml:space="preserve"> </w:t>
      </w:r>
      <w:r>
        <w:t>for the inclusion</w:t>
      </w:r>
      <w:r w:rsidRPr="002E7A7C">
        <w:rPr>
          <w:lang w:val="en-US"/>
        </w:rPr>
        <w:t xml:space="preserve"> of the </w:t>
      </w:r>
      <w:r>
        <w:t>test results</w:t>
      </w:r>
      <w:r>
        <w:rPr>
          <w:lang w:val="en-US"/>
        </w:rPr>
        <w:t xml:space="preserve"> as Annex 10</w:t>
      </w:r>
      <w:r>
        <w:t xml:space="preserve"> </w:t>
      </w:r>
      <w:r w:rsidRPr="002E7A7C">
        <w:rPr>
          <w:lang w:val="en-US"/>
        </w:rPr>
        <w:t xml:space="preserve">in </w:t>
      </w:r>
      <w:r>
        <w:t xml:space="preserve">the Manual of Tests and Criteria.  </w:t>
      </w:r>
    </w:p>
    <w:p w:rsidR="000B0348" w:rsidRDefault="000B0348" w:rsidP="000B0348">
      <w:pPr>
        <w:pStyle w:val="HChG"/>
      </w:pPr>
      <w:r>
        <w:tab/>
      </w:r>
      <w:r>
        <w:rPr>
          <w:lang w:val="fr-CH"/>
        </w:rPr>
        <w:tab/>
      </w:r>
      <w:r w:rsidRPr="0083343A">
        <w:t>Background</w:t>
      </w:r>
    </w:p>
    <w:p w:rsidR="000B0348" w:rsidRPr="00535373" w:rsidRDefault="000B0348" w:rsidP="000B0348">
      <w:pPr>
        <w:pStyle w:val="SingleTxtG"/>
      </w:pPr>
      <w:r>
        <w:t>8</w:t>
      </w:r>
      <w:r w:rsidRPr="00535373">
        <w:t>.</w:t>
      </w:r>
      <w:r w:rsidRPr="00535373">
        <w:tab/>
        <w:t xml:space="preserve">WONIPA members deliver since more than 30 years industrial nitrocellulose products to the German market (currently approximately 10.000 </w:t>
      </w:r>
      <w:proofErr w:type="spellStart"/>
      <w:r w:rsidRPr="00535373">
        <w:t>tpa</w:t>
      </w:r>
      <w:proofErr w:type="spellEnd"/>
      <w:r w:rsidRPr="00535373">
        <w:t>, as UN 2555, 2556 and 2557</w:t>
      </w:r>
      <w:r>
        <w:rPr>
          <w:rStyle w:val="FootnoteReference"/>
        </w:rPr>
        <w:footnoteReference w:id="2"/>
      </w:r>
      <w:r w:rsidRPr="00535373">
        <w:t xml:space="preserve">) and have ample experience with the German test method and the assignment to storage groups. </w:t>
      </w:r>
    </w:p>
    <w:p w:rsidR="000B0348" w:rsidRPr="00535373" w:rsidRDefault="000B0348" w:rsidP="000B0348">
      <w:pPr>
        <w:pStyle w:val="SingleTxtG"/>
      </w:pPr>
      <w:r>
        <w:t>9</w:t>
      </w:r>
      <w:r w:rsidRPr="00535373">
        <w:t>.</w:t>
      </w:r>
      <w:r w:rsidRPr="00535373">
        <w:tab/>
        <w:t>The German test methods appropriately identify the burning rate and heat radiation hazards for the different nitrocellulose grades. All tests of products produced by WONIPA members have been performed by BAM with the industrial nitrocellulose packed in UN approved fibre board boxes (4G) or fibre drums (1G) according to packing instruction P406.</w:t>
      </w:r>
      <w:r>
        <w:rPr>
          <w:lang w:val="fr-CH"/>
        </w:rPr>
        <w:t xml:space="preserve"> </w:t>
      </w:r>
      <w:r w:rsidRPr="008C1A62">
        <w:rPr>
          <w:lang w:val="en-US"/>
        </w:rPr>
        <w:t xml:space="preserve">The test results in the table can therefore only </w:t>
      </w:r>
      <w:r>
        <w:rPr>
          <w:lang w:val="en-US"/>
        </w:rPr>
        <w:t xml:space="preserve">be used for the classification </w:t>
      </w:r>
      <w:r w:rsidRPr="008C1A62">
        <w:rPr>
          <w:lang w:val="en-US"/>
        </w:rPr>
        <w:t xml:space="preserve">of industrial nitrocellulose products </w:t>
      </w:r>
      <w:r w:rsidRPr="00535373">
        <w:t>packed in UN approved fibre board boxes (4G) or fibre drums (1G) according to packing instruction P406</w:t>
      </w:r>
      <w:r w:rsidRPr="008C1A62">
        <w:rPr>
          <w:lang w:val="en-US"/>
        </w:rPr>
        <w:t>.</w:t>
      </w:r>
      <w:r w:rsidRPr="00535373">
        <w:t xml:space="preserve"> </w:t>
      </w:r>
    </w:p>
    <w:p w:rsidR="000B0348" w:rsidRPr="00535373" w:rsidRDefault="000B0348" w:rsidP="000B0348">
      <w:pPr>
        <w:pStyle w:val="SingleTxtG"/>
      </w:pPr>
      <w:r>
        <w:t>10</w:t>
      </w:r>
      <w:r w:rsidRPr="00535373">
        <w:t>.</w:t>
      </w:r>
      <w:r w:rsidRPr="00535373">
        <w:tab/>
        <w:t xml:space="preserve">All these industrial nitrocellulose products tested by BAM in the last 30 years had an ignition temperature above 180 °C for UN 25551 and UN 2556 and above 170 °C for </w:t>
      </w:r>
      <w:r w:rsidRPr="00535373">
        <w:lastRenderedPageBreak/>
        <w:t>UN 2557. Tests of ignition temperature were done according to section 2.3.2 of ADR</w:t>
      </w:r>
      <w:r>
        <w:rPr>
          <w:rStyle w:val="FootnoteReference"/>
        </w:rPr>
        <w:footnoteReference w:id="3"/>
      </w:r>
      <w:r w:rsidRPr="00535373">
        <w:t xml:space="preserve">. All these industrial nitrocellulose products fulfilled the test requirements of the Bergmann Junk </w:t>
      </w:r>
      <w:r>
        <w:t xml:space="preserve">test for the thermal </w:t>
      </w:r>
      <w:r w:rsidRPr="00535373">
        <w:t xml:space="preserve">stability demonstrated by the fact that the quantity of nitrous vapours given off was not more than 2.5 ml NO during </w:t>
      </w:r>
      <w:r w:rsidRPr="008C1A62">
        <w:rPr>
          <w:lang w:val="en-US"/>
        </w:rPr>
        <w:t xml:space="preserve">the test </w:t>
      </w:r>
      <w:r w:rsidRPr="00535373">
        <w:t>at 132 °C. The test is described in Annex 2 of the UN Working paper ST/SG/AC.10/C.3/2017/3.</w:t>
      </w:r>
    </w:p>
    <w:p w:rsidR="000B0348" w:rsidRPr="00535373" w:rsidRDefault="000B0348" w:rsidP="000B0348">
      <w:pPr>
        <w:pStyle w:val="SingleTxtG"/>
      </w:pPr>
      <w:r>
        <w:t>11</w:t>
      </w:r>
      <w:r w:rsidRPr="00535373">
        <w:t>.</w:t>
      </w:r>
      <w:r w:rsidRPr="00535373">
        <w:tab/>
        <w:t>Annex 1 provides the results for more than 200 industrial nitrocellulose products, classified by BAM. The results according to “SprengLR011” were transformed to the category classification of UN GHS chapter 2.17 and can now be used for the classification of Industrial Nitrocellulose products worldwide, without the necessity to perform new tests</w:t>
      </w:r>
      <w:r w:rsidRPr="008C1A62">
        <w:rPr>
          <w:lang w:val="en-US"/>
        </w:rPr>
        <w:t>,</w:t>
      </w:r>
      <w:r>
        <w:rPr>
          <w:lang w:val="en-US"/>
        </w:rPr>
        <w:br/>
        <w:t xml:space="preserve">if the requirements for the packaging and the thermal stability are fulfilled. </w:t>
      </w:r>
      <w:r w:rsidRPr="00535373">
        <w:t>The range of product composition, norm viscosities and nitrogen content are representative for nearly all grades of industrial nitrocellulose products produced worldwide. Annex 2 provides a “Comparison of the Categories according to UN GHS chapter 2.17 desensitized explosives and the storage groups according to “SprengLR11” of Germany”.</w:t>
      </w:r>
    </w:p>
    <w:p w:rsidR="000B0348" w:rsidRPr="00535373" w:rsidRDefault="000B0348" w:rsidP="000B0348">
      <w:pPr>
        <w:pStyle w:val="SingleTxtG"/>
      </w:pPr>
      <w:r>
        <w:t>12</w:t>
      </w:r>
      <w:r w:rsidRPr="00535373">
        <w:t xml:space="preserve">. </w:t>
      </w:r>
      <w:r w:rsidRPr="00535373">
        <w:tab/>
        <w:t>Without any exception all the industrial nitrocellulose products tested over the last 30 years were classified by BAM as flammable solids, desensitized explosives of Division 4.1 (see Annex 1), none were classified as explosive. For each product BAM has issued a certificate stating the storage group and the burning speed of the tested nitrocellulose product. BAM publishes the results of the assignment to storage groups for industrial nitrocellulose products in the information “</w:t>
      </w:r>
      <w:proofErr w:type="spellStart"/>
      <w:r w:rsidRPr="00535373">
        <w:t>Amtliche</w:t>
      </w:r>
      <w:proofErr w:type="spellEnd"/>
      <w:r w:rsidRPr="00535373">
        <w:t xml:space="preserve"> </w:t>
      </w:r>
      <w:proofErr w:type="spellStart"/>
      <w:r w:rsidRPr="00535373">
        <w:t>Bekanntmachungen</w:t>
      </w:r>
      <w:proofErr w:type="spellEnd"/>
      <w:r w:rsidRPr="00535373">
        <w:t xml:space="preserve">” of the BAM. </w:t>
      </w:r>
    </w:p>
    <w:p w:rsidR="000B0348" w:rsidRPr="0083343A" w:rsidRDefault="000B0348" w:rsidP="00375011">
      <w:pPr>
        <w:pStyle w:val="HChG"/>
        <w:spacing w:before="240" w:after="120"/>
      </w:pPr>
      <w:r>
        <w:tab/>
      </w:r>
      <w:r>
        <w:rPr>
          <w:lang w:val="fr-CH"/>
        </w:rPr>
        <w:tab/>
      </w:r>
      <w:r w:rsidRPr="0083343A">
        <w:t>Proposal</w:t>
      </w:r>
    </w:p>
    <w:p w:rsidR="000B0348" w:rsidRPr="00B2448F" w:rsidRDefault="000B0348" w:rsidP="000B0348">
      <w:pPr>
        <w:pStyle w:val="SingleTxtG"/>
      </w:pPr>
      <w:r>
        <w:t>13</w:t>
      </w:r>
      <w:r w:rsidRPr="00B2448F">
        <w:t>.</w:t>
      </w:r>
      <w:r w:rsidRPr="00B2448F">
        <w:tab/>
        <w:t xml:space="preserve">WONIPA proposes to use the test results already achieved by the German competent authority BAM for the classification of industrial nitrocellulose products according to the tests and criteria of „SprengLR011“ in the last 30 years for the classification of industrial Nitrocellulose products according to the new UN GHS chapter 2.17 desensitized explosives as the test methods and the criteria are exactly the same. By doing this, a lot of test work can be saved. </w:t>
      </w:r>
    </w:p>
    <w:p w:rsidR="000B0348" w:rsidRDefault="000B0348" w:rsidP="000B0348">
      <w:pPr>
        <w:pStyle w:val="SingleTxtG"/>
        <w:rPr>
          <w:lang w:val="fr-CH"/>
        </w:rPr>
      </w:pPr>
      <w:r>
        <w:t>14</w:t>
      </w:r>
      <w:r w:rsidRPr="00B2448F">
        <w:t>.</w:t>
      </w:r>
      <w:r w:rsidRPr="00B2448F">
        <w:tab/>
        <w:t>The information collected in the tables may be used by competent authorities worldwide for the classification of Industrial NC products according to the test description for the CLASSIFICATION PROCEDURES, TEST METHODS AND CRITERIA RELATING TO THE HAZARD CLASS DESENSITIZED EXPLOSIVES in SECTION 51 of the UN Manual of Test and Criteria, paragraph 51.4.1.2 (a):</w:t>
      </w:r>
    </w:p>
    <w:p w:rsidR="000B0348" w:rsidRPr="00B2448F" w:rsidRDefault="000B0348" w:rsidP="000B0348">
      <w:pPr>
        <w:pStyle w:val="SingleTxtG"/>
        <w:ind w:left="1701"/>
      </w:pPr>
      <w:r w:rsidRPr="00B2448F">
        <w:t>51.4.1.2 A substance or mixture, as packed for supply and use , may be unambiguously assigned to a burning rate and category by a competent authority on the basis of results from other tests or available information; or .</w:t>
      </w:r>
    </w:p>
    <w:p w:rsidR="000B0348" w:rsidRPr="0083343A" w:rsidRDefault="000B0348" w:rsidP="00375011">
      <w:pPr>
        <w:pStyle w:val="HChG"/>
        <w:spacing w:before="240" w:after="120"/>
      </w:pPr>
      <w:r>
        <w:tab/>
      </w:r>
      <w:r>
        <w:rPr>
          <w:lang w:val="fr-CH"/>
        </w:rPr>
        <w:tab/>
      </w:r>
      <w:r w:rsidRPr="0083343A">
        <w:t>Justification</w:t>
      </w:r>
    </w:p>
    <w:p w:rsidR="000B0348" w:rsidRDefault="000B0348" w:rsidP="000B0348">
      <w:pPr>
        <w:pStyle w:val="SingleTxtG"/>
        <w:rPr>
          <w:lang w:val="en-US"/>
        </w:rPr>
      </w:pPr>
      <w:r>
        <w:t>15.</w:t>
      </w:r>
      <w:r>
        <w:tab/>
        <w:t>The German test method and criteria</w:t>
      </w:r>
      <w:r w:rsidRPr="0083343A">
        <w:t xml:space="preserve"> </w:t>
      </w:r>
      <w:r w:rsidRPr="00A729AE">
        <w:rPr>
          <w:lang w:val="en-US"/>
        </w:rPr>
        <w:t xml:space="preserve">of </w:t>
      </w:r>
      <w:r>
        <w:rPr>
          <w:lang w:val="en-US"/>
        </w:rPr>
        <w:t>“</w:t>
      </w:r>
      <w:r w:rsidRPr="00A729AE">
        <w:rPr>
          <w:lang w:val="en-US"/>
        </w:rPr>
        <w:t>SprengLR011</w:t>
      </w:r>
      <w:r>
        <w:rPr>
          <w:lang w:val="en-US"/>
        </w:rPr>
        <w:t>” were</w:t>
      </w:r>
      <w:r w:rsidRPr="00A729AE">
        <w:rPr>
          <w:lang w:val="en-US"/>
        </w:rPr>
        <w:t xml:space="preserve"> used for the development of </w:t>
      </w:r>
      <w:r>
        <w:rPr>
          <w:lang w:val="en-US"/>
        </w:rPr>
        <w:t xml:space="preserve">the new test method and criteria described in Section 51 “Classification Procedures, Test Methods and Criteria relating to the Hazard Class Desensitized Explosives” in the UN Manual of test and criteria. </w:t>
      </w:r>
    </w:p>
    <w:p w:rsidR="000B0348" w:rsidRPr="0083343A" w:rsidRDefault="000B0348" w:rsidP="000B0348">
      <w:pPr>
        <w:pStyle w:val="SingleTxtG"/>
      </w:pPr>
      <w:r>
        <w:t>16.</w:t>
      </w:r>
      <w:r>
        <w:tab/>
      </w:r>
      <w:r w:rsidRPr="0083343A">
        <w:t xml:space="preserve">As the whole range of </w:t>
      </w:r>
      <w:r>
        <w:t>i</w:t>
      </w:r>
      <w:r w:rsidRPr="0083343A">
        <w:t xml:space="preserve">ndustrial </w:t>
      </w:r>
      <w:r>
        <w:t>n</w:t>
      </w:r>
      <w:r w:rsidRPr="0083343A">
        <w:t>itrocellulose products produced worldwide was already tested by BAM in the last 30 years, there are no additional tests necessary, which would save costs for industry worldwide</w:t>
      </w:r>
      <w:r>
        <w:t>.</w:t>
      </w:r>
    </w:p>
    <w:p w:rsidR="000B0348" w:rsidRDefault="000B0348" w:rsidP="000B0348">
      <w:pPr>
        <w:pStyle w:val="HChG"/>
        <w:rPr>
          <w:lang w:val="en-US"/>
        </w:rPr>
      </w:pPr>
      <w:r w:rsidRPr="007A50BD">
        <w:rPr>
          <w:lang w:val="en-US"/>
        </w:rPr>
        <w:lastRenderedPageBreak/>
        <w:t>A</w:t>
      </w:r>
      <w:r>
        <w:rPr>
          <w:lang w:val="en-US"/>
        </w:rPr>
        <w:t>nnex</w:t>
      </w:r>
      <w:r w:rsidRPr="007A50BD">
        <w:rPr>
          <w:lang w:val="en-US"/>
        </w:rPr>
        <w:t xml:space="preserve"> 1</w:t>
      </w:r>
    </w:p>
    <w:p w:rsidR="000B0348" w:rsidRPr="008C1A62" w:rsidRDefault="000B0348" w:rsidP="000B0348">
      <w:pPr>
        <w:pStyle w:val="HChG"/>
      </w:pPr>
      <w:r>
        <w:rPr>
          <w:lang w:val="en-US"/>
        </w:rPr>
        <w:tab/>
      </w:r>
      <w:r>
        <w:rPr>
          <w:lang w:val="en-US"/>
        </w:rPr>
        <w:tab/>
      </w:r>
      <w:r w:rsidRPr="008C1A62">
        <w:t>Amendments to the UN Manual of Tests and Criteria</w:t>
      </w:r>
    </w:p>
    <w:p w:rsidR="000B0348" w:rsidRPr="008C1A62" w:rsidRDefault="000B0348" w:rsidP="000B0348">
      <w:pPr>
        <w:pStyle w:val="SingleTxtG"/>
      </w:pPr>
      <w:r>
        <w:t>Insert a new appendix 10</w:t>
      </w:r>
    </w:p>
    <w:p w:rsidR="000B0348" w:rsidRDefault="000B0348" w:rsidP="000B0348">
      <w:pPr>
        <w:ind w:left="567" w:firstLine="567"/>
        <w:rPr>
          <w:b/>
          <w:sz w:val="26"/>
        </w:rPr>
      </w:pPr>
      <w:r>
        <w:rPr>
          <w:b/>
          <w:spacing w:val="-1"/>
          <w:sz w:val="26"/>
        </w:rPr>
        <w:t xml:space="preserve">Appendix </w:t>
      </w:r>
      <w:r>
        <w:rPr>
          <w:b/>
          <w:sz w:val="26"/>
        </w:rPr>
        <w:t>10</w:t>
      </w:r>
    </w:p>
    <w:p w:rsidR="000B0348" w:rsidRDefault="000B0348" w:rsidP="000B0348">
      <w:pPr>
        <w:pStyle w:val="H23G"/>
        <w:rPr>
          <w:lang w:val="en-US"/>
        </w:rPr>
      </w:pPr>
      <w:r>
        <w:tab/>
      </w:r>
      <w:r>
        <w:tab/>
      </w:r>
      <w:r w:rsidRPr="00287671">
        <w:rPr>
          <w:lang w:val="en-US"/>
        </w:rPr>
        <w:t>Comp</w:t>
      </w:r>
      <w:r>
        <w:rPr>
          <w:lang w:val="en-US"/>
        </w:rPr>
        <w:t>il</w:t>
      </w:r>
      <w:r w:rsidRPr="00287671">
        <w:rPr>
          <w:lang w:val="en-US"/>
        </w:rPr>
        <w:t xml:space="preserve">ation of </w:t>
      </w:r>
      <w:r>
        <w:t xml:space="preserve">classification </w:t>
      </w:r>
      <w:r w:rsidRPr="00287671">
        <w:t>results on industrial nitrocellulose</w:t>
      </w:r>
      <w:r w:rsidRPr="00287671">
        <w:rPr>
          <w:lang w:val="en-US"/>
        </w:rPr>
        <w:t xml:space="preserve"> </w:t>
      </w:r>
      <w:r w:rsidRPr="00287671">
        <w:t>for the purposes of supply and use</w:t>
      </w:r>
      <w:r w:rsidRPr="00287671">
        <w:rPr>
          <w:lang w:val="en-US"/>
        </w:rPr>
        <w:t xml:space="preserve"> according to UN GHS chapter 2.17</w:t>
      </w:r>
      <w:r>
        <w:t>,</w:t>
      </w:r>
      <w:r>
        <w:rPr>
          <w:lang w:val="en-US"/>
        </w:rPr>
        <w:t xml:space="preserve"> </w:t>
      </w:r>
      <w:r w:rsidRPr="00287671">
        <w:rPr>
          <w:lang w:val="en-US"/>
        </w:rPr>
        <w:t>which can be used for the classification of Industrial NC products</w:t>
      </w:r>
      <w:r>
        <w:rPr>
          <w:lang w:val="en-US"/>
        </w:rPr>
        <w:t>.</w:t>
      </w:r>
    </w:p>
    <w:p w:rsidR="000B0348" w:rsidRDefault="000B0348" w:rsidP="000B0348">
      <w:pPr>
        <w:pStyle w:val="SingleTxtG"/>
        <w:rPr>
          <w:lang w:val="fr-CH"/>
        </w:rPr>
      </w:pPr>
      <w:r>
        <w:t>Requirements for the use of the test results for the classification of industrial nitrocellulose products:</w:t>
      </w:r>
    </w:p>
    <w:p w:rsidR="000B0348" w:rsidRPr="000B0348" w:rsidRDefault="000B0348" w:rsidP="000B0348">
      <w:pPr>
        <w:pStyle w:val="SingleTxtG"/>
      </w:pPr>
      <w:r w:rsidRPr="000B0348">
        <w:t>1.</w:t>
      </w:r>
      <w:r w:rsidRPr="000B0348">
        <w:tab/>
        <w:t>The test results in this appendix can only be used for the classification of industrial nitrocellulose products packed in UN approved fibre board boxes (4G) or fibre drums (1G) according to packing instruction P406. They cannot be used for nitrocellulose products in other pressure resistant packaging like steel drums.</w:t>
      </w:r>
    </w:p>
    <w:p w:rsidR="000B0348" w:rsidRPr="000B0348" w:rsidRDefault="000B0348" w:rsidP="000B0348">
      <w:pPr>
        <w:pStyle w:val="SingleTxtG"/>
      </w:pPr>
      <w:r w:rsidRPr="000B0348">
        <w:t>2.</w:t>
      </w:r>
      <w:r w:rsidRPr="000B0348">
        <w:tab/>
        <w:t xml:space="preserve">The test results in this appendix can only be used for industrial nitrocellulose products which </w:t>
      </w:r>
      <w:proofErr w:type="spellStart"/>
      <w:r w:rsidRPr="000B0348">
        <w:t>fulfill</w:t>
      </w:r>
      <w:proofErr w:type="spellEnd"/>
      <w:r w:rsidRPr="000B0348">
        <w:t xml:space="preserve"> the test requirements of the Bergmann Junk test for the thermal stability demonstrated by the fact that the quantity of nitrous vapours given off is not more than 2.5 ml NO during the test at 132 °C. The test is described in Annex 2 of the UN Working paper ST/SG/AC.10/C.3/2017/3.</w:t>
      </w:r>
      <w:r w:rsidRPr="000B0348">
        <w:tab/>
      </w:r>
    </w:p>
    <w:p w:rsidR="000B0348" w:rsidRPr="00F520D0" w:rsidRDefault="000B0348" w:rsidP="000B0348">
      <w:pPr>
        <w:pStyle w:val="HChG"/>
        <w:rPr>
          <w:lang w:val="en-US"/>
        </w:rPr>
      </w:pPr>
      <w:r>
        <w:rPr>
          <w:lang w:val="en-US"/>
        </w:rPr>
        <w:tab/>
      </w:r>
      <w:r>
        <w:rPr>
          <w:lang w:val="en-US"/>
        </w:rPr>
        <w:tab/>
        <w:t>Test r</w:t>
      </w:r>
      <w:r w:rsidRPr="00F520D0">
        <w:rPr>
          <w:lang w:val="en-US"/>
        </w:rPr>
        <w:t>esults</w:t>
      </w:r>
    </w:p>
    <w:p w:rsidR="000B0348" w:rsidRDefault="000B0348" w:rsidP="000B0348">
      <w:pPr>
        <w:pStyle w:val="SingleTxtG"/>
        <w:rPr>
          <w:lang w:val="en-US"/>
        </w:rPr>
      </w:pPr>
      <w:r>
        <w:rPr>
          <w:lang w:val="en-US"/>
        </w:rPr>
        <w:t>3.</w:t>
      </w:r>
      <w:r>
        <w:rPr>
          <w:lang w:val="en-US"/>
        </w:rPr>
        <w:tab/>
      </w:r>
      <w:r w:rsidRPr="003E7622">
        <w:rPr>
          <w:lang w:val="en-US"/>
        </w:rPr>
        <w:t xml:space="preserve">All </w:t>
      </w:r>
      <w:r>
        <w:rPr>
          <w:lang w:val="en-US"/>
        </w:rPr>
        <w:t>i</w:t>
      </w:r>
      <w:r w:rsidRPr="003E7622">
        <w:rPr>
          <w:lang w:val="en-US"/>
        </w:rPr>
        <w:t>ndustrial</w:t>
      </w:r>
      <w:r w:rsidRPr="005B7584">
        <w:rPr>
          <w:lang w:val="en-US"/>
        </w:rPr>
        <w:t xml:space="preserve"> </w:t>
      </w:r>
      <w:r>
        <w:rPr>
          <w:lang w:val="en-US"/>
        </w:rPr>
        <w:t>nitrocellulose</w:t>
      </w:r>
      <w:r w:rsidRPr="005B7584">
        <w:rPr>
          <w:lang w:val="en-US"/>
        </w:rPr>
        <w:t xml:space="preserve"> products worldwide can be made comparable b</w:t>
      </w:r>
      <w:r>
        <w:rPr>
          <w:lang w:val="en-US"/>
        </w:rPr>
        <w:t>ased upon</w:t>
      </w:r>
      <w:r w:rsidRPr="005B7584">
        <w:rPr>
          <w:lang w:val="en-US"/>
        </w:rPr>
        <w:t xml:space="preserve"> the</w:t>
      </w:r>
      <w:r>
        <w:rPr>
          <w:lang w:val="en-US"/>
        </w:rPr>
        <w:t>ir</w:t>
      </w:r>
      <w:r w:rsidRPr="005B7584">
        <w:rPr>
          <w:lang w:val="en-US"/>
        </w:rPr>
        <w:t xml:space="preserve"> nitrogen content and the</w:t>
      </w:r>
      <w:r>
        <w:rPr>
          <w:lang w:val="en-US"/>
        </w:rPr>
        <w:t>ir</w:t>
      </w:r>
      <w:r w:rsidRPr="005B7584">
        <w:rPr>
          <w:lang w:val="en-US"/>
        </w:rPr>
        <w:t xml:space="preserve"> Norm-viscosities (according to DIN EN ISO 14446). WONIPA has therefore used this method for presenting the results of the BAM tests in </w:t>
      </w:r>
      <w:r>
        <w:rPr>
          <w:lang w:val="en-US"/>
        </w:rPr>
        <w:t xml:space="preserve">the following </w:t>
      </w:r>
      <w:r w:rsidRPr="005B7584">
        <w:rPr>
          <w:lang w:val="en-US"/>
        </w:rPr>
        <w:t xml:space="preserve">table. </w:t>
      </w:r>
      <w:r>
        <w:rPr>
          <w:lang w:val="en-US"/>
        </w:rPr>
        <w:t xml:space="preserve">It should be noted that </w:t>
      </w:r>
      <w:r w:rsidRPr="005B7584">
        <w:rPr>
          <w:lang w:val="en-US"/>
        </w:rPr>
        <w:t>BAM also uses the Norm-viscosities in the publications of the storage group classifications</w:t>
      </w:r>
      <w:r>
        <w:rPr>
          <w:lang w:val="en-US"/>
        </w:rPr>
        <w:t>, whereby t</w:t>
      </w:r>
      <w:r w:rsidRPr="005B7584">
        <w:rPr>
          <w:lang w:val="en-US"/>
        </w:rPr>
        <w:t>he storage group classification refer</w:t>
      </w:r>
      <w:r>
        <w:rPr>
          <w:lang w:val="en-US"/>
        </w:rPr>
        <w:t>s</w:t>
      </w:r>
      <w:r w:rsidRPr="005B7584">
        <w:rPr>
          <w:lang w:val="en-US"/>
        </w:rPr>
        <w:t xml:space="preserve"> to the storage of industrial nitrocellulose in </w:t>
      </w:r>
      <w:r>
        <w:rPr>
          <w:lang w:val="en-US"/>
        </w:rPr>
        <w:t>warehouses.</w:t>
      </w:r>
      <w:r w:rsidRPr="005B7584">
        <w:rPr>
          <w:lang w:val="en-US"/>
        </w:rPr>
        <w:t xml:space="preserve"> </w:t>
      </w:r>
    </w:p>
    <w:p w:rsidR="000B0348" w:rsidRDefault="000B0348" w:rsidP="000B0348">
      <w:pPr>
        <w:pStyle w:val="SingleTxtG"/>
        <w:rPr>
          <w:lang w:val="en-US"/>
        </w:rPr>
      </w:pPr>
      <w:r>
        <w:rPr>
          <w:lang w:val="en-US"/>
        </w:rPr>
        <w:t>4.</w:t>
      </w:r>
      <w:r>
        <w:rPr>
          <w:lang w:val="en-US"/>
        </w:rPr>
        <w:tab/>
        <w:t xml:space="preserve">According to their Nitrogen content </w:t>
      </w:r>
      <w:r w:rsidRPr="005B7584">
        <w:rPr>
          <w:lang w:val="en-US"/>
        </w:rPr>
        <w:t xml:space="preserve">three types of </w:t>
      </w:r>
      <w:r>
        <w:rPr>
          <w:lang w:val="en-US"/>
        </w:rPr>
        <w:t>i</w:t>
      </w:r>
      <w:r w:rsidRPr="005B7584">
        <w:rPr>
          <w:lang w:val="en-US"/>
        </w:rPr>
        <w:t xml:space="preserve">ndustrial </w:t>
      </w:r>
      <w:r>
        <w:rPr>
          <w:lang w:val="en-US"/>
        </w:rPr>
        <w:t>n</w:t>
      </w:r>
      <w:r w:rsidRPr="005B7584">
        <w:rPr>
          <w:lang w:val="en-US"/>
        </w:rPr>
        <w:t xml:space="preserve">itrocellulose products </w:t>
      </w:r>
      <w:r>
        <w:rPr>
          <w:lang w:val="en-US"/>
        </w:rPr>
        <w:t>have been defined:</w:t>
      </w:r>
    </w:p>
    <w:p w:rsidR="000B0348" w:rsidRPr="0083343A" w:rsidRDefault="000B0348" w:rsidP="000B0348">
      <w:pPr>
        <w:pStyle w:val="SingleTxtG"/>
        <w:ind w:firstLine="567"/>
      </w:pPr>
      <w:r w:rsidRPr="0083343A">
        <w:t xml:space="preserve">(a) </w:t>
      </w:r>
      <w:r>
        <w:tab/>
      </w:r>
      <w:r w:rsidRPr="000B0348">
        <w:rPr>
          <w:b/>
        </w:rPr>
        <w:t>E</w:t>
      </w:r>
      <w:r w:rsidRPr="0083343A">
        <w:t xml:space="preserve"> grades as ester soluble products with nitrogen content from 11.8 to 12.3 %</w:t>
      </w:r>
      <w:r>
        <w:t>;</w:t>
      </w:r>
      <w:r w:rsidRPr="0083343A">
        <w:t xml:space="preserve"> </w:t>
      </w:r>
    </w:p>
    <w:p w:rsidR="000B0348" w:rsidRPr="0083343A" w:rsidRDefault="000B0348" w:rsidP="000B0348">
      <w:pPr>
        <w:pStyle w:val="SingleTxtG"/>
        <w:ind w:left="1701"/>
      </w:pPr>
      <w:r w:rsidRPr="0083343A">
        <w:t xml:space="preserve">(b) </w:t>
      </w:r>
      <w:r>
        <w:tab/>
      </w:r>
      <w:r w:rsidRPr="000B0348">
        <w:rPr>
          <w:b/>
        </w:rPr>
        <w:t>M</w:t>
      </w:r>
      <w:r w:rsidRPr="0083343A">
        <w:t>-grades as medium soluble grades with nitrogen content of 11.3 to 11.8 %</w:t>
      </w:r>
      <w:r>
        <w:t xml:space="preserve">; </w:t>
      </w:r>
      <w:r w:rsidRPr="0083343A">
        <w:t xml:space="preserve"> </w:t>
      </w:r>
    </w:p>
    <w:p w:rsidR="000B0348" w:rsidRPr="0083343A" w:rsidRDefault="000B0348" w:rsidP="000B0348">
      <w:pPr>
        <w:pStyle w:val="SingleTxtG"/>
        <w:ind w:left="1701"/>
      </w:pPr>
      <w:r w:rsidRPr="0083343A">
        <w:t xml:space="preserve">(c) </w:t>
      </w:r>
      <w:r>
        <w:tab/>
      </w:r>
      <w:r w:rsidRPr="000B0348">
        <w:rPr>
          <w:b/>
        </w:rPr>
        <w:t>A</w:t>
      </w:r>
      <w:r w:rsidRPr="0083343A">
        <w:t xml:space="preserve">-grades as alcohol soluble grades with a nitrogen content of 10.7 to 11.3 %. </w:t>
      </w:r>
    </w:p>
    <w:p w:rsidR="000B0348" w:rsidRDefault="000B0348" w:rsidP="000B0348">
      <w:pPr>
        <w:pStyle w:val="SingleTxtG"/>
        <w:ind w:left="1701" w:hanging="567"/>
        <w:rPr>
          <w:lang w:val="en-US"/>
        </w:rPr>
      </w:pPr>
      <w:r w:rsidRPr="00531CE0">
        <w:rPr>
          <w:lang w:val="en-US"/>
        </w:rPr>
        <w:t xml:space="preserve">The </w:t>
      </w:r>
      <w:r>
        <w:rPr>
          <w:lang w:val="en-US"/>
        </w:rPr>
        <w:t>testing results have been grouped accordingly into 3 separate tables.</w:t>
      </w:r>
    </w:p>
    <w:p w:rsidR="000B0348" w:rsidRDefault="00B9104E" w:rsidP="000B0348">
      <w:pPr>
        <w:pStyle w:val="SingleTxtG"/>
        <w:rPr>
          <w:lang w:val="en-US"/>
        </w:rPr>
      </w:pPr>
      <w:r>
        <w:rPr>
          <w:lang w:val="en-US"/>
        </w:rPr>
        <w:t>5</w:t>
      </w:r>
      <w:r w:rsidR="000B0348" w:rsidRPr="0083343A">
        <w:rPr>
          <w:lang w:val="en-US"/>
        </w:rPr>
        <w:t xml:space="preserve">. </w:t>
      </w:r>
      <w:r w:rsidR="000B0348" w:rsidRPr="0083343A">
        <w:rPr>
          <w:lang w:val="en-US"/>
        </w:rPr>
        <w:tab/>
        <w:t xml:space="preserve">The first column of the tables provides the types of the </w:t>
      </w:r>
      <w:r w:rsidR="000B0348">
        <w:rPr>
          <w:lang w:val="en-US"/>
        </w:rPr>
        <w:t>i</w:t>
      </w:r>
      <w:r w:rsidR="000B0348" w:rsidRPr="0083343A">
        <w:rPr>
          <w:lang w:val="en-US"/>
        </w:rPr>
        <w:t xml:space="preserve">ndustrial </w:t>
      </w:r>
      <w:r w:rsidR="000B0348">
        <w:rPr>
          <w:lang w:val="en-US"/>
        </w:rPr>
        <w:t>n</w:t>
      </w:r>
      <w:r w:rsidR="000B0348" w:rsidRPr="0083343A">
        <w:rPr>
          <w:lang w:val="en-US"/>
        </w:rPr>
        <w:t xml:space="preserve">itrocellulose, which are identified according to ISO 14446 by a combination of two elements: </w:t>
      </w:r>
    </w:p>
    <w:p w:rsidR="000B0348" w:rsidRPr="0083343A" w:rsidRDefault="000B0348" w:rsidP="000B0348">
      <w:pPr>
        <w:pStyle w:val="SingleTxtG"/>
        <w:ind w:left="1701"/>
      </w:pPr>
      <w:r>
        <w:t>(a)</w:t>
      </w:r>
      <w:r>
        <w:tab/>
      </w:r>
      <w:r w:rsidRPr="0083343A">
        <w:t xml:space="preserve">A 1- or 2-digit number, which indicates the concentration of the NC solution that is required for a viscosity of 400 +-25 </w:t>
      </w:r>
      <w:proofErr w:type="spellStart"/>
      <w:r w:rsidRPr="0083343A">
        <w:t>mPa.s</w:t>
      </w:r>
      <w:proofErr w:type="spellEnd"/>
      <w:r>
        <w:rPr>
          <w:lang w:val="fr-CH"/>
        </w:rPr>
        <w:t>;</w:t>
      </w:r>
      <w:r w:rsidRPr="0083343A">
        <w:t xml:space="preserve"> and </w:t>
      </w:r>
    </w:p>
    <w:p w:rsidR="000B0348" w:rsidRPr="00B2448F" w:rsidRDefault="000B0348" w:rsidP="000B0348">
      <w:pPr>
        <w:pStyle w:val="SingleTxtG"/>
        <w:ind w:left="1701"/>
        <w:rPr>
          <w:lang w:val="fr-CH"/>
        </w:rPr>
      </w:pPr>
      <w:r>
        <w:t>(b)</w:t>
      </w:r>
      <w:r>
        <w:tab/>
      </w:r>
      <w:r w:rsidRPr="0083343A">
        <w:t>A letter which identifies the solvent in w</w:t>
      </w:r>
      <w:r>
        <w:t>hich the NC-</w:t>
      </w:r>
      <w:r>
        <w:softHyphen/>
        <w:t>product is soluble</w:t>
      </w:r>
      <w:r>
        <w:rPr>
          <w:lang w:val="fr-CH"/>
        </w:rPr>
        <w:t>.</w:t>
      </w:r>
    </w:p>
    <w:p w:rsidR="000B0348" w:rsidRPr="00B2448F" w:rsidRDefault="000B0348" w:rsidP="000B0348">
      <w:pPr>
        <w:pStyle w:val="Bullet1G"/>
        <w:tabs>
          <w:tab w:val="clear" w:pos="1701"/>
          <w:tab w:val="left" w:pos="2552"/>
        </w:tabs>
        <w:ind w:left="2268" w:firstLine="0"/>
      </w:pPr>
      <w:proofErr w:type="spellStart"/>
      <w:r w:rsidRPr="00B2448F">
        <w:rPr>
          <w:b/>
        </w:rPr>
        <w:t>E</w:t>
      </w:r>
      <w:proofErr w:type="spellEnd"/>
      <w:r w:rsidRPr="00B2448F">
        <w:t xml:space="preserve"> stands for ester soluble </w:t>
      </w:r>
    </w:p>
    <w:p w:rsidR="000B0348" w:rsidRPr="00B2448F" w:rsidRDefault="000B0348" w:rsidP="000B0348">
      <w:pPr>
        <w:pStyle w:val="Bullet1G"/>
        <w:tabs>
          <w:tab w:val="clear" w:pos="1701"/>
          <w:tab w:val="left" w:pos="2552"/>
        </w:tabs>
        <w:ind w:left="2268" w:firstLine="0"/>
      </w:pPr>
      <w:r w:rsidRPr="00B2448F">
        <w:rPr>
          <w:b/>
        </w:rPr>
        <w:t>M</w:t>
      </w:r>
      <w:r w:rsidRPr="00B2448F">
        <w:t xml:space="preserve"> stands for medium soluble </w:t>
      </w:r>
    </w:p>
    <w:p w:rsidR="000B0348" w:rsidRPr="00B2448F" w:rsidRDefault="000B0348" w:rsidP="000B0348">
      <w:pPr>
        <w:pStyle w:val="Bullet1G"/>
        <w:tabs>
          <w:tab w:val="clear" w:pos="1701"/>
          <w:tab w:val="left" w:pos="2552"/>
        </w:tabs>
        <w:ind w:left="2268" w:firstLine="0"/>
      </w:pPr>
      <w:r w:rsidRPr="00B2448F">
        <w:rPr>
          <w:b/>
        </w:rPr>
        <w:lastRenderedPageBreak/>
        <w:t>A</w:t>
      </w:r>
      <w:r w:rsidRPr="00B2448F">
        <w:t xml:space="preserve"> stands for alcohol soluble </w:t>
      </w:r>
    </w:p>
    <w:p w:rsidR="000B0348" w:rsidRDefault="000B0348" w:rsidP="000B0348">
      <w:pPr>
        <w:pStyle w:val="SingleTxtG"/>
      </w:pPr>
      <w:r w:rsidRPr="009F45D4">
        <w:t>For example for the NC-type 4</w:t>
      </w:r>
      <w:r w:rsidRPr="0083343A">
        <w:t xml:space="preserve">E </w:t>
      </w:r>
      <w:r w:rsidRPr="009F45D4">
        <w:t xml:space="preserve">in </w:t>
      </w:r>
      <w:r>
        <w:t>the first t</w:t>
      </w:r>
      <w:r w:rsidRPr="009F45D4">
        <w:t>able, with a concentration of 4 %</w:t>
      </w:r>
      <w:r>
        <w:t>, a</w:t>
      </w:r>
      <w:r w:rsidRPr="009F45D4">
        <w:t xml:space="preserve"> viscosity of 400 +-25 mPa</w:t>
      </w:r>
      <w:r>
        <w:t>.s</w:t>
      </w:r>
      <w:r w:rsidRPr="009F45D4">
        <w:t>.is achieved.</w:t>
      </w:r>
    </w:p>
    <w:p w:rsidR="000B0348" w:rsidRDefault="000B0348" w:rsidP="000B0348">
      <w:pPr>
        <w:pStyle w:val="SingleTxtG"/>
      </w:pPr>
      <w:r w:rsidRPr="009F45D4">
        <w:t xml:space="preserve">The viscosities are measured in a solvent mixture of 95 % acetone/5 % water with a </w:t>
      </w:r>
      <w:proofErr w:type="spellStart"/>
      <w:r w:rsidRPr="009F45D4">
        <w:t>Höppler</w:t>
      </w:r>
      <w:proofErr w:type="spellEnd"/>
      <w:r w:rsidRPr="009F45D4">
        <w:t xml:space="preserve"> viscometer. </w:t>
      </w:r>
      <w:r>
        <w:t>Historically i</w:t>
      </w:r>
      <w:r w:rsidRPr="009F45D4">
        <w:t xml:space="preserve">ndustrial </w:t>
      </w:r>
      <w:r>
        <w:t>n</w:t>
      </w:r>
      <w:r w:rsidRPr="009F45D4">
        <w:t xml:space="preserve">itrocellulose </w:t>
      </w:r>
      <w:r>
        <w:t>types have been developed f</w:t>
      </w:r>
      <w:r w:rsidRPr="009F45D4">
        <w:t xml:space="preserve">or </w:t>
      </w:r>
      <w:r>
        <w:t xml:space="preserve">a number of </w:t>
      </w:r>
      <w:r w:rsidRPr="009F45D4">
        <w:t xml:space="preserve">Norm-viscosities </w:t>
      </w:r>
      <w:r>
        <w:t xml:space="preserve">only </w:t>
      </w:r>
      <w:r w:rsidRPr="009F45D4">
        <w:t>and not for all Norm-</w:t>
      </w:r>
      <w:r w:rsidRPr="009F45D4">
        <w:softHyphen/>
        <w:t>viscosities. As it is technically possible to produce products with all Norm-viscosities, all relevant Norm-viscosities were entered in the table</w:t>
      </w:r>
      <w:r>
        <w:t>s</w:t>
      </w:r>
      <w:r w:rsidRPr="009F45D4">
        <w:t xml:space="preserve">, </w:t>
      </w:r>
      <w:r>
        <w:t xml:space="preserve">but </w:t>
      </w:r>
      <w:r w:rsidRPr="009F45D4">
        <w:t xml:space="preserve">some </w:t>
      </w:r>
      <w:r>
        <w:t xml:space="preserve">cells in the tables therefore remain </w:t>
      </w:r>
      <w:r w:rsidRPr="009F45D4">
        <w:t xml:space="preserve">empty. </w:t>
      </w:r>
    </w:p>
    <w:p w:rsidR="000B0348" w:rsidRDefault="00B9104E" w:rsidP="000B0348">
      <w:pPr>
        <w:pStyle w:val="SingleTxtG"/>
      </w:pPr>
      <w:r>
        <w:rPr>
          <w:lang w:val="fr-CH"/>
        </w:rPr>
        <w:t>6</w:t>
      </w:r>
      <w:r w:rsidR="000B0348">
        <w:t xml:space="preserve">. </w:t>
      </w:r>
      <w:r w:rsidR="000B0348">
        <w:tab/>
      </w:r>
      <w:r w:rsidR="000B0348" w:rsidRPr="009F45D4">
        <w:t xml:space="preserve">The </w:t>
      </w:r>
      <w:r w:rsidR="000B0348">
        <w:t xml:space="preserve">results of the tests are presented per </w:t>
      </w:r>
      <w:proofErr w:type="spellStart"/>
      <w:r w:rsidR="000B0348" w:rsidRPr="000A2C71">
        <w:t>phlegmatizer</w:t>
      </w:r>
      <w:proofErr w:type="spellEnd"/>
      <w:r w:rsidR="000B0348">
        <w:t xml:space="preserve"> content</w:t>
      </w:r>
      <w:r w:rsidR="000B0348" w:rsidRPr="002A607E">
        <w:rPr>
          <w:lang w:val="en-US"/>
        </w:rPr>
        <w:t xml:space="preserve"> for </w:t>
      </w:r>
      <w:r w:rsidR="000B0348">
        <w:rPr>
          <w:lang w:val="en-US"/>
        </w:rPr>
        <w:t xml:space="preserve">the </w:t>
      </w:r>
      <w:proofErr w:type="spellStart"/>
      <w:r w:rsidR="000B0348">
        <w:rPr>
          <w:lang w:val="en-US"/>
        </w:rPr>
        <w:t>phlegmatizers</w:t>
      </w:r>
      <w:proofErr w:type="spellEnd"/>
      <w:r w:rsidR="000B0348">
        <w:rPr>
          <w:lang w:val="en-US"/>
        </w:rPr>
        <w:t xml:space="preserve"> </w:t>
      </w:r>
      <w:r w:rsidR="000B0348" w:rsidRPr="002A607E">
        <w:rPr>
          <w:lang w:val="en-US"/>
        </w:rPr>
        <w:t xml:space="preserve">Isopropanol (IPA), Ethanol (ETH), </w:t>
      </w:r>
      <w:proofErr w:type="spellStart"/>
      <w:r w:rsidR="000B0348" w:rsidRPr="002A607E">
        <w:rPr>
          <w:lang w:val="en-US"/>
        </w:rPr>
        <w:t>Butanol</w:t>
      </w:r>
      <w:proofErr w:type="spellEnd"/>
      <w:r w:rsidR="000B0348" w:rsidRPr="002A607E">
        <w:rPr>
          <w:lang w:val="en-US"/>
        </w:rPr>
        <w:t xml:space="preserve"> (BUT) and Water</w:t>
      </w:r>
      <w:r w:rsidR="000B0348">
        <w:t>.</w:t>
      </w: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B9104E" w:rsidRDefault="00B9104E">
      <w:pPr>
        <w:suppressAutoHyphens w:val="0"/>
        <w:spacing w:line="240" w:lineRule="auto"/>
        <w:rPr>
          <w:lang w:val="fr-CH"/>
        </w:rPr>
      </w:pPr>
      <w:r>
        <w:rPr>
          <w:lang w:val="fr-CH"/>
        </w:rPr>
        <w:br w:type="page"/>
      </w:r>
    </w:p>
    <w:p w:rsidR="00B9104E" w:rsidRDefault="00B9104E" w:rsidP="00B9104E">
      <w:pPr>
        <w:pStyle w:val="SingleTxtG"/>
        <w:rPr>
          <w:b/>
          <w:lang w:val="fr-CH"/>
        </w:rPr>
      </w:pPr>
      <w:r w:rsidRPr="00B9104E">
        <w:rPr>
          <w:b/>
        </w:rPr>
        <w:lastRenderedPageBreak/>
        <w:t xml:space="preserve">Compilation of category classifications for NC-Norm grades according </w:t>
      </w:r>
      <w:r w:rsidRPr="00B9104E">
        <w:rPr>
          <w:b/>
          <w:lang w:val="en-US"/>
        </w:rPr>
        <w:t xml:space="preserve">to </w:t>
      </w:r>
      <w:r w:rsidRPr="00B9104E">
        <w:rPr>
          <w:b/>
        </w:rPr>
        <w:t>UN GHS ch</w:t>
      </w:r>
      <w:r w:rsidRPr="00B9104E">
        <w:rPr>
          <w:b/>
          <w:lang w:val="en-US"/>
        </w:rPr>
        <w:t>a</w:t>
      </w:r>
      <w:proofErr w:type="spellStart"/>
      <w:r w:rsidRPr="00B9104E">
        <w:rPr>
          <w:b/>
        </w:rPr>
        <w:t>pter</w:t>
      </w:r>
      <w:proofErr w:type="spellEnd"/>
      <w:r w:rsidRPr="00B9104E">
        <w:rPr>
          <w:b/>
        </w:rPr>
        <w:t xml:space="preserve"> 2.17 des</w:t>
      </w:r>
      <w:r w:rsidRPr="00B9104E">
        <w:rPr>
          <w:b/>
          <w:lang w:val="en-US"/>
        </w:rPr>
        <w:t>e</w:t>
      </w:r>
      <w:proofErr w:type="spellStart"/>
      <w:r w:rsidRPr="00B9104E">
        <w:rPr>
          <w:b/>
        </w:rPr>
        <w:t>nsitized</w:t>
      </w:r>
      <w:proofErr w:type="spellEnd"/>
      <w:r w:rsidRPr="00B9104E">
        <w:rPr>
          <w:b/>
        </w:rPr>
        <w:t xml:space="preserve"> explosives </w:t>
      </w:r>
      <w:r w:rsidRPr="00B9104E">
        <w:rPr>
          <w:b/>
          <w:lang w:val="en-US"/>
        </w:rPr>
        <w:t xml:space="preserve">(Tests </w:t>
      </w:r>
      <w:r w:rsidRPr="00B9104E">
        <w:rPr>
          <w:b/>
        </w:rPr>
        <w:t>made by BAM in the years from 1981 to 2011</w:t>
      </w:r>
    </w:p>
    <w:p w:rsidR="00B9104E" w:rsidRDefault="00B9104E" w:rsidP="00B9104E">
      <w:pPr>
        <w:pStyle w:val="SingleTxtG"/>
        <w:jc w:val="left"/>
        <w:rPr>
          <w:b/>
          <w:lang w:val="fr-CH"/>
        </w:rPr>
      </w:pPr>
      <w:r w:rsidRPr="00B9104E">
        <w:rPr>
          <w:b/>
          <w:lang w:val="fr-CH"/>
        </w:rPr>
        <w:t>IPA = Isopropanol, ETH = Ethanol, BUT = Butanol</w:t>
      </w:r>
    </w:p>
    <w:p w:rsidR="00B9104E" w:rsidRPr="000A2C71" w:rsidRDefault="00B9104E" w:rsidP="00B9104E">
      <w:pPr>
        <w:pStyle w:val="SingleTxtG"/>
        <w:jc w:val="left"/>
      </w:pPr>
      <w:r w:rsidRPr="000A2C71">
        <w:t>(a)</w:t>
      </w:r>
      <w:r w:rsidRPr="000A2C71">
        <w:tab/>
        <w:t xml:space="preserve">Part Ester </w:t>
      </w:r>
      <w:r w:rsidRPr="00B9104E">
        <w:t>soluble</w:t>
      </w:r>
      <w:r w:rsidRPr="000A2C71">
        <w:t xml:space="preserve"> E-grades with a Nitrogen Content of 11.8 to 12.3 %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7563">
        <w:trPr>
          <w:trHeight w:val="30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proofErr w:type="spellStart"/>
            <w:r w:rsidRPr="00B9104E">
              <w:rPr>
                <w:rFonts w:eastAsia="Times New Roman"/>
                <w:bCs/>
                <w:iCs/>
                <w:color w:val="000000"/>
                <w:lang w:val="de-DE" w:eastAsia="de-DE"/>
              </w:rPr>
              <w:t>Water</w:t>
            </w:r>
            <w:proofErr w:type="spellEnd"/>
            <w:r w:rsidRPr="00B9104E">
              <w:rPr>
                <w:rFonts w:eastAsia="Times New Roman"/>
                <w:bCs/>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NC-Chips </w:t>
            </w:r>
            <w:proofErr w:type="spellStart"/>
            <w:r w:rsidRPr="00B9104E">
              <w:rPr>
                <w:rFonts w:eastAsia="Times New Roman"/>
                <w:bCs/>
                <w:iCs/>
                <w:color w:val="000000"/>
                <w:lang w:val="de-DE" w:eastAsia="de-DE"/>
              </w:rPr>
              <w:t>with</w:t>
            </w:r>
            <w:proofErr w:type="spellEnd"/>
            <w:r w:rsidRPr="00B9104E">
              <w:rPr>
                <w:rFonts w:eastAsia="Times New Roman"/>
                <w:bCs/>
                <w:iCs/>
                <w:color w:val="000000"/>
                <w:lang w:val="de-DE" w:eastAsia="de-DE"/>
              </w:rPr>
              <w:t xml:space="preserve"> </w:t>
            </w:r>
          </w:p>
        </w:tc>
      </w:tr>
      <w:tr w:rsidR="00B9104E" w:rsidRPr="00B9104E" w:rsidTr="006B7563">
        <w:trPr>
          <w:trHeight w:val="30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rPr>
                <w:rFonts w:eastAsia="Times New Roman"/>
                <w:bCs/>
                <w:iCs/>
                <w:color w:val="000000"/>
                <w:lang w:val="de-DE" w:eastAsia="de-DE"/>
              </w:rPr>
            </w:pPr>
            <w:r w:rsidRPr="00B9104E">
              <w:rPr>
                <w:rFonts w:eastAsia="Times New Roman"/>
                <w:bCs/>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20 % </w:t>
            </w:r>
            <w:proofErr w:type="spellStart"/>
            <w:r w:rsidRPr="00B9104E">
              <w:rPr>
                <w:rFonts w:eastAsia="Times New Roman"/>
                <w:bCs/>
                <w:iCs/>
                <w:color w:val="000000"/>
                <w:lang w:val="de-DE" w:eastAsia="de-DE"/>
              </w:rPr>
              <w:t>Plasticizer</w:t>
            </w:r>
            <w:proofErr w:type="spellEnd"/>
          </w:p>
        </w:tc>
      </w:tr>
      <w:tr w:rsidR="00B9104E" w:rsidRPr="00B9104E" w:rsidTr="006B7563">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(330)</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(760 )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(530)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(540)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(390)</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(430 )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(320)</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(330)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(330)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17E</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bl>
    <w:p w:rsidR="00B9104E" w:rsidRDefault="00B9104E" w:rsidP="000B0348">
      <w:pPr>
        <w:rPr>
          <w:lang w:val="fr-CH"/>
        </w:rPr>
      </w:pPr>
    </w:p>
    <w:p w:rsidR="00B9104E" w:rsidRDefault="00B9104E" w:rsidP="000B0348">
      <w:pPr>
        <w:rPr>
          <w:lang w:val="fr-CH"/>
        </w:rPr>
      </w:pPr>
    </w:p>
    <w:p w:rsidR="00B9104E" w:rsidRDefault="00B9104E" w:rsidP="00B9104E">
      <w:pPr>
        <w:pStyle w:val="SingleTxtG"/>
        <w:rPr>
          <w:i/>
        </w:rPr>
      </w:pPr>
      <w:r>
        <w:lastRenderedPageBreak/>
        <w:t xml:space="preserve">Compilation of category </w:t>
      </w:r>
      <w:r w:rsidRPr="000A2C71">
        <w:t xml:space="preserve">classifications for NC-Norm grades according to </w:t>
      </w:r>
      <w:r w:rsidRPr="00354B36">
        <w:rPr>
          <w:lang w:val="en-US"/>
        </w:rPr>
        <w:t xml:space="preserve">UN GHS  chapter 2.17 desensitized explosives </w:t>
      </w:r>
      <w:r>
        <w:rPr>
          <w:lang w:val="en-US"/>
        </w:rPr>
        <w:t xml:space="preserve">(Tests </w:t>
      </w:r>
      <w:r w:rsidRPr="000A2C71">
        <w:t xml:space="preserve"> made by BAM in the years from 1981 to 2011 </w:t>
      </w:r>
      <w:r>
        <w:rPr>
          <w:i/>
        </w:rPr>
        <w:t>(continued)</w:t>
      </w:r>
    </w:p>
    <w:p w:rsidR="00B9104E" w:rsidRDefault="00B9104E" w:rsidP="00B9104E">
      <w:pPr>
        <w:pStyle w:val="SingleTxtG"/>
        <w:jc w:val="left"/>
        <w:rPr>
          <w:b/>
          <w:lang w:val="fr-CH"/>
        </w:rPr>
      </w:pPr>
      <w:r w:rsidRPr="00287671">
        <w:rPr>
          <w:b/>
          <w:lang w:val="fr-CH"/>
        </w:rPr>
        <w:t>IPA = Isopropanol, ETH = Ethanol, BUT = Butanol</w:t>
      </w:r>
    </w:p>
    <w:p w:rsidR="00B9104E" w:rsidRPr="000A2C71" w:rsidRDefault="00B9104E" w:rsidP="00B9104E">
      <w:pPr>
        <w:pStyle w:val="SingleTxtG"/>
        <w:jc w:val="left"/>
      </w:pPr>
      <w:r w:rsidRPr="000A2C71">
        <w:t>(b)</w:t>
      </w:r>
      <w:r w:rsidRPr="000A2C71">
        <w:tab/>
        <w:t>Part Medium soluble M-grades with a Nitrogen content of 11.3 to 11.8 %</w:t>
      </w:r>
    </w:p>
    <w:tbl>
      <w:tblPr>
        <w:tblW w:w="7434" w:type="dxa"/>
        <w:tblInd w:w="1204"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7563">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en-US" w:eastAsia="de-DE"/>
              </w:rPr>
            </w:pPr>
            <w:r w:rsidRPr="00B9104E">
              <w:rPr>
                <w:rFonts w:eastAsia="Times New Roman"/>
                <w:b/>
                <w:bCs/>
                <w:i/>
                <w:iCs/>
                <w:lang w:val="en-US"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en-US" w:eastAsia="de-DE"/>
              </w:rPr>
            </w:pPr>
            <w:r w:rsidRPr="00B9104E">
              <w:rPr>
                <w:rFonts w:eastAsia="Times New Roman"/>
                <w:b/>
                <w:bCs/>
                <w:i/>
                <w:iCs/>
                <w:lang w:val="en-US"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en-US" w:eastAsia="de-DE"/>
              </w:rPr>
              <w:t>N</w:t>
            </w:r>
            <w:r w:rsidRPr="00B9104E">
              <w:rPr>
                <w:rFonts w:eastAsia="Times New Roman"/>
                <w:b/>
                <w:bCs/>
                <w:i/>
                <w:iCs/>
                <w:color w:val="000000"/>
                <w:lang w:val="de-DE" w:eastAsia="de-DE"/>
              </w:rPr>
              <w:t xml:space="preserve">C-Chips </w:t>
            </w:r>
            <w:proofErr w:type="spellStart"/>
            <w:r w:rsidRPr="00B9104E">
              <w:rPr>
                <w:rFonts w:eastAsia="Times New Roman"/>
                <w:b/>
                <w:bCs/>
                <w:i/>
                <w:iCs/>
                <w:color w:val="000000"/>
                <w:lang w:val="de-DE" w:eastAsia="de-DE"/>
              </w:rPr>
              <w:t>with</w:t>
            </w:r>
            <w:proofErr w:type="spellEnd"/>
            <w:r w:rsidRPr="00B9104E">
              <w:rPr>
                <w:rFonts w:eastAsia="Times New Roman"/>
                <w:b/>
                <w:bCs/>
                <w:i/>
                <w:iCs/>
                <w:color w:val="000000"/>
                <w:lang w:val="de-DE" w:eastAsia="de-DE"/>
              </w:rPr>
              <w:t xml:space="preserve"> </w:t>
            </w:r>
          </w:p>
        </w:tc>
      </w:tr>
      <w:tr w:rsidR="00B9104E" w:rsidRPr="00B9104E" w:rsidTr="006B7563">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rPr>
                <w:rFonts w:eastAsia="Times New Roman"/>
                <w:b/>
                <w:bCs/>
                <w:i/>
                <w:iCs/>
                <w:color w:val="000000"/>
                <w:lang w:val="de-DE" w:eastAsia="de-DE"/>
              </w:rPr>
            </w:pPr>
            <w:r w:rsidRPr="00B9104E">
              <w:rPr>
                <w:rFonts w:eastAsia="Times New Roman"/>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20 % </w:t>
            </w:r>
            <w:proofErr w:type="spellStart"/>
            <w:r w:rsidRPr="00B9104E">
              <w:rPr>
                <w:rFonts w:eastAsia="Times New Roman"/>
                <w:b/>
                <w:bCs/>
                <w:i/>
                <w:iCs/>
                <w:color w:val="000000"/>
                <w:lang w:val="de-DE" w:eastAsia="de-DE"/>
              </w:rPr>
              <w:t>Plasticizer</w:t>
            </w:r>
            <w:proofErr w:type="spellEnd"/>
          </w:p>
        </w:tc>
      </w:tr>
      <w:tr w:rsidR="00B9104E" w:rsidRPr="00B9104E" w:rsidTr="006B7563">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15M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16M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17M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18M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xml:space="preserve">  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19M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20M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21M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25M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26M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27M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28M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29M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30M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31M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bl>
    <w:p w:rsidR="00B9104E" w:rsidRDefault="00B9104E" w:rsidP="00B9104E">
      <w:pPr>
        <w:pStyle w:val="SingleTxtG"/>
        <w:rPr>
          <w:lang w:val="fr-CH"/>
        </w:rPr>
      </w:pPr>
    </w:p>
    <w:p w:rsidR="00B9104E" w:rsidRDefault="00B9104E" w:rsidP="00B9104E">
      <w:pPr>
        <w:pStyle w:val="SingleTxtG"/>
        <w:rPr>
          <w:lang w:val="fr-CH"/>
        </w:rPr>
      </w:pPr>
    </w:p>
    <w:p w:rsidR="00B9104E" w:rsidRDefault="00B9104E" w:rsidP="00B9104E">
      <w:pPr>
        <w:pStyle w:val="SingleTxtG"/>
        <w:rPr>
          <w:lang w:val="fr-CH"/>
        </w:rPr>
      </w:pPr>
    </w:p>
    <w:p w:rsidR="00B9104E" w:rsidRDefault="00B9104E" w:rsidP="00B9104E">
      <w:pPr>
        <w:pStyle w:val="SingleTxtG"/>
        <w:rPr>
          <w:lang w:val="fr-CH"/>
        </w:rPr>
      </w:pPr>
    </w:p>
    <w:p w:rsidR="00B9104E" w:rsidRDefault="00B9104E">
      <w:pPr>
        <w:suppressAutoHyphens w:val="0"/>
        <w:spacing w:line="240" w:lineRule="auto"/>
        <w:rPr>
          <w:lang w:val="fr-CH"/>
        </w:rPr>
      </w:pPr>
      <w:r>
        <w:rPr>
          <w:lang w:val="fr-CH"/>
        </w:rPr>
        <w:br w:type="page"/>
      </w:r>
    </w:p>
    <w:p w:rsidR="00B9104E" w:rsidRDefault="00B9104E" w:rsidP="00B9104E">
      <w:pPr>
        <w:pStyle w:val="SingleTxtG"/>
        <w:rPr>
          <w:i/>
        </w:rPr>
      </w:pPr>
      <w:r w:rsidRPr="00023325">
        <w:lastRenderedPageBreak/>
        <w:t xml:space="preserve">Compilation of </w:t>
      </w:r>
      <w:r w:rsidRPr="00023325">
        <w:rPr>
          <w:lang w:val="en-US"/>
        </w:rPr>
        <w:t xml:space="preserve">category classifications </w:t>
      </w:r>
      <w:r w:rsidRPr="00023325">
        <w:t xml:space="preserve"> for NC-Norm grades according to </w:t>
      </w:r>
      <w:r w:rsidRPr="00023325">
        <w:rPr>
          <w:lang w:val="en-US"/>
        </w:rPr>
        <w:t>UN</w:t>
      </w:r>
      <w:r w:rsidRPr="00354B36">
        <w:rPr>
          <w:lang w:val="en-US"/>
        </w:rPr>
        <w:t xml:space="preserve"> GHS  chapter 2.17 desensitized explosives </w:t>
      </w:r>
      <w:r>
        <w:rPr>
          <w:lang w:val="en-US"/>
        </w:rPr>
        <w:t xml:space="preserve">(Tests </w:t>
      </w:r>
      <w:r w:rsidRPr="000A2C71">
        <w:t xml:space="preserve"> made by BAM in the years from 1981 to 2011 </w:t>
      </w:r>
      <w:r>
        <w:rPr>
          <w:i/>
        </w:rPr>
        <w:t>(continued)</w:t>
      </w:r>
    </w:p>
    <w:p w:rsidR="00B9104E" w:rsidRDefault="00B9104E" w:rsidP="00B9104E">
      <w:pPr>
        <w:pStyle w:val="SingleTxtG"/>
        <w:jc w:val="left"/>
        <w:rPr>
          <w:b/>
          <w:lang w:val="fr-CH"/>
        </w:rPr>
      </w:pPr>
      <w:r w:rsidRPr="00287671">
        <w:rPr>
          <w:b/>
          <w:lang w:val="fr-CH"/>
        </w:rPr>
        <w:t>IPA = Isopropanol, ETH = Ethanol, BUT = Butanol</w:t>
      </w:r>
    </w:p>
    <w:p w:rsidR="00B9104E" w:rsidRPr="000A2C71" w:rsidRDefault="00B9104E" w:rsidP="00B9104E">
      <w:pPr>
        <w:pStyle w:val="SingleTxtG"/>
        <w:jc w:val="left"/>
      </w:pPr>
      <w:r>
        <w:t>(c)</w:t>
      </w:r>
      <w:r>
        <w:tab/>
      </w:r>
      <w:r w:rsidRPr="000A2C71">
        <w:t>Part Alcohol-soluble A-grades with a Nitrogen content of 10.7 to 11.3 %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7563">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proofErr w:type="spellStart"/>
            <w:r w:rsidRPr="00B9104E">
              <w:rPr>
                <w:rFonts w:eastAsia="Times New Roman"/>
                <w:b/>
                <w:bCs/>
                <w:i/>
                <w:iCs/>
                <w:color w:val="000000"/>
                <w:lang w:val="de-DE" w:eastAsia="de-DE"/>
              </w:rPr>
              <w:t>Water</w:t>
            </w:r>
            <w:proofErr w:type="spellEnd"/>
            <w:r w:rsidRPr="00B9104E">
              <w:rPr>
                <w:rFonts w:eastAsia="Times New Roman"/>
                <w:b/>
                <w:bCs/>
                <w:i/>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NC-Chips </w:t>
            </w:r>
            <w:proofErr w:type="spellStart"/>
            <w:r w:rsidRPr="00B9104E">
              <w:rPr>
                <w:rFonts w:eastAsia="Times New Roman"/>
                <w:b/>
                <w:bCs/>
                <w:i/>
                <w:iCs/>
                <w:color w:val="000000"/>
                <w:lang w:val="de-DE" w:eastAsia="de-DE"/>
              </w:rPr>
              <w:t>with</w:t>
            </w:r>
            <w:proofErr w:type="spellEnd"/>
            <w:r w:rsidRPr="00B9104E">
              <w:rPr>
                <w:rFonts w:eastAsia="Times New Roman"/>
                <w:b/>
                <w:bCs/>
                <w:i/>
                <w:iCs/>
                <w:color w:val="000000"/>
                <w:lang w:val="de-DE" w:eastAsia="de-DE"/>
              </w:rPr>
              <w:t xml:space="preserve"> </w:t>
            </w:r>
          </w:p>
        </w:tc>
      </w:tr>
      <w:tr w:rsidR="00B9104E" w:rsidRPr="00B9104E" w:rsidTr="006B7563">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rPr>
                <w:rFonts w:eastAsia="Times New Roman"/>
                <w:b/>
                <w:bCs/>
                <w:i/>
                <w:iCs/>
                <w:color w:val="000000"/>
                <w:lang w:val="de-DE" w:eastAsia="de-DE"/>
              </w:rPr>
            </w:pPr>
            <w:r w:rsidRPr="00B9104E">
              <w:rPr>
                <w:rFonts w:eastAsia="Times New Roman"/>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20 % </w:t>
            </w:r>
            <w:proofErr w:type="spellStart"/>
            <w:r w:rsidRPr="00B9104E">
              <w:rPr>
                <w:rFonts w:eastAsia="Times New Roman"/>
                <w:b/>
                <w:bCs/>
                <w:i/>
                <w:iCs/>
                <w:color w:val="000000"/>
                <w:lang w:val="de-DE" w:eastAsia="de-DE"/>
              </w:rPr>
              <w:t>Plasticizer</w:t>
            </w:r>
            <w:proofErr w:type="spellEnd"/>
          </w:p>
        </w:tc>
      </w:tr>
      <w:tr w:rsidR="00B9104E" w:rsidRPr="00B9104E" w:rsidTr="006B7563">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16A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26A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bl>
    <w:p w:rsidR="00B9104E" w:rsidRDefault="00B9104E" w:rsidP="00B9104E">
      <w:pPr>
        <w:pStyle w:val="SingleTxtG"/>
        <w:rPr>
          <w:lang w:val="fr-CH"/>
        </w:rPr>
      </w:pPr>
    </w:p>
    <w:p w:rsidR="00B9104E" w:rsidRDefault="00B9104E" w:rsidP="00B9104E">
      <w:pPr>
        <w:pStyle w:val="SingleTxtG"/>
        <w:rPr>
          <w:lang w:val="fr-CH"/>
        </w:rPr>
      </w:pPr>
    </w:p>
    <w:p w:rsidR="00B9104E" w:rsidRDefault="00B9104E">
      <w:pPr>
        <w:suppressAutoHyphens w:val="0"/>
        <w:spacing w:line="240" w:lineRule="auto"/>
        <w:rPr>
          <w:lang w:val="fr-CH"/>
        </w:rPr>
      </w:pPr>
      <w:r>
        <w:rPr>
          <w:lang w:val="fr-CH"/>
        </w:rPr>
        <w:br w:type="page"/>
      </w:r>
    </w:p>
    <w:p w:rsidR="00B9104E" w:rsidRPr="000A2C71" w:rsidRDefault="00B9104E" w:rsidP="00B9104E">
      <w:pPr>
        <w:pStyle w:val="HChG"/>
        <w:rPr>
          <w:lang w:val="en-US"/>
        </w:rPr>
      </w:pPr>
      <w:r w:rsidRPr="000A2C71">
        <w:rPr>
          <w:lang w:val="en-US"/>
        </w:rPr>
        <w:lastRenderedPageBreak/>
        <w:t>A</w:t>
      </w:r>
      <w:r>
        <w:rPr>
          <w:lang w:val="en-US"/>
        </w:rPr>
        <w:t>nnex</w:t>
      </w:r>
      <w:r w:rsidRPr="000A2C71">
        <w:rPr>
          <w:lang w:val="en-US"/>
        </w:rPr>
        <w:t xml:space="preserve"> 2</w:t>
      </w:r>
    </w:p>
    <w:p w:rsidR="00B9104E" w:rsidRPr="00AD4BE1" w:rsidRDefault="00B9104E" w:rsidP="00B9104E">
      <w:pPr>
        <w:pStyle w:val="HChG"/>
        <w:rPr>
          <w:sz w:val="24"/>
          <w:szCs w:val="24"/>
          <w:lang w:val="en-US"/>
        </w:rPr>
      </w:pPr>
      <w:r>
        <w:rPr>
          <w:lang w:val="en-US"/>
        </w:rPr>
        <w:tab/>
      </w:r>
      <w:r>
        <w:rPr>
          <w:lang w:val="en-US"/>
        </w:rPr>
        <w:tab/>
      </w:r>
      <w:r w:rsidRPr="00AD4BE1">
        <w:rPr>
          <w:sz w:val="24"/>
          <w:szCs w:val="24"/>
          <w:lang w:val="en-US"/>
        </w:rPr>
        <w:t xml:space="preserve">Comparison of the Categories according to UN GHS </w:t>
      </w:r>
      <w:r>
        <w:rPr>
          <w:sz w:val="24"/>
          <w:szCs w:val="24"/>
          <w:lang w:val="en-US"/>
        </w:rPr>
        <w:t xml:space="preserve">chapter </w:t>
      </w:r>
      <w:r w:rsidRPr="00AD4BE1">
        <w:rPr>
          <w:sz w:val="24"/>
          <w:szCs w:val="24"/>
          <w:lang w:val="en-US"/>
        </w:rPr>
        <w:t>2.17 desensitized explosives and the storage group</w:t>
      </w:r>
      <w:r>
        <w:rPr>
          <w:sz w:val="24"/>
          <w:szCs w:val="24"/>
          <w:lang w:val="en-US"/>
        </w:rPr>
        <w:t>s</w:t>
      </w:r>
      <w:r w:rsidRPr="00AD4BE1">
        <w:rPr>
          <w:sz w:val="24"/>
          <w:szCs w:val="24"/>
          <w:lang w:val="en-US"/>
        </w:rPr>
        <w:t xml:space="preserve"> according to “Sp</w:t>
      </w:r>
      <w:r>
        <w:rPr>
          <w:sz w:val="24"/>
          <w:szCs w:val="24"/>
          <w:lang w:val="en-US"/>
        </w:rPr>
        <w:t>rengLR11” of Germany</w:t>
      </w:r>
    </w:p>
    <w:tbl>
      <w:tblPr>
        <w:tblW w:w="765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2268"/>
        <w:gridCol w:w="3686"/>
      </w:tblGrid>
      <w:tr w:rsidR="00B9104E" w:rsidRPr="00B9104E" w:rsidTr="00B9104E">
        <w:trPr>
          <w:trHeight w:val="1050"/>
          <w:tblHeader/>
        </w:trPr>
        <w:tc>
          <w:tcPr>
            <w:tcW w:w="1701" w:type="dxa"/>
            <w:tcBorders>
              <w:top w:val="single" w:sz="4" w:space="0" w:color="auto"/>
              <w:bottom w:val="single" w:sz="12" w:space="0" w:color="auto"/>
            </w:tcBorders>
            <w:shd w:val="clear" w:color="auto" w:fill="auto"/>
            <w:vAlign w:val="bottom"/>
          </w:tcPr>
          <w:p w:rsidR="00B9104E" w:rsidRPr="00B9104E" w:rsidRDefault="00B9104E" w:rsidP="00B9104E">
            <w:pPr>
              <w:suppressAutoHyphens w:val="0"/>
              <w:spacing w:before="80" w:after="80" w:line="200" w:lineRule="exact"/>
              <w:ind w:right="113"/>
              <w:jc w:val="center"/>
              <w:rPr>
                <w:i/>
                <w:sz w:val="16"/>
              </w:rPr>
            </w:pPr>
            <w:r w:rsidRPr="00B9104E">
              <w:rPr>
                <w:i/>
                <w:sz w:val="16"/>
              </w:rPr>
              <w:t>Category according to UN GHS chapter 2.17</w:t>
            </w:r>
          </w:p>
        </w:tc>
        <w:tc>
          <w:tcPr>
            <w:tcW w:w="2268" w:type="dxa"/>
            <w:tcBorders>
              <w:top w:val="single" w:sz="4" w:space="0" w:color="auto"/>
              <w:bottom w:val="single" w:sz="12" w:space="0" w:color="auto"/>
            </w:tcBorders>
            <w:shd w:val="clear" w:color="auto" w:fill="auto"/>
            <w:vAlign w:val="bottom"/>
          </w:tcPr>
          <w:p w:rsidR="00B9104E" w:rsidRPr="00B9104E" w:rsidRDefault="00B9104E" w:rsidP="00B9104E">
            <w:pPr>
              <w:suppressAutoHyphens w:val="0"/>
              <w:spacing w:before="80" w:after="80" w:line="200" w:lineRule="exact"/>
              <w:ind w:right="113"/>
              <w:jc w:val="center"/>
              <w:rPr>
                <w:i/>
                <w:sz w:val="16"/>
              </w:rPr>
            </w:pPr>
            <w:r w:rsidRPr="00B9104E">
              <w:rPr>
                <w:i/>
                <w:sz w:val="16"/>
              </w:rPr>
              <w:t>Storage group according to “SprengLR011”</w:t>
            </w:r>
          </w:p>
        </w:tc>
        <w:tc>
          <w:tcPr>
            <w:tcW w:w="3686" w:type="dxa"/>
            <w:tcBorders>
              <w:top w:val="single" w:sz="4" w:space="0" w:color="auto"/>
              <w:bottom w:val="single" w:sz="12" w:space="0" w:color="auto"/>
            </w:tcBorders>
            <w:shd w:val="clear" w:color="auto" w:fill="auto"/>
            <w:vAlign w:val="bottom"/>
          </w:tcPr>
          <w:p w:rsidR="00B9104E" w:rsidRPr="00B9104E" w:rsidRDefault="00B9104E" w:rsidP="00B9104E">
            <w:pPr>
              <w:suppressAutoHyphens w:val="0"/>
              <w:spacing w:before="80" w:after="80" w:line="200" w:lineRule="exact"/>
              <w:ind w:right="113"/>
              <w:jc w:val="center"/>
              <w:rPr>
                <w:i/>
                <w:sz w:val="16"/>
              </w:rPr>
            </w:pPr>
            <w:r w:rsidRPr="00B9104E">
              <w:rPr>
                <w:i/>
                <w:sz w:val="16"/>
              </w:rPr>
              <w:t xml:space="preserve">Test criteria for determining the burning </w:t>
            </w:r>
            <w:proofErr w:type="spellStart"/>
            <w:r w:rsidRPr="00B9104E">
              <w:rPr>
                <w:i/>
                <w:sz w:val="16"/>
              </w:rPr>
              <w:t>behavior</w:t>
            </w:r>
            <w:proofErr w:type="spellEnd"/>
            <w:r w:rsidRPr="00B9104E">
              <w:rPr>
                <w:i/>
                <w:sz w:val="16"/>
              </w:rPr>
              <w:t xml:space="preserve"> of substances or mixtures are:</w:t>
            </w:r>
          </w:p>
        </w:tc>
      </w:tr>
      <w:tr w:rsidR="00B9104E" w:rsidRPr="00B9104E" w:rsidTr="00B9104E">
        <w:tc>
          <w:tcPr>
            <w:tcW w:w="1701" w:type="dxa"/>
            <w:tcBorders>
              <w:top w:val="single" w:sz="12" w:space="0" w:color="auto"/>
            </w:tcBorders>
            <w:shd w:val="clear" w:color="auto" w:fill="auto"/>
          </w:tcPr>
          <w:p w:rsidR="00B9104E" w:rsidRPr="00B9104E" w:rsidRDefault="00B9104E" w:rsidP="00B9104E">
            <w:pPr>
              <w:suppressAutoHyphens w:val="0"/>
              <w:spacing w:before="40" w:after="120" w:line="220" w:lineRule="exact"/>
              <w:ind w:right="113"/>
              <w:jc w:val="center"/>
            </w:pPr>
            <w:r w:rsidRPr="00B9104E">
              <w:t>1</w:t>
            </w:r>
          </w:p>
          <w:p w:rsidR="00B9104E" w:rsidRPr="00B9104E" w:rsidRDefault="00B9104E" w:rsidP="00B9104E">
            <w:pPr>
              <w:suppressAutoHyphens w:val="0"/>
              <w:spacing w:before="40" w:after="120" w:line="220" w:lineRule="exact"/>
              <w:ind w:right="113"/>
              <w:jc w:val="center"/>
            </w:pPr>
          </w:p>
        </w:tc>
        <w:tc>
          <w:tcPr>
            <w:tcW w:w="2268" w:type="dxa"/>
            <w:tcBorders>
              <w:top w:val="single" w:sz="12" w:space="0" w:color="auto"/>
            </w:tcBorders>
            <w:shd w:val="clear" w:color="auto" w:fill="auto"/>
          </w:tcPr>
          <w:p w:rsidR="00B9104E" w:rsidRPr="00B9104E" w:rsidRDefault="00B9104E" w:rsidP="00B9104E">
            <w:pPr>
              <w:suppressAutoHyphens w:val="0"/>
              <w:spacing w:before="40" w:after="120" w:line="220" w:lineRule="exact"/>
              <w:ind w:right="113"/>
              <w:jc w:val="center"/>
            </w:pPr>
            <w:proofErr w:type="spellStart"/>
            <w:r w:rsidRPr="00B9104E">
              <w:t>Ia</w:t>
            </w:r>
            <w:proofErr w:type="spellEnd"/>
          </w:p>
        </w:tc>
        <w:tc>
          <w:tcPr>
            <w:tcW w:w="3686" w:type="dxa"/>
            <w:tcBorders>
              <w:top w:val="single" w:sz="12" w:space="0" w:color="auto"/>
            </w:tcBorders>
            <w:shd w:val="clear" w:color="auto" w:fill="auto"/>
          </w:tcPr>
          <w:p w:rsidR="00B9104E" w:rsidRPr="00B9104E" w:rsidRDefault="00B9104E" w:rsidP="00B9104E">
            <w:pPr>
              <w:suppressAutoHyphens w:val="0"/>
              <w:spacing w:before="40" w:after="120" w:line="220" w:lineRule="exact"/>
              <w:ind w:right="113"/>
            </w:pPr>
            <w:r w:rsidRPr="00B9104E">
              <w:t>Any substance or mixture with a corrected burning rate AC equal to or greater than 300 kg/min but not more than 1200 kg/min.</w:t>
            </w:r>
          </w:p>
        </w:tc>
      </w:tr>
      <w:tr w:rsidR="00B9104E" w:rsidRPr="00B9104E" w:rsidTr="00B9104E">
        <w:trPr>
          <w:trHeight w:val="1302"/>
        </w:trPr>
        <w:tc>
          <w:tcPr>
            <w:tcW w:w="1701" w:type="dxa"/>
            <w:shd w:val="clear" w:color="auto" w:fill="auto"/>
          </w:tcPr>
          <w:p w:rsidR="00B9104E" w:rsidRPr="00B9104E" w:rsidRDefault="00B9104E" w:rsidP="00B9104E">
            <w:pPr>
              <w:suppressAutoHyphens w:val="0"/>
              <w:spacing w:before="40" w:after="120" w:line="220" w:lineRule="exact"/>
              <w:ind w:right="113"/>
              <w:jc w:val="center"/>
            </w:pPr>
            <w:r w:rsidRPr="00B9104E">
              <w:t>2</w:t>
            </w:r>
          </w:p>
        </w:tc>
        <w:tc>
          <w:tcPr>
            <w:tcW w:w="2268" w:type="dxa"/>
            <w:shd w:val="clear" w:color="auto" w:fill="auto"/>
          </w:tcPr>
          <w:p w:rsidR="00B9104E" w:rsidRPr="00B9104E" w:rsidRDefault="00B9104E" w:rsidP="00B9104E">
            <w:pPr>
              <w:suppressAutoHyphens w:val="0"/>
              <w:spacing w:before="40" w:after="120" w:line="220" w:lineRule="exact"/>
              <w:ind w:right="113"/>
              <w:jc w:val="center"/>
            </w:pPr>
            <w:proofErr w:type="spellStart"/>
            <w:r w:rsidRPr="00B9104E">
              <w:t>Ib</w:t>
            </w:r>
            <w:proofErr w:type="spellEnd"/>
          </w:p>
        </w:tc>
        <w:tc>
          <w:tcPr>
            <w:tcW w:w="3686" w:type="dxa"/>
            <w:shd w:val="clear" w:color="auto" w:fill="auto"/>
          </w:tcPr>
          <w:p w:rsidR="00B9104E" w:rsidRPr="00B9104E" w:rsidRDefault="00B9104E" w:rsidP="00B9104E">
            <w:pPr>
              <w:suppressAutoHyphens w:val="0"/>
              <w:spacing w:before="40" w:after="120" w:line="220" w:lineRule="exact"/>
              <w:ind w:right="113"/>
            </w:pPr>
            <w:r w:rsidRPr="00B9104E">
              <w:t>Any substance or mixture with a corrected burning rate AC equal to or greater than 140 kg/min but less than 300 kg/min</w:t>
            </w:r>
          </w:p>
        </w:tc>
      </w:tr>
      <w:tr w:rsidR="00B9104E" w:rsidRPr="00B9104E" w:rsidTr="00B9104E">
        <w:tc>
          <w:tcPr>
            <w:tcW w:w="1701" w:type="dxa"/>
            <w:shd w:val="clear" w:color="auto" w:fill="auto"/>
          </w:tcPr>
          <w:p w:rsidR="00B9104E" w:rsidRPr="00B9104E" w:rsidRDefault="00B9104E" w:rsidP="00B9104E">
            <w:pPr>
              <w:suppressAutoHyphens w:val="0"/>
              <w:spacing w:before="40" w:after="120" w:line="220" w:lineRule="exact"/>
              <w:ind w:right="113"/>
              <w:jc w:val="center"/>
            </w:pPr>
            <w:r w:rsidRPr="00B9104E">
              <w:t>3</w:t>
            </w:r>
          </w:p>
        </w:tc>
        <w:tc>
          <w:tcPr>
            <w:tcW w:w="2268" w:type="dxa"/>
            <w:shd w:val="clear" w:color="auto" w:fill="auto"/>
          </w:tcPr>
          <w:p w:rsidR="00B9104E" w:rsidRPr="00B9104E" w:rsidRDefault="00B9104E" w:rsidP="00B9104E">
            <w:pPr>
              <w:suppressAutoHyphens w:val="0"/>
              <w:spacing w:before="40" w:after="120" w:line="220" w:lineRule="exact"/>
              <w:ind w:right="113"/>
              <w:jc w:val="center"/>
            </w:pPr>
            <w:r w:rsidRPr="00B9104E">
              <w:t>II</w:t>
            </w:r>
          </w:p>
        </w:tc>
        <w:tc>
          <w:tcPr>
            <w:tcW w:w="3686" w:type="dxa"/>
            <w:shd w:val="clear" w:color="auto" w:fill="auto"/>
          </w:tcPr>
          <w:p w:rsidR="00B9104E" w:rsidRPr="00B9104E" w:rsidRDefault="00B9104E" w:rsidP="00B9104E">
            <w:pPr>
              <w:suppressAutoHyphens w:val="0"/>
              <w:spacing w:before="40" w:after="120" w:line="220" w:lineRule="exact"/>
              <w:ind w:right="113"/>
            </w:pPr>
            <w:r w:rsidRPr="00B9104E">
              <w:t>Any substance or mixture with a corrected burning rate AC equal to or greater than 60 kg/min but less than 140 kg/min</w:t>
            </w:r>
          </w:p>
        </w:tc>
      </w:tr>
      <w:tr w:rsidR="00B9104E" w:rsidRPr="00B9104E" w:rsidTr="00B9104E">
        <w:tc>
          <w:tcPr>
            <w:tcW w:w="1701" w:type="dxa"/>
            <w:shd w:val="clear" w:color="auto" w:fill="auto"/>
          </w:tcPr>
          <w:p w:rsidR="00B9104E" w:rsidRPr="00B9104E" w:rsidRDefault="00B9104E" w:rsidP="00B9104E">
            <w:pPr>
              <w:suppressAutoHyphens w:val="0"/>
              <w:spacing w:before="40" w:after="120" w:line="220" w:lineRule="exact"/>
              <w:ind w:right="113"/>
              <w:jc w:val="center"/>
            </w:pPr>
            <w:r w:rsidRPr="00B9104E">
              <w:t>4</w:t>
            </w:r>
          </w:p>
        </w:tc>
        <w:tc>
          <w:tcPr>
            <w:tcW w:w="2268" w:type="dxa"/>
            <w:shd w:val="clear" w:color="auto" w:fill="auto"/>
          </w:tcPr>
          <w:p w:rsidR="00B9104E" w:rsidRPr="00B9104E" w:rsidRDefault="00B9104E" w:rsidP="00B9104E">
            <w:pPr>
              <w:suppressAutoHyphens w:val="0"/>
              <w:spacing w:before="40" w:after="120" w:line="220" w:lineRule="exact"/>
              <w:ind w:right="113"/>
              <w:jc w:val="center"/>
            </w:pPr>
            <w:r w:rsidRPr="00B9104E">
              <w:t>III</w:t>
            </w:r>
          </w:p>
        </w:tc>
        <w:tc>
          <w:tcPr>
            <w:tcW w:w="3686" w:type="dxa"/>
            <w:shd w:val="clear" w:color="auto" w:fill="auto"/>
          </w:tcPr>
          <w:p w:rsidR="00B9104E" w:rsidRPr="00B9104E" w:rsidRDefault="00B9104E" w:rsidP="00B9104E">
            <w:pPr>
              <w:suppressAutoHyphens w:val="0"/>
              <w:spacing w:before="40" w:after="120" w:line="220" w:lineRule="exact"/>
              <w:ind w:right="113"/>
            </w:pPr>
            <w:r w:rsidRPr="00B9104E">
              <w:t>Any substance or mixture with a corrected burning rate AC less than 60 kg/min</w:t>
            </w:r>
          </w:p>
        </w:tc>
      </w:tr>
    </w:tbl>
    <w:p w:rsidR="00B9104E" w:rsidRDefault="00B9104E" w:rsidP="00B9104E">
      <w:pPr>
        <w:pStyle w:val="SingleTxtG"/>
        <w:rPr>
          <w:lang w:val="fr-CH"/>
        </w:rPr>
      </w:pPr>
    </w:p>
    <w:p w:rsidR="00B9104E" w:rsidRPr="00B9104E" w:rsidRDefault="00B9104E" w:rsidP="00B9104E">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B9104E" w:rsidRPr="00B9104E" w:rsidSect="00C25D3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85" w:rsidRDefault="00094F85"/>
  </w:endnote>
  <w:endnote w:type="continuationSeparator" w:id="0">
    <w:p w:rsidR="00094F85" w:rsidRDefault="00094F85"/>
  </w:endnote>
  <w:endnote w:type="continuationNotice" w:id="1">
    <w:p w:rsidR="00094F85" w:rsidRDefault="00094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847941257"/>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711737">
          <w:rPr>
            <w:b/>
            <w:noProof/>
            <w:sz w:val="18"/>
            <w:szCs w:val="18"/>
          </w:rPr>
          <w:t>8</w:t>
        </w:r>
        <w:r w:rsidRPr="009F228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623575685"/>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711737">
          <w:rPr>
            <w:b/>
            <w:noProof/>
            <w:sz w:val="18"/>
            <w:szCs w:val="18"/>
          </w:rPr>
          <w:t>9</w:t>
        </w:r>
        <w:r w:rsidRPr="009F228E">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711737">
      <w:rPr>
        <w:b/>
        <w:noProof/>
        <w:sz w:val="18"/>
      </w:rPr>
      <w:t>1</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85" w:rsidRPr="000B175B" w:rsidRDefault="00094F85" w:rsidP="000B175B">
      <w:pPr>
        <w:tabs>
          <w:tab w:val="right" w:pos="2155"/>
        </w:tabs>
        <w:spacing w:after="80"/>
        <w:ind w:left="680"/>
        <w:rPr>
          <w:u w:val="single"/>
        </w:rPr>
      </w:pPr>
      <w:r>
        <w:rPr>
          <w:u w:val="single"/>
        </w:rPr>
        <w:tab/>
      </w:r>
    </w:p>
  </w:footnote>
  <w:footnote w:type="continuationSeparator" w:id="0">
    <w:p w:rsidR="00094F85" w:rsidRPr="00FC68B7" w:rsidRDefault="00094F85" w:rsidP="00FC68B7">
      <w:pPr>
        <w:tabs>
          <w:tab w:val="left" w:pos="2155"/>
        </w:tabs>
        <w:spacing w:after="80"/>
        <w:ind w:left="680"/>
        <w:rPr>
          <w:u w:val="single"/>
        </w:rPr>
      </w:pPr>
      <w:r>
        <w:rPr>
          <w:u w:val="single"/>
        </w:rPr>
        <w:tab/>
      </w:r>
    </w:p>
  </w:footnote>
  <w:footnote w:type="continuationNotice" w:id="1">
    <w:p w:rsidR="00094F85" w:rsidRDefault="00094F85"/>
  </w:footnote>
  <w:footnote w:id="2">
    <w:p w:rsidR="000B0348" w:rsidRPr="005B4F08" w:rsidRDefault="000B0348" w:rsidP="000B0348">
      <w:pPr>
        <w:pStyle w:val="FootnoteText"/>
        <w:tabs>
          <w:tab w:val="left" w:pos="1418"/>
          <w:tab w:val="left" w:pos="1985"/>
        </w:tabs>
        <w:ind w:firstLine="0"/>
        <w:rPr>
          <w:lang w:val="en-US"/>
        </w:rPr>
      </w:pPr>
      <w:r>
        <w:rPr>
          <w:rStyle w:val="FootnoteReference"/>
        </w:rPr>
        <w:footnoteRef/>
      </w:r>
      <w:r>
        <w:t xml:space="preserve"> </w:t>
      </w:r>
      <w:r>
        <w:rPr>
          <w:lang w:val="fr-CH"/>
        </w:rPr>
        <w:tab/>
      </w:r>
      <w:r w:rsidRPr="005B4F08">
        <w:rPr>
          <w:lang w:val="en-US"/>
        </w:rPr>
        <w:t>UN 2555</w:t>
      </w:r>
      <w:r>
        <w:rPr>
          <w:lang w:val="en-US"/>
        </w:rPr>
        <w:tab/>
      </w:r>
      <w:r w:rsidRPr="005B4F08">
        <w:rPr>
          <w:lang w:val="en-US"/>
        </w:rPr>
        <w:t>NITROCELLULOSE WITH WATER (not less than 25 % water by mass)</w:t>
      </w:r>
    </w:p>
    <w:p w:rsidR="000B0348" w:rsidRDefault="000B0348" w:rsidP="000B0348">
      <w:pPr>
        <w:pStyle w:val="FootnoteText"/>
        <w:tabs>
          <w:tab w:val="left" w:pos="1418"/>
        </w:tabs>
        <w:rPr>
          <w:lang w:val="en-US"/>
        </w:rPr>
      </w:pPr>
      <w:r w:rsidRPr="005B4F08">
        <w:rPr>
          <w:lang w:val="en-US"/>
        </w:rPr>
        <w:tab/>
      </w:r>
      <w:r>
        <w:rPr>
          <w:lang w:val="en-US"/>
        </w:rPr>
        <w:tab/>
      </w:r>
      <w:r>
        <w:rPr>
          <w:lang w:val="en-US"/>
        </w:rPr>
        <w:tab/>
      </w:r>
      <w:r w:rsidRPr="005B4F08">
        <w:rPr>
          <w:lang w:val="en-US"/>
        </w:rPr>
        <w:t>UN 2556</w:t>
      </w:r>
      <w:r>
        <w:rPr>
          <w:lang w:val="en-US"/>
        </w:rPr>
        <w:tab/>
      </w:r>
      <w:r w:rsidRPr="005B4F08">
        <w:rPr>
          <w:lang w:val="en-US"/>
        </w:rPr>
        <w:t xml:space="preserve">NITROCELLULOSE </w:t>
      </w:r>
      <w:r>
        <w:rPr>
          <w:lang w:val="en-US"/>
        </w:rPr>
        <w:t xml:space="preserve">WITH ALCOHOL , </w:t>
      </w:r>
      <w:r w:rsidRPr="005B4F08">
        <w:rPr>
          <w:lang w:val="en-US"/>
        </w:rPr>
        <w:t xml:space="preserve">not less than 25 % alcohol by mass, and </w:t>
      </w:r>
    </w:p>
    <w:p w:rsidR="000B0348" w:rsidRPr="005B4F08" w:rsidRDefault="000B0348" w:rsidP="000B0348">
      <w:pPr>
        <w:pStyle w:val="FootnoteText"/>
        <w:tabs>
          <w:tab w:val="clear" w:pos="1021"/>
          <w:tab w:val="left" w:pos="1418"/>
        </w:tabs>
        <w:rPr>
          <w:lang w:val="en-US"/>
        </w:rPr>
      </w:pPr>
      <w:r>
        <w:rPr>
          <w:lang w:val="en-US"/>
        </w:rPr>
        <w:tab/>
      </w:r>
      <w:r>
        <w:rPr>
          <w:lang w:val="en-US"/>
        </w:rPr>
        <w:tab/>
      </w:r>
      <w:r w:rsidRPr="005B4F08">
        <w:rPr>
          <w:lang w:val="en-US"/>
        </w:rPr>
        <w:t>not more than 12,6 % nitrogen by</w:t>
      </w:r>
      <w:r>
        <w:rPr>
          <w:lang w:val="en-US"/>
        </w:rPr>
        <w:t xml:space="preserve"> dry mass)</w:t>
      </w:r>
    </w:p>
    <w:p w:rsidR="000B0348" w:rsidRDefault="000B0348" w:rsidP="000B0348">
      <w:pPr>
        <w:pStyle w:val="FootnoteText"/>
        <w:tabs>
          <w:tab w:val="left" w:pos="1418"/>
          <w:tab w:val="left" w:pos="1985"/>
        </w:tabs>
        <w:rPr>
          <w:lang w:val="en-US"/>
        </w:rPr>
      </w:pPr>
      <w:r>
        <w:rPr>
          <w:lang w:val="en-US"/>
        </w:rPr>
        <w:tab/>
      </w:r>
      <w:r w:rsidRPr="005B4F08">
        <w:rPr>
          <w:lang w:val="en-US"/>
        </w:rPr>
        <w:tab/>
      </w:r>
      <w:r>
        <w:rPr>
          <w:lang w:val="en-US"/>
        </w:rPr>
        <w:tab/>
      </w:r>
      <w:r w:rsidRPr="005B4F08">
        <w:rPr>
          <w:lang w:val="en-US"/>
        </w:rPr>
        <w:t>UN 2557</w:t>
      </w:r>
      <w:r w:rsidRPr="005B4F08">
        <w:rPr>
          <w:lang w:val="en-US"/>
        </w:rPr>
        <w:tab/>
      </w:r>
      <w:r>
        <w:rPr>
          <w:lang w:val="en-US"/>
        </w:rPr>
        <w:t xml:space="preserve">NITROCELLULOSE, with not more than 12,6 % </w:t>
      </w:r>
      <w:r w:rsidRPr="005B4F08">
        <w:rPr>
          <w:lang w:val="en-US"/>
        </w:rPr>
        <w:t>nitrogen by</w:t>
      </w:r>
      <w:r>
        <w:rPr>
          <w:lang w:val="en-US"/>
        </w:rPr>
        <w:t xml:space="preserve"> dry mass,</w:t>
      </w:r>
    </w:p>
    <w:p w:rsidR="000B0348" w:rsidRPr="00535373" w:rsidRDefault="000B0348" w:rsidP="000B0348">
      <w:pPr>
        <w:pStyle w:val="FootnoteText"/>
        <w:tabs>
          <w:tab w:val="left" w:pos="1418"/>
        </w:tabs>
        <w:rPr>
          <w:lang w:val="fr-CH"/>
        </w:rPr>
      </w:pPr>
      <w:r>
        <w:rPr>
          <w:lang w:val="en-US"/>
        </w:rPr>
        <w:tab/>
      </w:r>
      <w:r>
        <w:rPr>
          <w:lang w:val="en-US"/>
        </w:rPr>
        <w:tab/>
      </w:r>
      <w:r>
        <w:rPr>
          <w:lang w:val="en-US"/>
        </w:rPr>
        <w:tab/>
        <w:t>MIXTURE WITH or WITHOUT PLASTICIZER, WITH or WITHOUT PIGMENT</w:t>
      </w:r>
    </w:p>
  </w:footnote>
  <w:footnote w:id="3">
    <w:p w:rsidR="000B0348" w:rsidRPr="00CD6388" w:rsidRDefault="000B0348" w:rsidP="000B0348">
      <w:pPr>
        <w:pStyle w:val="FootnoteText"/>
        <w:tabs>
          <w:tab w:val="left" w:pos="1418"/>
        </w:tabs>
        <w:ind w:firstLine="0"/>
        <w:rPr>
          <w:lang w:val="fr-CH"/>
        </w:rPr>
      </w:pPr>
      <w:r>
        <w:rPr>
          <w:rStyle w:val="FootnoteReference"/>
        </w:rPr>
        <w:footnoteRef/>
      </w:r>
      <w:r>
        <w:t xml:space="preserve"> </w:t>
      </w:r>
      <w:r>
        <w:rPr>
          <w:lang w:val="fr-CH"/>
        </w:rPr>
        <w:tab/>
      </w:r>
      <w:r w:rsidRPr="00060084">
        <w:t>European Agreement concerning the International Carriage of Dangerous Goods by Road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364F88">
    <w:pPr>
      <w:rPr>
        <w:b/>
        <w:sz w:val="18"/>
        <w:szCs w:val="18"/>
        <w:lang w:val="fr-CH"/>
      </w:rPr>
    </w:pPr>
    <w:r w:rsidRPr="00364F88">
      <w:rPr>
        <w:b/>
        <w:sz w:val="18"/>
        <w:szCs w:val="18"/>
        <w:lang w:val="fr-CH"/>
      </w:rPr>
      <w:t>UN/SCETDG/52/INF.</w:t>
    </w:r>
    <w:r w:rsidR="000B0348">
      <w:rPr>
        <w:b/>
        <w:sz w:val="18"/>
        <w:szCs w:val="18"/>
        <w:lang w:val="fr-CH"/>
      </w:rPr>
      <w:t>7</w:t>
    </w:r>
  </w:p>
  <w:p w:rsidR="00094F85" w:rsidRPr="00364F88" w:rsidRDefault="000B0348" w:rsidP="00364F88">
    <w:pPr>
      <w:pBdr>
        <w:bottom w:val="single" w:sz="4" w:space="1" w:color="auto"/>
      </w:pBdr>
      <w:rPr>
        <w:b/>
        <w:sz w:val="18"/>
        <w:szCs w:val="18"/>
        <w:lang w:val="fr-CH"/>
      </w:rPr>
    </w:pPr>
    <w:r>
      <w:rPr>
        <w:b/>
        <w:sz w:val="18"/>
        <w:szCs w:val="18"/>
        <w:lang w:val="fr-CH"/>
      </w:rPr>
      <w:t>UN/SCEGHS/34/INF.4</w:t>
    </w:r>
  </w:p>
  <w:p w:rsidR="00094F85" w:rsidRPr="00364F88" w:rsidRDefault="00094F85" w:rsidP="00ED128B">
    <w:pPr>
      <w:pStyle w:val="Header"/>
      <w:pBdr>
        <w:bottom w:val="none" w:sz="0" w:space="0" w:color="auto"/>
      </w:pBd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364F88">
    <w:pPr>
      <w:jc w:val="right"/>
      <w:rPr>
        <w:b/>
        <w:sz w:val="18"/>
        <w:szCs w:val="18"/>
        <w:lang w:val="fr-CH"/>
      </w:rPr>
    </w:pPr>
    <w:r w:rsidRPr="00364F88">
      <w:rPr>
        <w:b/>
        <w:sz w:val="18"/>
        <w:szCs w:val="18"/>
        <w:lang w:val="fr-CH"/>
      </w:rPr>
      <w:t>UN/SCETDG/52/INF.</w:t>
    </w:r>
    <w:r w:rsidR="000B0348">
      <w:rPr>
        <w:b/>
        <w:sz w:val="18"/>
        <w:szCs w:val="18"/>
        <w:lang w:val="fr-CH"/>
      </w:rPr>
      <w:t>7</w:t>
    </w:r>
  </w:p>
  <w:p w:rsidR="00094F85" w:rsidRPr="00364F88" w:rsidRDefault="00094F85" w:rsidP="00364F88">
    <w:pPr>
      <w:pBdr>
        <w:bottom w:val="single" w:sz="4" w:space="1" w:color="auto"/>
      </w:pBdr>
      <w:jc w:val="right"/>
      <w:rPr>
        <w:b/>
        <w:sz w:val="18"/>
        <w:szCs w:val="18"/>
        <w:lang w:val="fr-CH"/>
      </w:rPr>
    </w:pPr>
    <w:r w:rsidRPr="00364F88">
      <w:rPr>
        <w:b/>
        <w:sz w:val="18"/>
        <w:szCs w:val="18"/>
        <w:lang w:val="fr-CH"/>
      </w:rPr>
      <w:t>UN/SCEGHS/34/INF.</w:t>
    </w:r>
    <w:r w:rsidR="000B0348">
      <w:rPr>
        <w:b/>
        <w:sz w:val="18"/>
        <w:szCs w:val="18"/>
        <w:lang w:val="fr-CH"/>
      </w:rPr>
      <w:t>4</w:t>
    </w:r>
  </w:p>
  <w:p w:rsidR="00094F85" w:rsidRDefault="00094F85" w:rsidP="00ED64BE">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0B0348" w:rsidRDefault="00094F85" w:rsidP="000B034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2"/>
  </w:num>
  <w:num w:numId="14">
    <w:abstractNumId w:val="17"/>
  </w:num>
  <w:num w:numId="15">
    <w:abstractNumId w:val="18"/>
  </w:num>
  <w:num w:numId="16">
    <w:abstractNumId w:val="15"/>
  </w:num>
  <w:num w:numId="17">
    <w:abstractNumId w:val="14"/>
  </w:num>
  <w:num w:numId="18">
    <w:abstractNumId w:val="10"/>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281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034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E35BB"/>
    <w:rsid w:val="002E63B5"/>
    <w:rsid w:val="002F323F"/>
    <w:rsid w:val="002F68FD"/>
    <w:rsid w:val="002F7870"/>
    <w:rsid w:val="003063E9"/>
    <w:rsid w:val="003107FA"/>
    <w:rsid w:val="0031227E"/>
    <w:rsid w:val="00315D73"/>
    <w:rsid w:val="00316FF9"/>
    <w:rsid w:val="00321716"/>
    <w:rsid w:val="003229D8"/>
    <w:rsid w:val="00327D0A"/>
    <w:rsid w:val="00330180"/>
    <w:rsid w:val="003517C3"/>
    <w:rsid w:val="00355502"/>
    <w:rsid w:val="00356BC7"/>
    <w:rsid w:val="00357A20"/>
    <w:rsid w:val="00364F88"/>
    <w:rsid w:val="00372F06"/>
    <w:rsid w:val="00375011"/>
    <w:rsid w:val="00391647"/>
    <w:rsid w:val="003921E6"/>
    <w:rsid w:val="0039277A"/>
    <w:rsid w:val="00393DC8"/>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207CF"/>
    <w:rsid w:val="00430086"/>
    <w:rsid w:val="00430918"/>
    <w:rsid w:val="004325CB"/>
    <w:rsid w:val="004337AA"/>
    <w:rsid w:val="004354EE"/>
    <w:rsid w:val="00437F3F"/>
    <w:rsid w:val="00440C1E"/>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54B0"/>
    <w:rsid w:val="004B5939"/>
    <w:rsid w:val="004B5C97"/>
    <w:rsid w:val="004B73D6"/>
    <w:rsid w:val="004C39D0"/>
    <w:rsid w:val="004C4F1A"/>
    <w:rsid w:val="004C6D6D"/>
    <w:rsid w:val="004D6FC1"/>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5B6B"/>
    <w:rsid w:val="006A63E3"/>
    <w:rsid w:val="006A7392"/>
    <w:rsid w:val="006B1C55"/>
    <w:rsid w:val="006C0D34"/>
    <w:rsid w:val="006C251B"/>
    <w:rsid w:val="006C2F7E"/>
    <w:rsid w:val="006D3560"/>
    <w:rsid w:val="006D6ED0"/>
    <w:rsid w:val="006E36E7"/>
    <w:rsid w:val="006E3B65"/>
    <w:rsid w:val="006E4FFE"/>
    <w:rsid w:val="006E564B"/>
    <w:rsid w:val="006F0B98"/>
    <w:rsid w:val="0070032B"/>
    <w:rsid w:val="007025C0"/>
    <w:rsid w:val="00707F04"/>
    <w:rsid w:val="00711637"/>
    <w:rsid w:val="007117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2246"/>
    <w:rsid w:val="009D634E"/>
    <w:rsid w:val="009E1560"/>
    <w:rsid w:val="009E47FC"/>
    <w:rsid w:val="009F0F06"/>
    <w:rsid w:val="009F228E"/>
    <w:rsid w:val="009F369A"/>
    <w:rsid w:val="009F4FC5"/>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E271D"/>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98E"/>
    <w:rsid w:val="00B535B3"/>
    <w:rsid w:val="00B5392B"/>
    <w:rsid w:val="00B65556"/>
    <w:rsid w:val="00B71E2B"/>
    <w:rsid w:val="00B73DA8"/>
    <w:rsid w:val="00B74F7C"/>
    <w:rsid w:val="00B75E05"/>
    <w:rsid w:val="00B81E12"/>
    <w:rsid w:val="00B84944"/>
    <w:rsid w:val="00B84AAC"/>
    <w:rsid w:val="00B90F54"/>
    <w:rsid w:val="00B9104E"/>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C0236F"/>
    <w:rsid w:val="00C0263F"/>
    <w:rsid w:val="00C03B44"/>
    <w:rsid w:val="00C13A85"/>
    <w:rsid w:val="00C15366"/>
    <w:rsid w:val="00C218A4"/>
    <w:rsid w:val="00C25D34"/>
    <w:rsid w:val="00C30546"/>
    <w:rsid w:val="00C36D37"/>
    <w:rsid w:val="00C4087B"/>
    <w:rsid w:val="00C430B5"/>
    <w:rsid w:val="00C463DD"/>
    <w:rsid w:val="00C46D5B"/>
    <w:rsid w:val="00C530B1"/>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64C95"/>
    <w:rsid w:val="00F72514"/>
    <w:rsid w:val="00F736C5"/>
    <w:rsid w:val="00F75E96"/>
    <w:rsid w:val="00F80C07"/>
    <w:rsid w:val="00F940FF"/>
    <w:rsid w:val="00FA00A0"/>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E562-8263-481E-9798-CBDDB2A3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9</Pages>
  <Words>2498</Words>
  <Characters>14243</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2017-10-12T14:24:00Z</cp:lastPrinted>
  <dcterms:created xsi:type="dcterms:W3CDTF">2017-10-12T14:24:00Z</dcterms:created>
  <dcterms:modified xsi:type="dcterms:W3CDTF">2017-10-12T14:24:00Z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