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8268C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1E56A4" w:rsidRDefault="00B56E9C" w:rsidP="00B11BB4">
            <w:pPr>
              <w:spacing w:after="80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CD57D2" w:rsidP="00DA2737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DA2737">
              <w:rPr>
                <w:b/>
                <w:sz w:val="28"/>
                <w:szCs w:val="28"/>
              </w:rPr>
              <w:t>12</w:t>
            </w:r>
            <w:r w:rsidR="00D70AF7">
              <w:rPr>
                <w:b/>
                <w:sz w:val="28"/>
                <w:szCs w:val="28"/>
              </w:rPr>
              <w:t>/Rev.1</w:t>
            </w:r>
          </w:p>
        </w:tc>
      </w:tr>
    </w:tbl>
    <w:p w:rsidR="00AB32F7" w:rsidRPr="008268C5" w:rsidRDefault="00AB32F7" w:rsidP="00AB32F7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AB32F7" w:rsidRPr="008268C5" w:rsidRDefault="00AB32F7" w:rsidP="00AB32F7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AB32F7" w:rsidRPr="008268C5" w:rsidRDefault="00AB32F7" w:rsidP="00AB32F7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AB32F7" w:rsidRPr="008268C5" w:rsidRDefault="00A44D24" w:rsidP="00AB32F7">
      <w:pPr>
        <w:spacing w:before="120"/>
        <w:rPr>
          <w:b/>
        </w:rPr>
      </w:pPr>
      <w:r>
        <w:rPr>
          <w:b/>
        </w:rPr>
        <w:t>10</w:t>
      </w:r>
      <w:r w:rsidR="00630B5C">
        <w:rPr>
          <w:b/>
        </w:rPr>
        <w:t>3</w:t>
      </w:r>
      <w:r w:rsidR="00320AF5">
        <w:rPr>
          <w:b/>
          <w:vertAlign w:val="superscript"/>
        </w:rPr>
        <w:t>r</w:t>
      </w:r>
      <w:r w:rsidRPr="00320AF5">
        <w:rPr>
          <w:b/>
          <w:vertAlign w:val="superscript"/>
        </w:rPr>
        <w:t>d</w:t>
      </w:r>
      <w:r w:rsidR="00AB32F7" w:rsidRPr="008268C5">
        <w:rPr>
          <w:b/>
        </w:rPr>
        <w:t xml:space="preserve"> session</w:t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D70AF7">
        <w:rPr>
          <w:b/>
        </w:rPr>
        <w:t>07</w:t>
      </w:r>
      <w:r w:rsidR="00820BB5">
        <w:rPr>
          <w:b/>
        </w:rPr>
        <w:t xml:space="preserve"> </w:t>
      </w:r>
      <w:r w:rsidR="00D70AF7">
        <w:rPr>
          <w:b/>
        </w:rPr>
        <w:t>Novem</w:t>
      </w:r>
      <w:r w:rsidR="00630B5C">
        <w:rPr>
          <w:b/>
        </w:rPr>
        <w:t>ber</w:t>
      </w:r>
      <w:r>
        <w:rPr>
          <w:b/>
        </w:rPr>
        <w:t xml:space="preserve"> 2017</w:t>
      </w:r>
    </w:p>
    <w:p w:rsidR="00AB32F7" w:rsidRPr="008268C5" w:rsidRDefault="00AB32F7" w:rsidP="00AB32F7">
      <w:r w:rsidRPr="008268C5">
        <w:t xml:space="preserve">Geneva, </w:t>
      </w:r>
      <w:r w:rsidR="00630B5C">
        <w:t>6</w:t>
      </w:r>
      <w:r w:rsidR="00DA2737">
        <w:t>–</w:t>
      </w:r>
      <w:r w:rsidR="00B25EB2" w:rsidRPr="008268C5">
        <w:t>1</w:t>
      </w:r>
      <w:r w:rsidR="00630B5C">
        <w:t>0</w:t>
      </w:r>
      <w:r w:rsidRPr="008268C5">
        <w:t xml:space="preserve"> </w:t>
      </w:r>
      <w:r w:rsidR="00630B5C">
        <w:t>November</w:t>
      </w:r>
      <w:r w:rsidRPr="008268C5">
        <w:t xml:space="preserve"> </w:t>
      </w:r>
      <w:r w:rsidR="00B25EB2" w:rsidRPr="008268C5">
        <w:t>201</w:t>
      </w:r>
      <w:r w:rsidR="00A44D24">
        <w:t>7</w:t>
      </w:r>
    </w:p>
    <w:p w:rsidR="002C2008" w:rsidRPr="004119B5" w:rsidRDefault="007B2307" w:rsidP="007B2307">
      <w:r>
        <w:t xml:space="preserve">Item </w:t>
      </w:r>
      <w:r w:rsidR="00630B5C">
        <w:t>9</w:t>
      </w:r>
      <w:r>
        <w:t xml:space="preserve"> of the provisional agenda</w:t>
      </w:r>
    </w:p>
    <w:p w:rsidR="007B2307" w:rsidRDefault="00630B5C" w:rsidP="007B2307">
      <w:pPr>
        <w:pStyle w:val="Default"/>
        <w:rPr>
          <w:b/>
          <w:bCs/>
          <w:sz w:val="20"/>
        </w:rPr>
      </w:pPr>
      <w:r w:rsidRPr="00630B5C">
        <w:rPr>
          <w:b/>
          <w:bCs/>
          <w:sz w:val="20"/>
          <w:szCs w:val="20"/>
          <w:lang w:val="en-US"/>
        </w:rPr>
        <w:t>Any other business</w:t>
      </w:r>
    </w:p>
    <w:p w:rsidR="00332B3B" w:rsidRPr="007B2307" w:rsidRDefault="00332B3B" w:rsidP="007B2307">
      <w:pPr>
        <w:pStyle w:val="HChG"/>
        <w:rPr>
          <w:lang w:val="en-US"/>
        </w:rPr>
      </w:pPr>
      <w:r>
        <w:tab/>
      </w:r>
      <w:r>
        <w:tab/>
      </w:r>
      <w:r w:rsidR="00630B5C" w:rsidRPr="00630B5C">
        <w:rPr>
          <w:lang w:val="en-US"/>
        </w:rPr>
        <w:t>Information concerning a</w:t>
      </w:r>
      <w:r w:rsidR="00630B5C">
        <w:rPr>
          <w:lang w:val="en-US"/>
        </w:rPr>
        <w:t>n</w:t>
      </w:r>
      <w:r w:rsidR="00630B5C" w:rsidRPr="00630B5C">
        <w:rPr>
          <w:lang w:val="en-US"/>
        </w:rPr>
        <w:t xml:space="preserve"> </w:t>
      </w:r>
      <w:r w:rsidR="00282790">
        <w:rPr>
          <w:lang w:val="en-US"/>
        </w:rPr>
        <w:t>event</w:t>
      </w:r>
      <w:r w:rsidR="00630B5C" w:rsidRPr="00630B5C">
        <w:rPr>
          <w:lang w:val="en-US"/>
        </w:rPr>
        <w:t xml:space="preserve"> </w:t>
      </w:r>
      <w:r w:rsidR="00630B5C">
        <w:rPr>
          <w:lang w:val="en-US"/>
        </w:rPr>
        <w:t xml:space="preserve">occurred during carriage </w:t>
      </w:r>
      <w:r w:rsidR="00630B5C" w:rsidRPr="00630B5C">
        <w:rPr>
          <w:lang w:val="en-US"/>
        </w:rPr>
        <w:t>of dangerous goods according to 1.8.5</w:t>
      </w:r>
    </w:p>
    <w:p w:rsidR="00A30C84" w:rsidRDefault="00A30C84" w:rsidP="00250267">
      <w:pPr>
        <w:pStyle w:val="H1G"/>
      </w:pPr>
      <w:r>
        <w:tab/>
      </w:r>
      <w:r>
        <w:tab/>
      </w:r>
      <w:r w:rsidR="007B2307">
        <w:t xml:space="preserve">Transmitted by the </w:t>
      </w:r>
      <w:r w:rsidR="00630B5C">
        <w:t>Government</w:t>
      </w:r>
      <w:r w:rsidR="00E23023">
        <w:t xml:space="preserve"> </w:t>
      </w:r>
      <w:r w:rsidR="007B2307">
        <w:t xml:space="preserve">of </w:t>
      </w:r>
      <w:r w:rsidR="00630B5C">
        <w:t>Romania</w:t>
      </w:r>
    </w:p>
    <w:p w:rsidR="00332B3B" w:rsidRDefault="00C119E2" w:rsidP="00820BB5">
      <w:pPr>
        <w:pStyle w:val="HChG"/>
      </w:pPr>
      <w:r>
        <w:tab/>
      </w:r>
      <w:r w:rsidR="00820BB5">
        <w:tab/>
      </w:r>
      <w:r w:rsidR="00320AF5">
        <w:t>Occurrence s</w:t>
      </w:r>
      <w:r w:rsidR="00282790">
        <w:t xml:space="preserve">ummary </w:t>
      </w:r>
    </w:p>
    <w:p w:rsidR="00FE02AC" w:rsidRDefault="00FC59A5" w:rsidP="00641975">
      <w:pPr>
        <w:pStyle w:val="SingleTxtG"/>
      </w:pPr>
      <w:r w:rsidRPr="00FC59A5">
        <w:t>On 10 June 2016 at 9.</w:t>
      </w:r>
      <w:r w:rsidR="00A43CBC">
        <w:rPr>
          <w:lang w:val="en-US"/>
        </w:rPr>
        <w:t>3</w:t>
      </w:r>
      <w:r w:rsidRPr="00FC59A5">
        <w:t>0 in the morning</w:t>
      </w:r>
      <w:r>
        <w:t>, d</w:t>
      </w:r>
      <w:r w:rsidR="00282790">
        <w:t xml:space="preserve">uring a transport of </w:t>
      </w:r>
      <w:r w:rsidR="00A43CBC">
        <w:rPr>
          <w:lang w:val="en-US"/>
        </w:rPr>
        <w:t>84</w:t>
      </w:r>
      <w:r w:rsidR="00D62C3C">
        <w:t xml:space="preserve">0 </w:t>
      </w:r>
      <w:r w:rsidR="00A43CBC">
        <w:rPr>
          <w:lang w:val="en-US"/>
        </w:rPr>
        <w:t xml:space="preserve">pieces of </w:t>
      </w:r>
      <w:r w:rsidR="00D62C3C">
        <w:t>empt</w:t>
      </w:r>
      <w:r w:rsidR="00320AF5">
        <w:t>y</w:t>
      </w:r>
      <w:r w:rsidR="00282790">
        <w:t xml:space="preserve"> and defective</w:t>
      </w:r>
      <w:r w:rsidR="00320AF5">
        <w:t xml:space="preserve"> </w:t>
      </w:r>
      <w:r>
        <w:t xml:space="preserve">steel </w:t>
      </w:r>
      <w:r w:rsidR="00320AF5">
        <w:t xml:space="preserve">LPG </w:t>
      </w:r>
      <w:r w:rsidR="00282790">
        <w:t>cylinders</w:t>
      </w:r>
      <w:r w:rsidR="00E81C50">
        <w:t>,</w:t>
      </w:r>
      <w:r w:rsidR="00D62C3C">
        <w:t xml:space="preserve"> </w:t>
      </w:r>
      <w:r w:rsidR="00D62C3C" w:rsidRPr="00D62C3C">
        <w:t>an event occurred</w:t>
      </w:r>
      <w:r w:rsidR="00F806C7">
        <w:t>.</w:t>
      </w:r>
    </w:p>
    <w:p w:rsidR="00D62C3C" w:rsidRDefault="00D62C3C" w:rsidP="00641975">
      <w:pPr>
        <w:pStyle w:val="SingleTxtG"/>
      </w:pPr>
      <w:r w:rsidRPr="00D62C3C">
        <w:t>A tr</w:t>
      </w:r>
      <w:r w:rsidR="00D70AF7">
        <w:rPr>
          <w:lang w:val="ro-RO"/>
        </w:rPr>
        <w:t>actor</w:t>
      </w:r>
      <w:r w:rsidRPr="00D62C3C">
        <w:t xml:space="preserve"> with a semitrailer that</w:t>
      </w:r>
      <w:r w:rsidR="00320AF5">
        <w:t xml:space="preserve"> was travelling</w:t>
      </w:r>
      <w:r w:rsidRPr="00D62C3C">
        <w:t xml:space="preserve"> </w:t>
      </w:r>
      <w:r>
        <w:t xml:space="preserve">from a warehouse </w:t>
      </w:r>
      <w:r w:rsidRPr="00D62C3C">
        <w:t xml:space="preserve">to </w:t>
      </w:r>
      <w:r w:rsidR="00320AF5">
        <w:t xml:space="preserve">a </w:t>
      </w:r>
      <w:r w:rsidR="00E81C50">
        <w:t xml:space="preserve">LPG </w:t>
      </w:r>
      <w:r w:rsidRPr="00D62C3C">
        <w:t xml:space="preserve">filling </w:t>
      </w:r>
      <w:r w:rsidR="00320AF5" w:rsidRPr="00D62C3C">
        <w:t>centre</w:t>
      </w:r>
      <w:r w:rsidRPr="00D62C3C">
        <w:t xml:space="preserve"> stopped in the inhabited area of Mihailesti </w:t>
      </w:r>
      <w:r>
        <w:t xml:space="preserve">(Buzau county) </w:t>
      </w:r>
      <w:r w:rsidR="00A43CBC">
        <w:rPr>
          <w:lang w:val="en-US"/>
        </w:rPr>
        <w:t xml:space="preserve">at km 80 </w:t>
      </w:r>
      <w:r w:rsidR="00FC59A5">
        <w:t xml:space="preserve">on </w:t>
      </w:r>
      <w:r w:rsidR="00320AF5">
        <w:t xml:space="preserve">the national road </w:t>
      </w:r>
      <w:r w:rsidR="00FC59A5">
        <w:t xml:space="preserve">DN 2/E 85  </w:t>
      </w:r>
      <w:r w:rsidRPr="00D62C3C">
        <w:t xml:space="preserve">due to the </w:t>
      </w:r>
      <w:r>
        <w:t>overhea</w:t>
      </w:r>
      <w:r w:rsidR="00C32DCB">
        <w:t xml:space="preserve">ted </w:t>
      </w:r>
      <w:r w:rsidR="00E413CA">
        <w:t xml:space="preserve">axle </w:t>
      </w:r>
      <w:r w:rsidR="00C32DCB">
        <w:t>of the semitrailer.</w:t>
      </w:r>
    </w:p>
    <w:p w:rsidR="00C32DCB" w:rsidRDefault="00C32DCB" w:rsidP="00641975">
      <w:pPr>
        <w:pStyle w:val="SingleTxtG"/>
      </w:pPr>
      <w:r>
        <w:t>The o</w:t>
      </w:r>
      <w:r w:rsidR="00D62C3C" w:rsidRPr="00D62C3C">
        <w:t>verheating</w:t>
      </w:r>
      <w:r w:rsidR="00696E3E">
        <w:t xml:space="preserve"> was due to</w:t>
      </w:r>
      <w:r w:rsidR="00320AF5">
        <w:t xml:space="preserve"> </w:t>
      </w:r>
      <w:r w:rsidR="00D62C3C" w:rsidRPr="00D62C3C">
        <w:t xml:space="preserve">the </w:t>
      </w:r>
      <w:r w:rsidR="005703BE">
        <w:rPr>
          <w:lang w:val="en-US"/>
        </w:rPr>
        <w:t xml:space="preserve">seizure </w:t>
      </w:r>
      <w:r w:rsidR="00D62C3C" w:rsidRPr="00D62C3C">
        <w:t xml:space="preserve">of the bearing of the respective wheel. </w:t>
      </w:r>
    </w:p>
    <w:p w:rsidR="00C32DCB" w:rsidRDefault="00D62C3C" w:rsidP="00641975">
      <w:pPr>
        <w:pStyle w:val="SingleTxtG"/>
      </w:pPr>
      <w:r w:rsidRPr="00D62C3C">
        <w:t>The overheating caused</w:t>
      </w:r>
      <w:r w:rsidR="00C32DCB">
        <w:t>:</w:t>
      </w:r>
    </w:p>
    <w:p w:rsidR="008946C4" w:rsidRDefault="00C32DCB" w:rsidP="00641975">
      <w:pPr>
        <w:pStyle w:val="SingleTxtG"/>
        <w:ind w:firstLine="567"/>
      </w:pPr>
      <w:r>
        <w:t>-</w:t>
      </w:r>
      <w:r w:rsidR="00D62C3C" w:rsidRPr="00D62C3C">
        <w:t xml:space="preserve"> the explosion of the </w:t>
      </w:r>
      <w:r w:rsidR="00D70AF7">
        <w:t>tyre</w:t>
      </w:r>
      <w:r w:rsidR="00D62C3C" w:rsidRPr="00D62C3C">
        <w:t xml:space="preserve"> </w:t>
      </w:r>
      <w:r>
        <w:t xml:space="preserve">located on </w:t>
      </w:r>
      <w:r w:rsidRPr="00D62C3C">
        <w:t xml:space="preserve">the </w:t>
      </w:r>
      <w:r w:rsidR="00696E3E">
        <w:t>centre</w:t>
      </w:r>
      <w:r>
        <w:t xml:space="preserve"> of the triple axl</w:t>
      </w:r>
      <w:r w:rsidR="00920B57">
        <w:rPr>
          <w:lang w:val="ro-RO"/>
        </w:rPr>
        <w:t>e</w:t>
      </w:r>
      <w:r>
        <w:t xml:space="preserve"> of the semitrailer </w:t>
      </w:r>
    </w:p>
    <w:p w:rsidR="00C32DCB" w:rsidRDefault="008946C4" w:rsidP="00641975">
      <w:pPr>
        <w:pStyle w:val="SingleTxtG"/>
        <w:ind w:firstLine="567"/>
      </w:pPr>
      <w:r>
        <w:t xml:space="preserve">  </w:t>
      </w:r>
      <w:r w:rsidR="00D62C3C" w:rsidRPr="00D62C3C">
        <w:t xml:space="preserve">and </w:t>
      </w:r>
    </w:p>
    <w:p w:rsidR="00D62C3C" w:rsidRDefault="00C32DCB" w:rsidP="00641975">
      <w:pPr>
        <w:pStyle w:val="SingleTxtG"/>
        <w:ind w:firstLine="567"/>
      </w:pPr>
      <w:r>
        <w:t xml:space="preserve">- </w:t>
      </w:r>
      <w:r w:rsidR="00D62C3C" w:rsidRPr="00D62C3C">
        <w:t>the fire</w:t>
      </w:r>
      <w:r w:rsidR="00E81C50">
        <w:t>,</w:t>
      </w:r>
      <w:r w:rsidR="00D62C3C" w:rsidRPr="00D62C3C">
        <w:t xml:space="preserve"> which extended to the semitrailer floor and then to the </w:t>
      </w:r>
      <w:r w:rsidR="00FC59A5">
        <w:t xml:space="preserve">LPG </w:t>
      </w:r>
      <w:r w:rsidR="00D62C3C" w:rsidRPr="00D62C3C">
        <w:t>cylinders.</w:t>
      </w:r>
    </w:p>
    <w:p w:rsidR="00641975" w:rsidRDefault="00641975" w:rsidP="00641975">
      <w:pPr>
        <w:pStyle w:val="SingleTxtG"/>
      </w:pPr>
      <w:r>
        <w:t xml:space="preserve">The fire engulfed the vehicles and the </w:t>
      </w:r>
      <w:r w:rsidR="00FC59A5">
        <w:t>cylinders</w:t>
      </w:r>
      <w:r>
        <w:t xml:space="preserve"> </w:t>
      </w:r>
      <w:r w:rsidR="00696E3E">
        <w:t xml:space="preserve">quickly, </w:t>
      </w:r>
      <w:r w:rsidR="000A6483" w:rsidRPr="000A6483">
        <w:t xml:space="preserve">although the driver acted promptly using </w:t>
      </w:r>
      <w:r w:rsidR="000A6483">
        <w:t xml:space="preserve">the </w:t>
      </w:r>
      <w:r w:rsidR="000A6483" w:rsidRPr="000A6483">
        <w:t>fire extinguishers</w:t>
      </w:r>
      <w:r w:rsidR="000A6483">
        <w:t xml:space="preserve"> available on the semitrailer</w:t>
      </w:r>
      <w:r>
        <w:t>.</w:t>
      </w:r>
    </w:p>
    <w:p w:rsidR="00C32DCB" w:rsidRDefault="00641975" w:rsidP="00641975">
      <w:pPr>
        <w:pStyle w:val="SingleTxtG"/>
      </w:pPr>
      <w:r>
        <w:t xml:space="preserve">The road infrastructure and the electricity network were </w:t>
      </w:r>
      <w:r w:rsidR="00696E3E">
        <w:t xml:space="preserve">both </w:t>
      </w:r>
      <w:r>
        <w:t>affected.</w:t>
      </w:r>
    </w:p>
    <w:p w:rsidR="00FC59A5" w:rsidRDefault="00FC59A5" w:rsidP="00FC59A5">
      <w:pPr>
        <w:pStyle w:val="SingleTxtG"/>
      </w:pPr>
      <w:r w:rsidRPr="00641975">
        <w:t xml:space="preserve">The cause of the accident is clearly </w:t>
      </w:r>
      <w:r w:rsidR="00696E3E">
        <w:t xml:space="preserve">the </w:t>
      </w:r>
      <w:r w:rsidRPr="00641975">
        <w:t>technical problem on the vehicle, no human error having been found.</w:t>
      </w:r>
    </w:p>
    <w:p w:rsidR="00641975" w:rsidRPr="00641975" w:rsidRDefault="00DA2737" w:rsidP="00DA2737">
      <w:pPr>
        <w:pStyle w:val="H1G"/>
      </w:pPr>
      <w:r>
        <w:tab/>
      </w:r>
      <w:r>
        <w:tab/>
      </w:r>
      <w:r w:rsidR="00641975">
        <w:t>Proposal</w:t>
      </w:r>
    </w:p>
    <w:p w:rsidR="00ED7E82" w:rsidRDefault="008946C4" w:rsidP="008946C4">
      <w:pPr>
        <w:pStyle w:val="SingleTxtG"/>
      </w:pPr>
      <w:r>
        <w:t xml:space="preserve">We propose to </w:t>
      </w:r>
      <w:r w:rsidR="00FC59A5">
        <w:t>examine</w:t>
      </w:r>
      <w:r>
        <w:t xml:space="preserve"> different solutions in order to avoid the repetition of such events </w:t>
      </w:r>
      <w:r w:rsidRPr="008946C4">
        <w:t xml:space="preserve">taking into account the </w:t>
      </w:r>
      <w:r w:rsidR="00ED7E82" w:rsidRPr="00ED7E82">
        <w:t>scientific and technical progress</w:t>
      </w:r>
      <w:r w:rsidR="00ED7E82">
        <w:t xml:space="preserve"> </w:t>
      </w:r>
      <w:r w:rsidR="00ED7E82" w:rsidRPr="00ED7E82">
        <w:t>in the field of vehicle</w:t>
      </w:r>
      <w:r w:rsidR="00E81C50">
        <w:t xml:space="preserve"> equipment</w:t>
      </w:r>
      <w:r w:rsidR="00ED7E82">
        <w:t>.</w:t>
      </w:r>
    </w:p>
    <w:p w:rsidR="00641975" w:rsidRDefault="00ED7E82" w:rsidP="008946C4">
      <w:pPr>
        <w:pStyle w:val="SingleTxtG"/>
      </w:pPr>
      <w:r>
        <w:t xml:space="preserve">Some of the </w:t>
      </w:r>
      <w:r w:rsidR="008946C4" w:rsidRPr="008946C4">
        <w:t xml:space="preserve">technical </w:t>
      </w:r>
      <w:r>
        <w:t xml:space="preserve">solutions are regulated at UN level </w:t>
      </w:r>
      <w:r w:rsidR="00E81C50">
        <w:t xml:space="preserve">and </w:t>
      </w:r>
      <w:r w:rsidRPr="00E81C50">
        <w:t>m</w:t>
      </w:r>
      <w:r w:rsidR="00E81C50" w:rsidRPr="00E81C50">
        <w:t>ay</w:t>
      </w:r>
      <w:r>
        <w:t xml:space="preserve"> be used for</w:t>
      </w:r>
      <w:r w:rsidR="008946C4" w:rsidRPr="008946C4">
        <w:t xml:space="preserve"> </w:t>
      </w:r>
      <w:r w:rsidR="008946C4">
        <w:t xml:space="preserve">certain </w:t>
      </w:r>
      <w:r w:rsidR="008946C4" w:rsidRPr="008946C4">
        <w:t>vehicles</w:t>
      </w:r>
      <w:r w:rsidR="008946C4">
        <w:t xml:space="preserve"> </w:t>
      </w:r>
      <w:r>
        <w:t xml:space="preserve">in order to avoid </w:t>
      </w:r>
      <w:r w:rsidR="00E81C50">
        <w:t xml:space="preserve">the fire or </w:t>
      </w:r>
      <w:r>
        <w:t>the</w:t>
      </w:r>
      <w:r w:rsidR="008946C4">
        <w:t xml:space="preserve"> overheating of axles or brakes.</w:t>
      </w:r>
    </w:p>
    <w:p w:rsidR="00E81C50" w:rsidRDefault="00E81C50" w:rsidP="008946C4">
      <w:pPr>
        <w:pStyle w:val="SingleTxtG"/>
      </w:pPr>
    </w:p>
    <w:p w:rsidR="00E81C50" w:rsidRDefault="00E81C50" w:rsidP="008946C4">
      <w:pPr>
        <w:pStyle w:val="SingleTxtG"/>
      </w:pPr>
    </w:p>
    <w:p w:rsidR="00E81C50" w:rsidRDefault="00E81C50" w:rsidP="008946C4">
      <w:pPr>
        <w:pStyle w:val="SingleTxtG"/>
      </w:pPr>
    </w:p>
    <w:p w:rsidR="00E81C50" w:rsidRDefault="00E81C50" w:rsidP="008946C4">
      <w:pPr>
        <w:pStyle w:val="SingleTxtG"/>
      </w:pPr>
    </w:p>
    <w:p w:rsidR="00E81C50" w:rsidRDefault="00E81C50" w:rsidP="00DA2737">
      <w:pPr>
        <w:pStyle w:val="HChG"/>
      </w:pPr>
      <w:r w:rsidRPr="00E81C50">
        <w:lastRenderedPageBreak/>
        <w:t>Ann</w:t>
      </w:r>
      <w:bookmarkStart w:id="0" w:name="_GoBack"/>
      <w:bookmarkEnd w:id="0"/>
      <w:r w:rsidRPr="00E81C50">
        <w:t>ex 1</w:t>
      </w:r>
    </w:p>
    <w:p w:rsidR="00E81C50" w:rsidRPr="00DA2737" w:rsidRDefault="00DA2737" w:rsidP="00DA2737">
      <w:pPr>
        <w:pStyle w:val="H1G"/>
      </w:pPr>
      <w:r>
        <w:tab/>
      </w:r>
      <w:r>
        <w:tab/>
      </w:r>
      <w:r w:rsidR="00E81C50" w:rsidRPr="00DA2737">
        <w:t>Report on occurrences during the carriage of dangerous goods</w:t>
      </w:r>
      <w:r w:rsidRPr="00DA2737">
        <w:t xml:space="preserve"> </w:t>
      </w:r>
      <w:r w:rsidR="00E81C50" w:rsidRPr="00DA2737">
        <w:t>in accordance with RID/ADR section 1.8.5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81C50" w:rsidRPr="00E81C50" w:rsidTr="00DA2737">
        <w:tc>
          <w:tcPr>
            <w:tcW w:w="9639" w:type="dxa"/>
            <w:gridSpan w:val="2"/>
            <w:shd w:val="pct30" w:color="auto" w:fill="FFFFFF"/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  <w:rPr>
                <w:b/>
              </w:rPr>
            </w:pPr>
            <w:r w:rsidRPr="00E81C50">
              <w:rPr>
                <w:b/>
              </w:rPr>
              <w:t>1. Mode</w:t>
            </w:r>
          </w:p>
        </w:tc>
      </w:tr>
      <w:tr w:rsidR="00E81C50" w:rsidRPr="00E81C50" w:rsidTr="00DA2737">
        <w:tc>
          <w:tcPr>
            <w:tcW w:w="4819" w:type="dxa"/>
            <w:tcBorders>
              <w:bottom w:val="single" w:sz="4" w:space="0" w:color="auto"/>
            </w:tcBorders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</w:pPr>
            <w:r w:rsidRPr="00E81C50">
              <w:rPr>
                <w:b/>
              </w:rPr>
              <w:t>□</w:t>
            </w:r>
            <w:r w:rsidRPr="00E81C50">
              <w:rPr>
                <w:b/>
              </w:rPr>
              <w:tab/>
            </w:r>
            <w:r w:rsidRPr="00E81C50">
              <w:t>Rail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</w:pPr>
            <w:r w:rsidRPr="00E81C50">
              <w:tab/>
              <w:t>Wagon number (optional)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</w:pPr>
            <w:r w:rsidRPr="00E81C50">
              <w:t>.........................................................………………………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</w:pPr>
            <w:r w:rsidRPr="00E81C50">
              <w:rPr>
                <w:b/>
              </w:rPr>
              <w:t>■</w:t>
            </w:r>
            <w:r w:rsidRPr="00E81C50">
              <w:rPr>
                <w:b/>
              </w:rPr>
              <w:tab/>
            </w:r>
            <w:r w:rsidRPr="00E81C50">
              <w:t>Road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</w:pPr>
            <w:r w:rsidRPr="00E81C50">
              <w:tab/>
              <w:t>Vehicle registration (optional)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after="60" w:line="240" w:lineRule="auto"/>
              <w:ind w:left="96"/>
              <w:jc w:val="both"/>
            </w:pPr>
            <w:r w:rsidRPr="00E81C50">
              <w:t>............................................................…………………...</w:t>
            </w:r>
          </w:p>
        </w:tc>
      </w:tr>
      <w:tr w:rsidR="00E81C50" w:rsidRPr="00E81C50" w:rsidTr="00DA2737">
        <w:trPr>
          <w:cantSplit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30" w:color="auto" w:fill="auto"/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  <w:rPr>
                <w:b/>
              </w:rPr>
            </w:pPr>
            <w:r w:rsidRPr="00E81C50">
              <w:rPr>
                <w:b/>
              </w:rPr>
              <w:t>2. Date and location of occurrence</w:t>
            </w:r>
          </w:p>
        </w:tc>
      </w:tr>
      <w:tr w:rsidR="00E81C50" w:rsidRPr="00E81C50" w:rsidTr="00DA2737">
        <w:trPr>
          <w:cantSplit/>
        </w:trPr>
        <w:tc>
          <w:tcPr>
            <w:tcW w:w="9639" w:type="dxa"/>
            <w:gridSpan w:val="2"/>
          </w:tcPr>
          <w:p w:rsidR="00E81C50" w:rsidRPr="00E81C50" w:rsidRDefault="00E81C50" w:rsidP="006665F6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340"/>
                <w:tab w:val="left" w:pos="2552"/>
                <w:tab w:val="left" w:pos="2835"/>
                <w:tab w:val="left" w:pos="3119"/>
                <w:tab w:val="left" w:pos="4320"/>
                <w:tab w:val="left" w:pos="4750"/>
                <w:tab w:val="left" w:pos="5040"/>
                <w:tab w:val="left" w:pos="5760"/>
                <w:tab w:val="left" w:pos="6480"/>
                <w:tab w:val="left" w:pos="680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before="60" w:after="60" w:line="240" w:lineRule="auto"/>
              <w:jc w:val="both"/>
            </w:pPr>
            <w:r w:rsidRPr="00E81C50">
              <w:t xml:space="preserve">Year: </w:t>
            </w:r>
            <w:r w:rsidRPr="00E81C50">
              <w:rPr>
                <w:b/>
                <w:i/>
                <w:color w:val="FF0000"/>
              </w:rPr>
              <w:t>2016</w:t>
            </w:r>
            <w:r w:rsidRPr="00E81C50">
              <w:tab/>
              <w:t xml:space="preserve">                  Month: </w:t>
            </w:r>
            <w:r w:rsidRPr="00E81C50">
              <w:rPr>
                <w:b/>
                <w:i/>
                <w:color w:val="FF0000"/>
              </w:rPr>
              <w:t>JUNE</w:t>
            </w:r>
            <w:r w:rsidRPr="00E81C50">
              <w:t xml:space="preserve"> </w:t>
            </w:r>
            <w:r w:rsidRPr="00E81C50">
              <w:tab/>
              <w:t xml:space="preserve">               Day: </w:t>
            </w:r>
            <w:r w:rsidRPr="00E81C50">
              <w:rPr>
                <w:b/>
                <w:i/>
                <w:color w:val="FF0000"/>
              </w:rPr>
              <w:t>10</w:t>
            </w:r>
            <w:r w:rsidRPr="00E81C50">
              <w:rPr>
                <w:i/>
                <w:color w:val="FF0000"/>
              </w:rPr>
              <w:t xml:space="preserve"> </w:t>
            </w:r>
            <w:r w:rsidRPr="00E81C50">
              <w:rPr>
                <w:b/>
                <w:i/>
                <w:color w:val="FF0000"/>
              </w:rPr>
              <w:t>(Friday)</w:t>
            </w:r>
            <w:r w:rsidRPr="00E81C50">
              <w:t xml:space="preserve">                  Time: </w:t>
            </w:r>
            <w:r w:rsidRPr="00E81C50">
              <w:rPr>
                <w:b/>
                <w:i/>
                <w:color w:val="FF0000"/>
              </w:rPr>
              <w:t>09.</w:t>
            </w:r>
            <w:r w:rsidR="006665F6">
              <w:rPr>
                <w:b/>
                <w:i/>
                <w:color w:val="FF0000"/>
              </w:rPr>
              <w:t>3</w:t>
            </w:r>
            <w:r w:rsidRPr="00E81C50">
              <w:rPr>
                <w:b/>
                <w:i/>
                <w:color w:val="FF0000"/>
              </w:rPr>
              <w:t>0 A.M.</w:t>
            </w:r>
          </w:p>
        </w:tc>
      </w:tr>
      <w:tr w:rsidR="00E81C50" w:rsidRPr="00E81C50" w:rsidTr="00DA2737">
        <w:tc>
          <w:tcPr>
            <w:tcW w:w="4819" w:type="dxa"/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  <w:rPr>
                <w:u w:val="single"/>
              </w:rPr>
            </w:pPr>
            <w:r w:rsidRPr="00E81C50">
              <w:rPr>
                <w:u w:val="single"/>
              </w:rPr>
              <w:t>Rail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</w:pPr>
            <w:r w:rsidRPr="00E81C50">
              <w:t>□</w:t>
            </w:r>
            <w:r w:rsidRPr="00E81C50">
              <w:tab/>
              <w:t>Station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</w:pPr>
            <w:r w:rsidRPr="00E81C50">
              <w:t>□</w:t>
            </w:r>
            <w:r w:rsidRPr="00E81C50">
              <w:tab/>
              <w:t>Shunting/marshalling yard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</w:pPr>
            <w:r w:rsidRPr="00E81C50">
              <w:t>□</w:t>
            </w:r>
            <w:r w:rsidRPr="00E81C50">
              <w:tab/>
              <w:t>Loading/unloading/transhipment site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</w:pPr>
            <w:r w:rsidRPr="00E81C50">
              <w:tab/>
              <w:t>Location / Country: ……………………………………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</w:pPr>
            <w:r w:rsidRPr="00E81C50">
              <w:tab/>
              <w:t>or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</w:pPr>
            <w:r w:rsidRPr="00E81C50">
              <w:t>□</w:t>
            </w:r>
            <w:r w:rsidRPr="00E81C50">
              <w:tab/>
              <w:t>Open line: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</w:pPr>
            <w:r w:rsidRPr="00E81C50">
              <w:tab/>
              <w:t>Description of line: ……………………………………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after="60" w:line="240" w:lineRule="auto"/>
              <w:jc w:val="both"/>
            </w:pPr>
            <w:r w:rsidRPr="00E81C50">
              <w:tab/>
              <w:t>Kilometres: ………………………………….………...</w:t>
            </w:r>
          </w:p>
        </w:tc>
        <w:tc>
          <w:tcPr>
            <w:tcW w:w="4820" w:type="dxa"/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  <w:rPr>
                <w:u w:val="single"/>
              </w:rPr>
            </w:pPr>
            <w:r w:rsidRPr="00E81C50">
              <w:rPr>
                <w:u w:val="single"/>
              </w:rPr>
              <w:t>Road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</w:pPr>
            <w:r w:rsidRPr="00E81C50">
              <w:t>■</w:t>
            </w:r>
            <w:r w:rsidRPr="00E81C50">
              <w:tab/>
              <w:t>Built-up area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</w:pPr>
            <w:r w:rsidRPr="00E81C50">
              <w:t>□</w:t>
            </w:r>
            <w:r w:rsidRPr="00E81C50">
              <w:tab/>
              <w:t>Loading/unloading/transhipment site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</w:pPr>
            <w:r w:rsidRPr="00E81C50">
              <w:t>□</w:t>
            </w:r>
            <w:r w:rsidRPr="00E81C50">
              <w:tab/>
              <w:t>Open road</w:t>
            </w:r>
          </w:p>
          <w:p w:rsidR="00A43CBC" w:rsidRDefault="00E81C50" w:rsidP="00A43CBC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  <w:rPr>
                <w:b/>
                <w:i/>
                <w:color w:val="FF0000"/>
              </w:rPr>
            </w:pPr>
            <w:r w:rsidRPr="00E81C50">
              <w:tab/>
              <w:t xml:space="preserve">Location / Country: </w:t>
            </w:r>
            <w:r w:rsidR="003758CF">
              <w:rPr>
                <w:b/>
                <w:i/>
                <w:color w:val="FF0000"/>
              </w:rPr>
              <w:t>Mihailesti,</w:t>
            </w:r>
            <w:r w:rsidR="001E56A4">
              <w:rPr>
                <w:b/>
                <w:i/>
                <w:color w:val="FF0000"/>
              </w:rPr>
              <w:t xml:space="preserve"> </w:t>
            </w:r>
            <w:r w:rsidRPr="00E81C50">
              <w:rPr>
                <w:b/>
                <w:i/>
                <w:color w:val="FF0000"/>
              </w:rPr>
              <w:t>Buzau county</w:t>
            </w:r>
            <w:r w:rsidR="00A43CBC">
              <w:rPr>
                <w:b/>
                <w:i/>
                <w:color w:val="FF0000"/>
              </w:rPr>
              <w:t>,</w:t>
            </w:r>
            <w:r w:rsidRPr="00E81C50">
              <w:rPr>
                <w:b/>
                <w:i/>
                <w:color w:val="FF0000"/>
              </w:rPr>
              <w:t xml:space="preserve"> </w:t>
            </w:r>
          </w:p>
          <w:p w:rsidR="00E81C50" w:rsidRPr="00E81C50" w:rsidRDefault="00A43CBC" w:rsidP="00A43CBC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  <w:rPr>
                <w:u w:val="single"/>
              </w:rPr>
            </w:pPr>
            <w:r>
              <w:rPr>
                <w:b/>
                <w:i/>
                <w:color w:val="FF0000"/>
              </w:rPr>
              <w:t xml:space="preserve">                                     on</w:t>
            </w:r>
            <w:r w:rsidR="00E81C50" w:rsidRPr="00E81C50"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FF0000"/>
              </w:rPr>
              <w:t>E85 at km 80,</w:t>
            </w:r>
            <w:r w:rsidR="001E56A4">
              <w:rPr>
                <w:b/>
                <w:i/>
                <w:color w:val="FF0000"/>
              </w:rPr>
              <w:t xml:space="preserve"> </w:t>
            </w:r>
            <w:r w:rsidR="00E81C50" w:rsidRPr="00E81C50">
              <w:rPr>
                <w:b/>
                <w:i/>
                <w:color w:val="FF0000"/>
              </w:rPr>
              <w:t>Romania</w:t>
            </w:r>
          </w:p>
        </w:tc>
      </w:tr>
      <w:tr w:rsidR="00E81C50" w:rsidRPr="00E81C50" w:rsidTr="00DA2737">
        <w:trPr>
          <w:cantSplit/>
        </w:trPr>
        <w:tc>
          <w:tcPr>
            <w:tcW w:w="9639" w:type="dxa"/>
            <w:gridSpan w:val="2"/>
            <w:shd w:val="pct30" w:color="auto" w:fill="FFFFFF"/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  <w:rPr>
                <w:b/>
              </w:rPr>
            </w:pPr>
            <w:r w:rsidRPr="00E81C50">
              <w:rPr>
                <w:b/>
              </w:rPr>
              <w:t>3. Topography</w:t>
            </w:r>
          </w:p>
        </w:tc>
      </w:tr>
      <w:tr w:rsidR="00E81C50" w:rsidRPr="00E81C50" w:rsidTr="00DA2737">
        <w:trPr>
          <w:cantSplit/>
        </w:trPr>
        <w:tc>
          <w:tcPr>
            <w:tcW w:w="9639" w:type="dxa"/>
            <w:gridSpan w:val="2"/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</w:pPr>
            <w:r w:rsidRPr="00E81C50">
              <w:rPr>
                <w:b/>
              </w:rPr>
              <w:t>□</w:t>
            </w:r>
            <w:r w:rsidRPr="00E81C50">
              <w:tab/>
              <w:t>Gradient/incline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</w:pPr>
            <w:r w:rsidRPr="00E81C50">
              <w:t>□</w:t>
            </w:r>
            <w:r w:rsidRPr="00E81C50">
              <w:tab/>
              <w:t>Tunnel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</w:pPr>
            <w:r w:rsidRPr="00E81C50">
              <w:t xml:space="preserve">□ </w:t>
            </w:r>
            <w:r w:rsidRPr="00E81C50">
              <w:tab/>
              <w:t>Bridge/Underpass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</w:pPr>
            <w:r w:rsidRPr="00E81C50">
              <w:t>□</w:t>
            </w:r>
            <w:r w:rsidRPr="00E81C50">
              <w:tab/>
              <w:t>Crossing</w:t>
            </w:r>
          </w:p>
        </w:tc>
      </w:tr>
      <w:tr w:rsidR="00E81C50" w:rsidRPr="00E81C50" w:rsidTr="00DA2737">
        <w:trPr>
          <w:cantSplit/>
        </w:trPr>
        <w:tc>
          <w:tcPr>
            <w:tcW w:w="9639" w:type="dxa"/>
            <w:gridSpan w:val="2"/>
            <w:shd w:val="pct30" w:color="auto" w:fill="FFFFFF"/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  <w:rPr>
                <w:b/>
              </w:rPr>
            </w:pPr>
            <w:r w:rsidRPr="00E81C50">
              <w:rPr>
                <w:b/>
              </w:rPr>
              <w:t>4. Particular weather conditions</w:t>
            </w:r>
          </w:p>
        </w:tc>
      </w:tr>
      <w:tr w:rsidR="00E81C50" w:rsidRPr="00E81C50" w:rsidTr="00DA2737">
        <w:trPr>
          <w:cantSplit/>
        </w:trPr>
        <w:tc>
          <w:tcPr>
            <w:tcW w:w="9639" w:type="dxa"/>
            <w:gridSpan w:val="2"/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</w:pPr>
            <w:r w:rsidRPr="00E81C50">
              <w:rPr>
                <w:b/>
              </w:rPr>
              <w:t>□</w:t>
            </w:r>
            <w:r w:rsidRPr="00E81C50">
              <w:rPr>
                <w:b/>
              </w:rPr>
              <w:tab/>
            </w:r>
            <w:r w:rsidRPr="00E81C50">
              <w:t>Rain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</w:pPr>
            <w:r w:rsidRPr="00E81C50">
              <w:t>□</w:t>
            </w:r>
            <w:r w:rsidRPr="00E81C50">
              <w:tab/>
              <w:t>Snow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</w:pPr>
            <w:r w:rsidRPr="00E81C50">
              <w:t>□</w:t>
            </w:r>
            <w:r w:rsidRPr="00E81C50">
              <w:tab/>
              <w:t>Ice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</w:pPr>
            <w:r w:rsidRPr="00E81C50">
              <w:t>□</w:t>
            </w:r>
            <w:r w:rsidRPr="00E81C50">
              <w:tab/>
              <w:t>Fog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</w:pPr>
            <w:r w:rsidRPr="00E81C50">
              <w:t>□</w:t>
            </w:r>
            <w:r w:rsidRPr="00E81C50">
              <w:tab/>
              <w:t>Thunderstorm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</w:pPr>
            <w:r w:rsidRPr="00E81C50">
              <w:t>□</w:t>
            </w:r>
            <w:r w:rsidRPr="00E81C50">
              <w:tab/>
              <w:t>Storm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</w:pPr>
            <w:r w:rsidRPr="00E81C50">
              <w:tab/>
              <w:t xml:space="preserve">Temperature: </w:t>
            </w:r>
            <w:r w:rsidRPr="00E81C50">
              <w:rPr>
                <w:b/>
                <w:i/>
                <w:color w:val="FF0000"/>
              </w:rPr>
              <w:t>22 °C</w:t>
            </w:r>
          </w:p>
        </w:tc>
      </w:tr>
      <w:tr w:rsidR="00E81C50" w:rsidRPr="00E81C50" w:rsidTr="00DA2737">
        <w:trPr>
          <w:cantSplit/>
        </w:trPr>
        <w:tc>
          <w:tcPr>
            <w:tcW w:w="9639" w:type="dxa"/>
            <w:gridSpan w:val="2"/>
            <w:shd w:val="pct30" w:color="auto" w:fill="FFFFFF"/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  <w:rPr>
                <w:b/>
              </w:rPr>
            </w:pPr>
            <w:r w:rsidRPr="00E81C50">
              <w:rPr>
                <w:b/>
              </w:rPr>
              <w:t>5. Description of occurrence</w:t>
            </w:r>
          </w:p>
        </w:tc>
      </w:tr>
      <w:tr w:rsidR="00E81C50" w:rsidRPr="00E81C50" w:rsidTr="00DA2737">
        <w:trPr>
          <w:cantSplit/>
        </w:trPr>
        <w:tc>
          <w:tcPr>
            <w:tcW w:w="9639" w:type="dxa"/>
            <w:gridSpan w:val="2"/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</w:pPr>
            <w:r w:rsidRPr="00E81C50">
              <w:rPr>
                <w:b/>
              </w:rPr>
              <w:t>□</w:t>
            </w:r>
            <w:r w:rsidRPr="00E81C50">
              <w:rPr>
                <w:b/>
              </w:rPr>
              <w:tab/>
            </w:r>
            <w:r w:rsidRPr="00E81C50">
              <w:t>Derailment/Leaving the road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</w:pPr>
            <w:r w:rsidRPr="00E81C50">
              <w:rPr>
                <w:b/>
              </w:rPr>
              <w:t>□</w:t>
            </w:r>
            <w:r w:rsidRPr="00E81C50">
              <w:rPr>
                <w:b/>
              </w:rPr>
              <w:tab/>
            </w:r>
            <w:r w:rsidRPr="00E81C50">
              <w:t>Collision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</w:pPr>
            <w:r w:rsidRPr="00E81C50">
              <w:rPr>
                <w:b/>
              </w:rPr>
              <w:t>□</w:t>
            </w:r>
            <w:r w:rsidRPr="00E81C50">
              <w:rPr>
                <w:b/>
              </w:rPr>
              <w:tab/>
            </w:r>
            <w:r w:rsidRPr="00E81C50">
              <w:t>Overturning/Rolling over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</w:pPr>
            <w:r w:rsidRPr="00E81C50">
              <w:rPr>
                <w:b/>
              </w:rPr>
              <w:t>□</w:t>
            </w:r>
            <w:r w:rsidRPr="00E81C50">
              <w:rPr>
                <w:b/>
              </w:rPr>
              <w:tab/>
            </w:r>
            <w:r w:rsidRPr="00E81C50">
              <w:t>Fire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</w:pPr>
            <w:r w:rsidRPr="00E81C50">
              <w:rPr>
                <w:b/>
              </w:rPr>
              <w:t>■</w:t>
            </w:r>
            <w:r w:rsidRPr="00E81C50">
              <w:rPr>
                <w:b/>
              </w:rPr>
              <w:tab/>
            </w:r>
            <w:r w:rsidRPr="00E81C50">
              <w:t>Explosion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</w:pPr>
            <w:r w:rsidRPr="00E81C50">
              <w:rPr>
                <w:b/>
              </w:rPr>
              <w:t>□</w:t>
            </w:r>
            <w:r w:rsidRPr="00E81C50">
              <w:rPr>
                <w:b/>
              </w:rPr>
              <w:tab/>
            </w:r>
            <w:r w:rsidRPr="00E81C50">
              <w:t>Loss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</w:pPr>
            <w:r w:rsidRPr="00E81C50">
              <w:rPr>
                <w:b/>
              </w:rPr>
              <w:t>■</w:t>
            </w:r>
            <w:r w:rsidRPr="00E81C50">
              <w:rPr>
                <w:b/>
              </w:rPr>
              <w:tab/>
            </w:r>
            <w:r w:rsidRPr="00E81C50">
              <w:t>Technical fault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</w:pP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21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</w:pPr>
            <w:r w:rsidRPr="00E81C50">
              <w:t>Additional description of occurrence: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  <w:rPr>
                <w:b/>
                <w:i/>
                <w:color w:val="FF0000"/>
              </w:rPr>
            </w:pPr>
            <w:r w:rsidRPr="00E81C50">
              <w:rPr>
                <w:b/>
                <w:i/>
                <w:color w:val="FF0000"/>
              </w:rPr>
              <w:t xml:space="preserve">One of the wheels of the triple </w:t>
            </w:r>
            <w:r w:rsidR="005703BE">
              <w:rPr>
                <w:b/>
                <w:i/>
                <w:color w:val="FF0000"/>
              </w:rPr>
              <w:t xml:space="preserve">axle </w:t>
            </w:r>
            <w:r w:rsidRPr="00E81C50">
              <w:rPr>
                <w:b/>
                <w:i/>
                <w:color w:val="FF0000"/>
              </w:rPr>
              <w:t xml:space="preserve">of the semitrailer was </w:t>
            </w:r>
            <w:r w:rsidR="005703BE">
              <w:rPr>
                <w:b/>
                <w:i/>
                <w:color w:val="FF0000"/>
              </w:rPr>
              <w:t>seized</w:t>
            </w:r>
            <w:r w:rsidR="005703BE" w:rsidRPr="00E81C50">
              <w:rPr>
                <w:b/>
                <w:i/>
                <w:color w:val="FF0000"/>
              </w:rPr>
              <w:t xml:space="preserve"> </w:t>
            </w:r>
            <w:r w:rsidRPr="00E81C50">
              <w:rPr>
                <w:b/>
                <w:i/>
                <w:color w:val="FF0000"/>
              </w:rPr>
              <w:t xml:space="preserve">causing overheat and the explosion of the </w:t>
            </w:r>
            <w:r w:rsidR="00D70AF7">
              <w:rPr>
                <w:b/>
                <w:i/>
                <w:color w:val="FF0000"/>
              </w:rPr>
              <w:t>tyre</w:t>
            </w:r>
            <w:r w:rsidRPr="00E81C50">
              <w:rPr>
                <w:b/>
                <w:i/>
                <w:color w:val="FF0000"/>
              </w:rPr>
              <w:t>.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  <w:rPr>
                <w:b/>
                <w:i/>
                <w:color w:val="FF0000"/>
              </w:rPr>
            </w:pPr>
            <w:r w:rsidRPr="00E81C50">
              <w:rPr>
                <w:b/>
                <w:i/>
                <w:color w:val="FF0000"/>
              </w:rPr>
              <w:t xml:space="preserve">The fire that engulfed the vehicle and the </w:t>
            </w:r>
            <w:r w:rsidR="00C4518B">
              <w:rPr>
                <w:b/>
                <w:i/>
                <w:color w:val="FF0000"/>
              </w:rPr>
              <w:t>cylinders</w:t>
            </w:r>
            <w:r w:rsidRPr="00E81C50">
              <w:rPr>
                <w:b/>
                <w:i/>
                <w:color w:val="FF0000"/>
              </w:rPr>
              <w:t xml:space="preserve"> arose shortly.</w:t>
            </w:r>
          </w:p>
          <w:p w:rsidR="00E81C50" w:rsidRPr="00C4518B" w:rsidRDefault="00E81C50" w:rsidP="00696E3E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40" w:lineRule="auto"/>
              <w:jc w:val="both"/>
              <w:rPr>
                <w:b/>
                <w:i/>
                <w:color w:val="FF0000"/>
              </w:rPr>
            </w:pPr>
            <w:r w:rsidRPr="00E81C50">
              <w:rPr>
                <w:b/>
                <w:i/>
                <w:color w:val="FF0000"/>
              </w:rPr>
              <w:t>The road infrastructure and the electricity network</w:t>
            </w:r>
            <w:r w:rsidR="00696E3E">
              <w:rPr>
                <w:b/>
                <w:i/>
                <w:color w:val="FF0000"/>
              </w:rPr>
              <w:t xml:space="preserve"> were</w:t>
            </w:r>
            <w:r w:rsidRPr="00E81C50">
              <w:rPr>
                <w:b/>
                <w:i/>
                <w:color w:val="FF0000"/>
              </w:rPr>
              <w:t xml:space="preserve"> </w:t>
            </w:r>
            <w:r w:rsidR="003758CF">
              <w:rPr>
                <w:b/>
                <w:i/>
                <w:color w:val="FF0000"/>
              </w:rPr>
              <w:t xml:space="preserve">both </w:t>
            </w:r>
            <w:r w:rsidRPr="00E81C50">
              <w:rPr>
                <w:b/>
                <w:i/>
                <w:color w:val="FF0000"/>
              </w:rPr>
              <w:t>affected.</w:t>
            </w:r>
          </w:p>
        </w:tc>
      </w:tr>
    </w:tbl>
    <w:p w:rsidR="00E81C50" w:rsidRDefault="00E81C50" w:rsidP="008946C4">
      <w:pPr>
        <w:pStyle w:val="SingleTxtG"/>
        <w:rPr>
          <w:lang w:val="en-US"/>
        </w:rPr>
      </w:pPr>
    </w:p>
    <w:p w:rsidR="00E81C50" w:rsidRDefault="00E81C50" w:rsidP="008946C4">
      <w:pPr>
        <w:pStyle w:val="SingleTxtG"/>
        <w:rPr>
          <w:lang w:val="en-US"/>
        </w:rPr>
      </w:pPr>
    </w:p>
    <w:p w:rsidR="00E81C50" w:rsidRDefault="00E81C50" w:rsidP="008946C4">
      <w:pPr>
        <w:pStyle w:val="SingleTxtG"/>
        <w:rPr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851"/>
        <w:gridCol w:w="566"/>
        <w:gridCol w:w="1135"/>
        <w:gridCol w:w="1134"/>
        <w:gridCol w:w="1134"/>
        <w:gridCol w:w="1417"/>
      </w:tblGrid>
      <w:tr w:rsidR="00E81C50" w:rsidRPr="00E81C50" w:rsidTr="006B67C5">
        <w:tc>
          <w:tcPr>
            <w:tcW w:w="9639" w:type="dxa"/>
            <w:gridSpan w:val="8"/>
            <w:shd w:val="pct30" w:color="auto" w:fill="FFFFFF"/>
          </w:tcPr>
          <w:p w:rsidR="00E81C50" w:rsidRPr="00E81C50" w:rsidRDefault="00E81C50" w:rsidP="00E81C50">
            <w:pPr>
              <w:keepNext/>
              <w:keepLines/>
              <w:pageBreakBefore/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  <w:rPr>
                <w:b/>
              </w:rPr>
            </w:pPr>
            <w:r w:rsidRPr="00E81C50">
              <w:rPr>
                <w:rFonts w:ascii="CG Times" w:hAnsi="CG Times"/>
              </w:rPr>
              <w:lastRenderedPageBreak/>
              <w:br w:type="page"/>
            </w:r>
            <w:r w:rsidRPr="00E81C50">
              <w:br w:type="page"/>
            </w:r>
            <w:r w:rsidRPr="00E81C50">
              <w:br w:type="page"/>
            </w:r>
            <w:r w:rsidRPr="00E81C50">
              <w:rPr>
                <w:b/>
              </w:rPr>
              <w:t>6. Dangerous goods involved</w:t>
            </w:r>
          </w:p>
        </w:tc>
      </w:tr>
      <w:tr w:rsidR="00E82AA0" w:rsidRPr="00E81C50" w:rsidTr="001E56A4">
        <w:trPr>
          <w:cantSplit/>
        </w:trPr>
        <w:tc>
          <w:tcPr>
            <w:tcW w:w="2694" w:type="dxa"/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before="40" w:after="40" w:line="216" w:lineRule="auto"/>
              <w:jc w:val="center"/>
            </w:pPr>
            <w:r w:rsidRPr="00E81C50">
              <w:t xml:space="preserve">UN Number </w:t>
            </w:r>
            <w:r w:rsidRPr="00E81C50">
              <w:rPr>
                <w:vertAlign w:val="superscript"/>
              </w:rPr>
              <w:t>(1)</w:t>
            </w:r>
          </w:p>
        </w:tc>
        <w:tc>
          <w:tcPr>
            <w:tcW w:w="708" w:type="dxa"/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before="40" w:after="40" w:line="216" w:lineRule="auto"/>
              <w:jc w:val="center"/>
            </w:pPr>
            <w:r w:rsidRPr="00E81C50">
              <w:t>Class</w:t>
            </w:r>
          </w:p>
        </w:tc>
        <w:tc>
          <w:tcPr>
            <w:tcW w:w="851" w:type="dxa"/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before="40" w:after="40" w:line="216" w:lineRule="auto"/>
              <w:jc w:val="center"/>
            </w:pPr>
            <w:r w:rsidRPr="00E81C50">
              <w:t>Packing Group</w:t>
            </w:r>
          </w:p>
        </w:tc>
        <w:tc>
          <w:tcPr>
            <w:tcW w:w="1701" w:type="dxa"/>
            <w:gridSpan w:val="2"/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before="40" w:after="40" w:line="216" w:lineRule="auto"/>
              <w:jc w:val="center"/>
              <w:rPr>
                <w:vertAlign w:val="superscript"/>
              </w:rPr>
            </w:pPr>
            <w:r w:rsidRPr="00E81C50">
              <w:t xml:space="preserve">Estimated quantity of loss of products (kg or </w:t>
            </w:r>
            <w:r w:rsidRPr="00E81C50">
              <w:rPr>
                <w:i/>
                <w:iCs/>
              </w:rPr>
              <w:t>l</w:t>
            </w:r>
            <w:r w:rsidRPr="00E81C50">
              <w:t xml:space="preserve">) </w:t>
            </w:r>
            <w:r w:rsidRPr="00E81C50">
              <w:rPr>
                <w:vertAlign w:val="superscript"/>
              </w:rPr>
              <w:t>(2)</w:t>
            </w:r>
          </w:p>
        </w:tc>
        <w:tc>
          <w:tcPr>
            <w:tcW w:w="1134" w:type="dxa"/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before="40" w:after="40" w:line="216" w:lineRule="auto"/>
              <w:jc w:val="center"/>
            </w:pPr>
            <w:r w:rsidRPr="00E81C50">
              <w:t xml:space="preserve">Means of containment </w:t>
            </w:r>
            <w:r w:rsidRPr="00E81C50">
              <w:rPr>
                <w:vertAlign w:val="superscript"/>
              </w:rPr>
              <w:t>(3)</w:t>
            </w:r>
          </w:p>
        </w:tc>
        <w:tc>
          <w:tcPr>
            <w:tcW w:w="1134" w:type="dxa"/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before="40" w:after="40" w:line="216" w:lineRule="auto"/>
              <w:jc w:val="center"/>
            </w:pPr>
            <w:r w:rsidRPr="00E81C50">
              <w:t>Means of containment material</w:t>
            </w:r>
          </w:p>
        </w:tc>
        <w:tc>
          <w:tcPr>
            <w:tcW w:w="1417" w:type="dxa"/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before="40" w:after="40" w:line="216" w:lineRule="auto"/>
              <w:jc w:val="center"/>
            </w:pPr>
            <w:r w:rsidRPr="00E81C50">
              <w:t xml:space="preserve">Type of failure of means of containment </w:t>
            </w:r>
            <w:r w:rsidRPr="00E81C50">
              <w:rPr>
                <w:vertAlign w:val="superscript"/>
              </w:rPr>
              <w:t>(4)</w:t>
            </w:r>
          </w:p>
        </w:tc>
      </w:tr>
      <w:tr w:rsidR="00E82AA0" w:rsidRPr="00E81C50" w:rsidTr="001E56A4">
        <w:trPr>
          <w:cantSplit/>
          <w:trHeight w:val="397"/>
        </w:trPr>
        <w:tc>
          <w:tcPr>
            <w:tcW w:w="2694" w:type="dxa"/>
            <w:vAlign w:val="center"/>
          </w:tcPr>
          <w:p w:rsidR="00E81C50" w:rsidRPr="00E81C50" w:rsidRDefault="00E81C50" w:rsidP="00E82AA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before="60" w:after="60" w:line="216" w:lineRule="auto"/>
              <w:rPr>
                <w:b/>
                <w:i/>
                <w:color w:val="FF0000"/>
                <w:lang w:val="fr-FR"/>
              </w:rPr>
            </w:pPr>
            <w:r w:rsidRPr="00E81C50">
              <w:rPr>
                <w:b/>
                <w:i/>
                <w:color w:val="FF0000"/>
                <w:lang w:val="fr-FR"/>
              </w:rPr>
              <w:t>UN 1965, HYDROCARBON GAS MIXTURE, LIQUEFIED, N.O.S.</w:t>
            </w:r>
          </w:p>
        </w:tc>
        <w:tc>
          <w:tcPr>
            <w:tcW w:w="708" w:type="dxa"/>
            <w:vAlign w:val="center"/>
          </w:tcPr>
          <w:p w:rsidR="00E81C50" w:rsidRPr="00E81C50" w:rsidRDefault="00E81C50" w:rsidP="00E82AA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before="60" w:after="60" w:line="216" w:lineRule="auto"/>
              <w:jc w:val="center"/>
              <w:rPr>
                <w:b/>
                <w:i/>
                <w:color w:val="FF0000"/>
              </w:rPr>
            </w:pPr>
            <w:r w:rsidRPr="00E81C50">
              <w:rPr>
                <w:b/>
                <w:i/>
                <w:color w:val="FF0000"/>
              </w:rPr>
              <w:t>2</w:t>
            </w:r>
          </w:p>
        </w:tc>
        <w:tc>
          <w:tcPr>
            <w:tcW w:w="851" w:type="dxa"/>
            <w:vAlign w:val="center"/>
          </w:tcPr>
          <w:p w:rsidR="00E81C50" w:rsidRPr="00E81C50" w:rsidRDefault="00E81C50" w:rsidP="00E82AA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before="60" w:after="60" w:line="216" w:lineRule="auto"/>
              <w:jc w:val="center"/>
              <w:rPr>
                <w:b/>
                <w:i/>
                <w:color w:val="FF0000"/>
              </w:rPr>
            </w:pPr>
            <w:r w:rsidRPr="00E81C50">
              <w:rPr>
                <w:b/>
                <w:i/>
                <w:color w:val="FF0000"/>
              </w:rPr>
              <w:t>F</w:t>
            </w:r>
          </w:p>
        </w:tc>
        <w:tc>
          <w:tcPr>
            <w:tcW w:w="1701" w:type="dxa"/>
            <w:gridSpan w:val="2"/>
            <w:vAlign w:val="center"/>
          </w:tcPr>
          <w:p w:rsidR="00E81C50" w:rsidRPr="00E81C50" w:rsidRDefault="00E81C50" w:rsidP="00E82AA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before="60" w:after="60" w:line="216" w:lineRule="auto"/>
              <w:jc w:val="center"/>
              <w:rPr>
                <w:b/>
                <w:i/>
                <w:color w:val="FF0000"/>
              </w:rPr>
            </w:pPr>
            <w:r w:rsidRPr="00E81C50">
              <w:rPr>
                <w:b/>
                <w:i/>
                <w:color w:val="FF0000"/>
              </w:rPr>
              <w:t>-</w:t>
            </w:r>
          </w:p>
        </w:tc>
        <w:tc>
          <w:tcPr>
            <w:tcW w:w="1134" w:type="dxa"/>
            <w:vAlign w:val="center"/>
          </w:tcPr>
          <w:p w:rsidR="00E81C50" w:rsidRPr="00E81C50" w:rsidRDefault="00E81C50" w:rsidP="00E82AA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before="60" w:after="60" w:line="216" w:lineRule="auto"/>
              <w:jc w:val="center"/>
              <w:rPr>
                <w:b/>
                <w:i/>
                <w:color w:val="FF0000"/>
              </w:rPr>
            </w:pPr>
            <w:r w:rsidRPr="00E81C50">
              <w:rPr>
                <w:b/>
                <w:i/>
                <w:color w:val="FF0000"/>
              </w:rPr>
              <w:t>1</w:t>
            </w:r>
          </w:p>
        </w:tc>
        <w:tc>
          <w:tcPr>
            <w:tcW w:w="1134" w:type="dxa"/>
            <w:vAlign w:val="center"/>
          </w:tcPr>
          <w:p w:rsidR="00E81C50" w:rsidRPr="00E81C50" w:rsidRDefault="00E81C50" w:rsidP="00E82AA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before="60" w:after="60" w:line="216" w:lineRule="auto"/>
              <w:jc w:val="center"/>
              <w:rPr>
                <w:b/>
                <w:i/>
                <w:color w:val="FF0000"/>
              </w:rPr>
            </w:pPr>
            <w:r w:rsidRPr="00E81C50">
              <w:rPr>
                <w:b/>
                <w:i/>
                <w:color w:val="FF0000"/>
              </w:rPr>
              <w:t>STEEL</w:t>
            </w:r>
          </w:p>
        </w:tc>
        <w:tc>
          <w:tcPr>
            <w:tcW w:w="1417" w:type="dxa"/>
            <w:vAlign w:val="center"/>
          </w:tcPr>
          <w:p w:rsidR="00E81C50" w:rsidRPr="00E81C50" w:rsidRDefault="00E81C50" w:rsidP="00E82AA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before="60" w:after="60" w:line="216" w:lineRule="auto"/>
              <w:jc w:val="center"/>
              <w:rPr>
                <w:b/>
                <w:i/>
                <w:color w:val="FF0000"/>
              </w:rPr>
            </w:pPr>
            <w:r w:rsidRPr="00E81C50">
              <w:rPr>
                <w:b/>
                <w:i/>
                <w:color w:val="FF0000"/>
              </w:rPr>
              <w:t>3</w:t>
            </w:r>
          </w:p>
        </w:tc>
      </w:tr>
      <w:tr w:rsidR="00E81C50" w:rsidRPr="00E81C50" w:rsidTr="006B67C5">
        <w:trPr>
          <w:cantSplit/>
          <w:trHeight w:val="237"/>
        </w:trPr>
        <w:tc>
          <w:tcPr>
            <w:tcW w:w="4819" w:type="dxa"/>
            <w:gridSpan w:val="4"/>
            <w:tcBorders>
              <w:bottom w:val="nil"/>
            </w:tcBorders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before="40" w:line="216" w:lineRule="auto"/>
              <w:jc w:val="both"/>
              <w:rPr>
                <w:vertAlign w:val="superscript"/>
              </w:rPr>
            </w:pPr>
            <w:r w:rsidRPr="00E81C50">
              <w:rPr>
                <w:bCs/>
                <w:vertAlign w:val="superscript"/>
              </w:rPr>
              <w:t>(1)</w:t>
            </w:r>
            <w:r w:rsidRPr="00E81C50">
              <w:t xml:space="preserve"> For dangerous goods assigned to collective entries to which special provision 274 applies, also the technical name shall be indicated.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E81C50" w:rsidRPr="00F6783B" w:rsidRDefault="00E81C50" w:rsidP="00E81C5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before="40" w:line="216" w:lineRule="auto"/>
              <w:jc w:val="both"/>
            </w:pPr>
            <w:r w:rsidRPr="00E81C50">
              <w:rPr>
                <w:bCs/>
                <w:vertAlign w:val="superscript"/>
              </w:rPr>
              <w:t>(2)</w:t>
            </w:r>
            <w:r w:rsidRPr="00E81C50">
              <w:t xml:space="preserve"> For Class 7, indicate values according to the criteria in 1.8.5.3.</w:t>
            </w:r>
          </w:p>
        </w:tc>
      </w:tr>
      <w:tr w:rsidR="00E81C50" w:rsidRPr="00E81C50" w:rsidTr="006B67C5">
        <w:trPr>
          <w:cantSplit/>
          <w:trHeight w:val="237"/>
        </w:trPr>
        <w:tc>
          <w:tcPr>
            <w:tcW w:w="4819" w:type="dxa"/>
            <w:gridSpan w:val="4"/>
            <w:tcBorders>
              <w:bottom w:val="nil"/>
            </w:tcBorders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before="40" w:line="216" w:lineRule="auto"/>
              <w:jc w:val="both"/>
            </w:pPr>
            <w:r w:rsidRPr="00E81C50">
              <w:rPr>
                <w:vertAlign w:val="superscript"/>
              </w:rPr>
              <w:t>(3)</w:t>
            </w:r>
            <w:r w:rsidRPr="00E81C50">
              <w:rPr>
                <w:vertAlign w:val="superscript"/>
              </w:rPr>
              <w:tab/>
            </w:r>
            <w:r w:rsidRPr="00E81C50">
              <w:t>Indicate the appropriate number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t>1</w:t>
            </w:r>
            <w:r w:rsidRPr="00E81C50">
              <w:tab/>
              <w:t>Packaging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t>2</w:t>
            </w:r>
            <w:r w:rsidRPr="00E81C50">
              <w:tab/>
              <w:t>IBC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t>3</w:t>
            </w:r>
            <w:r w:rsidRPr="00E81C50">
              <w:tab/>
              <w:t>Large packaging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t>4</w:t>
            </w:r>
            <w:r w:rsidRPr="00E81C50">
              <w:tab/>
              <w:t>Small container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t>5</w:t>
            </w:r>
            <w:r w:rsidRPr="00E81C50">
              <w:tab/>
              <w:t>Wagon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t>6</w:t>
            </w:r>
            <w:r w:rsidRPr="00E81C50">
              <w:tab/>
              <w:t>Vehicle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t>7</w:t>
            </w:r>
            <w:r w:rsidRPr="00E81C50">
              <w:tab/>
              <w:t>Tank-wagon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t>8</w:t>
            </w:r>
            <w:r w:rsidRPr="00E81C50">
              <w:tab/>
              <w:t>Tank-vehicle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t>9</w:t>
            </w:r>
            <w:r w:rsidRPr="00E81C50">
              <w:tab/>
              <w:t>Battery-wagon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t>10</w:t>
            </w:r>
            <w:r w:rsidRPr="00E81C50">
              <w:tab/>
              <w:t>Battery-vehicle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t>11</w:t>
            </w:r>
            <w:r w:rsidRPr="00E81C50">
              <w:tab/>
              <w:t>Wagon with demountable tanks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t>12</w:t>
            </w:r>
            <w:r w:rsidRPr="00E81C50">
              <w:tab/>
              <w:t>Demountable tank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t>13</w:t>
            </w:r>
            <w:r w:rsidRPr="00E81C50">
              <w:tab/>
              <w:t>Large container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t>14</w:t>
            </w:r>
            <w:r w:rsidRPr="00E81C50">
              <w:tab/>
              <w:t>Tank-container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t>15</w:t>
            </w:r>
            <w:r w:rsidRPr="00E81C50">
              <w:tab/>
              <w:t>MEGC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t>16</w:t>
            </w:r>
            <w:r w:rsidRPr="00E81C50">
              <w:tab/>
              <w:t>Portable tank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before="40" w:line="216" w:lineRule="auto"/>
              <w:jc w:val="both"/>
            </w:pPr>
            <w:r w:rsidRPr="00E81C50">
              <w:rPr>
                <w:vertAlign w:val="superscript"/>
              </w:rPr>
              <w:t>(4)</w:t>
            </w:r>
            <w:r w:rsidRPr="00E81C50">
              <w:rPr>
                <w:vertAlign w:val="superscript"/>
              </w:rPr>
              <w:tab/>
            </w:r>
            <w:r w:rsidRPr="00E81C50">
              <w:t xml:space="preserve">Indicate the appropriate number 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t>1</w:t>
            </w:r>
            <w:r w:rsidRPr="00E81C50">
              <w:tab/>
              <w:t>Loss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t>2</w:t>
            </w:r>
            <w:r w:rsidRPr="00E81C50">
              <w:tab/>
              <w:t>Fire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t>3</w:t>
            </w:r>
            <w:r w:rsidRPr="00E81C50">
              <w:tab/>
              <w:t>Explosion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t>4</w:t>
            </w:r>
            <w:r w:rsidRPr="00E81C50">
              <w:tab/>
              <w:t>Structural failure</w:t>
            </w:r>
          </w:p>
        </w:tc>
      </w:tr>
      <w:tr w:rsidR="00E81C50" w:rsidRPr="00E81C50" w:rsidTr="006B67C5">
        <w:trPr>
          <w:cantSplit/>
          <w:trHeight w:val="237"/>
        </w:trPr>
        <w:tc>
          <w:tcPr>
            <w:tcW w:w="9639" w:type="dxa"/>
            <w:gridSpan w:val="8"/>
            <w:tcBorders>
              <w:bottom w:val="nil"/>
            </w:tcBorders>
            <w:shd w:val="pct30" w:color="auto" w:fill="FFFFFF"/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  <w:rPr>
                <w:vertAlign w:val="superscript"/>
              </w:rPr>
            </w:pPr>
            <w:r w:rsidRPr="00E81C50">
              <w:rPr>
                <w:b/>
              </w:rPr>
              <w:t>7. Cause of occurrence (if clearly known)</w:t>
            </w:r>
          </w:p>
        </w:tc>
      </w:tr>
      <w:tr w:rsidR="00E81C50" w:rsidRPr="00E81C50" w:rsidTr="006B67C5">
        <w:trPr>
          <w:cantSplit/>
          <w:trHeight w:val="237"/>
        </w:trPr>
        <w:tc>
          <w:tcPr>
            <w:tcW w:w="9639" w:type="dxa"/>
            <w:gridSpan w:val="8"/>
            <w:tcBorders>
              <w:bottom w:val="nil"/>
            </w:tcBorders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rPr>
                <w:b/>
              </w:rPr>
              <w:t>■</w:t>
            </w:r>
            <w:r w:rsidRPr="00E81C50">
              <w:rPr>
                <w:b/>
              </w:rPr>
              <w:tab/>
            </w:r>
            <w:r w:rsidRPr="00E81C50">
              <w:t>Technical fault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rPr>
                <w:b/>
              </w:rPr>
              <w:t>□</w:t>
            </w:r>
            <w:r w:rsidRPr="00E81C50">
              <w:rPr>
                <w:b/>
              </w:rPr>
              <w:tab/>
            </w:r>
            <w:r w:rsidRPr="00E81C50">
              <w:t>Faulty load securing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rPr>
                <w:b/>
              </w:rPr>
              <w:t>□</w:t>
            </w:r>
            <w:r w:rsidRPr="00E81C50">
              <w:rPr>
                <w:b/>
              </w:rPr>
              <w:tab/>
            </w:r>
            <w:r w:rsidRPr="00E81C50">
              <w:t>Operational cause (rail operation)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after="60" w:line="216" w:lineRule="auto"/>
            </w:pPr>
            <w:r w:rsidRPr="00E81C50">
              <w:rPr>
                <w:b/>
              </w:rPr>
              <w:t>□</w:t>
            </w:r>
            <w:r w:rsidRPr="00E81C50">
              <w:rPr>
                <w:b/>
              </w:rPr>
              <w:tab/>
            </w:r>
            <w:r w:rsidRPr="00E81C50">
              <w:t>Other:</w:t>
            </w:r>
          </w:p>
          <w:p w:rsidR="00E81C50" w:rsidRPr="00E81C50" w:rsidRDefault="00E81C50" w:rsidP="00D70AF7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after="60" w:line="216" w:lineRule="auto"/>
              <w:jc w:val="both"/>
              <w:rPr>
                <w:b/>
                <w:i/>
                <w:color w:val="FF0000"/>
              </w:rPr>
            </w:pPr>
            <w:r w:rsidRPr="00E81C50">
              <w:t xml:space="preserve"> </w:t>
            </w:r>
            <w:r w:rsidRPr="00E81C50">
              <w:rPr>
                <w:b/>
                <w:i/>
                <w:color w:val="FF0000"/>
              </w:rPr>
              <w:t>A tr</w:t>
            </w:r>
            <w:r w:rsidR="00D70AF7">
              <w:rPr>
                <w:b/>
                <w:i/>
                <w:color w:val="FF0000"/>
              </w:rPr>
              <w:t>actor</w:t>
            </w:r>
            <w:r w:rsidRPr="00E81C50">
              <w:rPr>
                <w:b/>
                <w:i/>
                <w:color w:val="FF0000"/>
              </w:rPr>
              <w:t xml:space="preserve"> with a semitrailer loaded with </w:t>
            </w:r>
            <w:r w:rsidR="00A43CBC">
              <w:rPr>
                <w:b/>
                <w:i/>
                <w:color w:val="FF0000"/>
              </w:rPr>
              <w:t>84</w:t>
            </w:r>
            <w:r w:rsidRPr="00E81C50">
              <w:rPr>
                <w:b/>
                <w:i/>
                <w:color w:val="FF0000"/>
              </w:rPr>
              <w:t xml:space="preserve">0 </w:t>
            </w:r>
            <w:r w:rsidR="00A43CBC">
              <w:rPr>
                <w:b/>
                <w:i/>
                <w:color w:val="FF0000"/>
              </w:rPr>
              <w:t xml:space="preserve">pieces of </w:t>
            </w:r>
            <w:r w:rsidRPr="00E81C50">
              <w:rPr>
                <w:b/>
                <w:i/>
                <w:color w:val="FF0000"/>
              </w:rPr>
              <w:t>LPG cylinders of 11 kg (empt</w:t>
            </w:r>
            <w:r w:rsidR="00696E3E">
              <w:rPr>
                <w:b/>
                <w:i/>
                <w:color w:val="FF0000"/>
              </w:rPr>
              <w:t>y</w:t>
            </w:r>
            <w:r w:rsidRPr="00E81C50">
              <w:rPr>
                <w:b/>
                <w:i/>
                <w:color w:val="FF0000"/>
              </w:rPr>
              <w:t xml:space="preserve"> or defective) that moved </w:t>
            </w:r>
            <w:r w:rsidR="00E82AA0">
              <w:rPr>
                <w:b/>
                <w:i/>
                <w:color w:val="FF0000"/>
              </w:rPr>
              <w:t xml:space="preserve">from </w:t>
            </w:r>
            <w:r w:rsidR="00696E3E">
              <w:rPr>
                <w:b/>
                <w:i/>
                <w:color w:val="FF0000"/>
              </w:rPr>
              <w:t xml:space="preserve">the </w:t>
            </w:r>
            <w:r w:rsidR="00E82AA0">
              <w:rPr>
                <w:b/>
                <w:i/>
                <w:color w:val="FF0000"/>
              </w:rPr>
              <w:t xml:space="preserve">warehouse </w:t>
            </w:r>
            <w:r w:rsidRPr="00E81C50">
              <w:rPr>
                <w:b/>
                <w:i/>
                <w:color w:val="FF0000"/>
              </w:rPr>
              <w:t xml:space="preserve">to the filling </w:t>
            </w:r>
            <w:r w:rsidR="001E56A4" w:rsidRPr="00E81C50">
              <w:rPr>
                <w:b/>
                <w:i/>
                <w:color w:val="FF0000"/>
              </w:rPr>
              <w:t>centre</w:t>
            </w:r>
            <w:r w:rsidRPr="00E81C50">
              <w:rPr>
                <w:b/>
                <w:i/>
                <w:color w:val="FF0000"/>
              </w:rPr>
              <w:t xml:space="preserve"> stopped in the inhabited area of Mihailesti due to the explosion of a </w:t>
            </w:r>
            <w:r w:rsidR="00D70AF7">
              <w:rPr>
                <w:b/>
                <w:i/>
                <w:color w:val="FF0000"/>
              </w:rPr>
              <w:t>tyre</w:t>
            </w:r>
            <w:r w:rsidRPr="00E81C50">
              <w:rPr>
                <w:b/>
                <w:i/>
                <w:color w:val="FF0000"/>
              </w:rPr>
              <w:t xml:space="preserve"> (on the triple </w:t>
            </w:r>
            <w:r w:rsidR="005703BE">
              <w:rPr>
                <w:b/>
                <w:i/>
                <w:color w:val="FF0000"/>
              </w:rPr>
              <w:t xml:space="preserve">axle </w:t>
            </w:r>
            <w:r w:rsidRPr="00E81C50">
              <w:rPr>
                <w:b/>
                <w:i/>
                <w:color w:val="FF0000"/>
              </w:rPr>
              <w:t>of the semitrailer)</w:t>
            </w:r>
            <w:r w:rsidRPr="00E81C50">
              <w:rPr>
                <w:color w:val="FF0000"/>
              </w:rPr>
              <w:t xml:space="preserve">. </w:t>
            </w:r>
            <w:r w:rsidR="00E82AA0" w:rsidRPr="00E81C50">
              <w:rPr>
                <w:b/>
                <w:i/>
                <w:color w:val="FF0000"/>
              </w:rPr>
              <w:t xml:space="preserve">The </w:t>
            </w:r>
            <w:r w:rsidR="005703BE">
              <w:rPr>
                <w:b/>
                <w:i/>
                <w:color w:val="FF0000"/>
              </w:rPr>
              <w:t xml:space="preserve">seizure </w:t>
            </w:r>
            <w:r w:rsidR="001E56A4" w:rsidRPr="00E81C50">
              <w:rPr>
                <w:b/>
                <w:i/>
                <w:color w:val="FF0000"/>
              </w:rPr>
              <w:t>of the bearing of the respective wheel</w:t>
            </w:r>
            <w:r w:rsidR="001E56A4">
              <w:rPr>
                <w:b/>
                <w:i/>
                <w:color w:val="FF0000"/>
              </w:rPr>
              <w:t xml:space="preserve"> cause overheats</w:t>
            </w:r>
            <w:r w:rsidRPr="00E81C50">
              <w:rPr>
                <w:b/>
                <w:i/>
                <w:color w:val="FF0000"/>
              </w:rPr>
              <w:t xml:space="preserve">. The overheating caused the explosion of the </w:t>
            </w:r>
            <w:r w:rsidR="00D70AF7">
              <w:rPr>
                <w:b/>
                <w:i/>
                <w:color w:val="FF0000"/>
              </w:rPr>
              <w:t>tyre</w:t>
            </w:r>
            <w:r w:rsidRPr="00E81C50">
              <w:rPr>
                <w:b/>
                <w:i/>
                <w:color w:val="FF0000"/>
              </w:rPr>
              <w:t xml:space="preserve"> and the fire which extended to the semitrailer floor and then to the cylinders.</w:t>
            </w:r>
          </w:p>
        </w:tc>
      </w:tr>
      <w:tr w:rsidR="00E81C50" w:rsidRPr="00E81C50" w:rsidTr="006B67C5">
        <w:trPr>
          <w:cantSplit/>
          <w:trHeight w:val="237"/>
        </w:trPr>
        <w:tc>
          <w:tcPr>
            <w:tcW w:w="9639" w:type="dxa"/>
            <w:gridSpan w:val="8"/>
            <w:tcBorders>
              <w:bottom w:val="nil"/>
            </w:tcBorders>
            <w:shd w:val="pct30" w:color="auto" w:fill="FFFFFF"/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  <w:rPr>
                <w:b/>
              </w:rPr>
            </w:pPr>
            <w:r w:rsidRPr="00E81C50">
              <w:rPr>
                <w:b/>
              </w:rPr>
              <w:t>8. Consequences of occurrence</w:t>
            </w:r>
          </w:p>
        </w:tc>
      </w:tr>
      <w:tr w:rsidR="00E81C50" w:rsidRPr="00E81C50" w:rsidTr="006B67C5">
        <w:trPr>
          <w:cantSplit/>
          <w:trHeight w:val="237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  <w:rPr>
                <w:u w:val="single"/>
              </w:rPr>
            </w:pPr>
            <w:r w:rsidRPr="00E81C50">
              <w:rPr>
                <w:u w:val="single"/>
              </w:rPr>
              <w:t>Personal injury in connection with the dangerous goods involved: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rPr>
                <w:b/>
              </w:rPr>
              <w:t>□</w:t>
            </w:r>
            <w:r w:rsidRPr="00E81C50">
              <w:rPr>
                <w:b/>
              </w:rPr>
              <w:tab/>
            </w:r>
            <w:r w:rsidRPr="00E81C50">
              <w:t>Deaths (number: - )</w:t>
            </w:r>
          </w:p>
          <w:p w:rsid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rPr>
                <w:b/>
              </w:rPr>
              <w:t>□</w:t>
            </w:r>
            <w:r w:rsidRPr="00E81C50">
              <w:rPr>
                <w:b/>
              </w:rPr>
              <w:tab/>
            </w:r>
            <w:r w:rsidRPr="00E81C50">
              <w:t>Injured (number: - )</w:t>
            </w:r>
          </w:p>
          <w:p w:rsidR="00696587" w:rsidRPr="00E81C50" w:rsidRDefault="00696587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  <w:rPr>
                <w:u w:val="single"/>
              </w:rPr>
            </w:pPr>
            <w:r w:rsidRPr="00E81C50">
              <w:rPr>
                <w:u w:val="single"/>
              </w:rPr>
              <w:t>Loss of product: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rPr>
                <w:b/>
              </w:rPr>
              <w:t>■</w:t>
            </w:r>
            <w:r w:rsidRPr="00E81C50">
              <w:rPr>
                <w:b/>
              </w:rPr>
              <w:tab/>
            </w:r>
            <w:r w:rsidRPr="00E81C50">
              <w:t xml:space="preserve">Yes 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rPr>
                <w:b/>
              </w:rPr>
              <w:t>□</w:t>
            </w:r>
            <w:r w:rsidRPr="00E81C50">
              <w:rPr>
                <w:b/>
              </w:rPr>
              <w:tab/>
            </w:r>
            <w:r w:rsidRPr="00E81C50">
              <w:t>No</w:t>
            </w:r>
          </w:p>
          <w:p w:rsid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rPr>
                <w:b/>
              </w:rPr>
              <w:t>□</w:t>
            </w:r>
            <w:r w:rsidRPr="00E81C50">
              <w:rPr>
                <w:b/>
              </w:rPr>
              <w:tab/>
            </w:r>
            <w:r w:rsidRPr="00E81C50">
              <w:t>Imminent risk of loss of product</w:t>
            </w:r>
          </w:p>
          <w:p w:rsidR="00696587" w:rsidRPr="00E81C50" w:rsidRDefault="00696587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  <w:rPr>
                <w:u w:val="single"/>
              </w:rPr>
            </w:pPr>
            <w:r w:rsidRPr="00E81C50">
              <w:rPr>
                <w:u w:val="single"/>
              </w:rPr>
              <w:t>Material/Environmental damage: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rPr>
                <w:b/>
              </w:rPr>
              <w:t>■</w:t>
            </w:r>
            <w:r w:rsidRPr="00E81C50">
              <w:rPr>
                <w:b/>
              </w:rPr>
              <w:tab/>
            </w:r>
            <w:r w:rsidRPr="00E81C50">
              <w:t xml:space="preserve">Estimated level of damage </w:t>
            </w:r>
            <w:r w:rsidRPr="00E81C50">
              <w:sym w:font="Symbol" w:char="F0A3"/>
            </w:r>
            <w:r w:rsidRPr="00E81C50">
              <w:t xml:space="preserve"> 50,000 Euros</w:t>
            </w:r>
          </w:p>
          <w:p w:rsid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rPr>
                <w:b/>
              </w:rPr>
              <w:t>□</w:t>
            </w:r>
            <w:r w:rsidRPr="00E81C50">
              <w:rPr>
                <w:b/>
              </w:rPr>
              <w:tab/>
            </w:r>
            <w:r w:rsidRPr="00E81C50">
              <w:t>Estimated level of damage &gt; 50,000 Euros</w:t>
            </w:r>
          </w:p>
          <w:p w:rsidR="00696587" w:rsidRPr="00E81C50" w:rsidRDefault="00696587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  <w:rPr>
                <w:u w:val="single"/>
              </w:rPr>
            </w:pPr>
            <w:r w:rsidRPr="00E81C50">
              <w:rPr>
                <w:u w:val="single"/>
              </w:rPr>
              <w:t>Involvement of authorities: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ind w:left="1749" w:hanging="1749"/>
              <w:jc w:val="both"/>
            </w:pPr>
            <w:r w:rsidRPr="00E81C50">
              <w:rPr>
                <w:b/>
              </w:rPr>
              <w:t>■</w:t>
            </w:r>
            <w:r w:rsidRPr="00E81C50">
              <w:rPr>
                <w:b/>
              </w:rPr>
              <w:tab/>
            </w:r>
            <w:r w:rsidRPr="00E81C50">
              <w:t>Yes</w:t>
            </w:r>
            <w:r w:rsidRPr="00E81C50">
              <w:tab/>
            </w:r>
            <w:r w:rsidRPr="00E81C50">
              <w:rPr>
                <w:b/>
              </w:rPr>
              <w:t>■</w:t>
            </w:r>
            <w:r w:rsidRPr="00E81C50">
              <w:rPr>
                <w:b/>
              </w:rPr>
              <w:tab/>
            </w:r>
            <w:r w:rsidRPr="00E81C50">
              <w:t>Evacuation of persons for a duration of at least three hours caused by the dangerous goods involved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ind w:left="1749" w:hanging="1749"/>
              <w:jc w:val="both"/>
            </w:pPr>
            <w:r w:rsidRPr="00E81C50">
              <w:tab/>
            </w:r>
            <w:r w:rsidRPr="00E81C50">
              <w:tab/>
            </w:r>
            <w:r w:rsidRPr="00E81C50">
              <w:rPr>
                <w:b/>
              </w:rPr>
              <w:t>■</w:t>
            </w:r>
            <w:r w:rsidRPr="00E81C50">
              <w:rPr>
                <w:b/>
              </w:rPr>
              <w:tab/>
            </w:r>
            <w:r w:rsidRPr="00E81C50">
              <w:t>Closure of public traffic routes for a duration of at least three hours caused by the dangerous goods involved</w:t>
            </w:r>
          </w:p>
          <w:p w:rsidR="00E81C50" w:rsidRPr="00E81C50" w:rsidRDefault="00E81C50" w:rsidP="00E81C50">
            <w:pPr>
              <w:tabs>
                <w:tab w:val="left" w:pos="-720"/>
                <w:tab w:val="left" w:pos="-324"/>
                <w:tab w:val="left" w:pos="356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 w:val="0"/>
              <w:spacing w:line="216" w:lineRule="auto"/>
              <w:jc w:val="both"/>
            </w:pPr>
            <w:r w:rsidRPr="00E81C50">
              <w:rPr>
                <w:b/>
              </w:rPr>
              <w:t>□</w:t>
            </w:r>
            <w:r w:rsidRPr="00E81C50">
              <w:rPr>
                <w:b/>
              </w:rPr>
              <w:tab/>
            </w:r>
            <w:r w:rsidRPr="00E81C50">
              <w:t>No</w:t>
            </w:r>
          </w:p>
        </w:tc>
      </w:tr>
    </w:tbl>
    <w:p w:rsidR="00E82AA0" w:rsidRDefault="00E82AA0" w:rsidP="00D70AF7">
      <w:pPr>
        <w:pStyle w:val="HChG"/>
        <w:spacing w:before="0" w:after="0"/>
      </w:pPr>
      <w:r>
        <w:rPr>
          <w:u w:val="single"/>
        </w:rPr>
        <w:br w:type="page"/>
      </w:r>
      <w:r w:rsidRPr="00E82AA0">
        <w:lastRenderedPageBreak/>
        <w:t>Annex 2</w:t>
      </w:r>
    </w:p>
    <w:p w:rsidR="00E82AA0" w:rsidRDefault="00461067" w:rsidP="00DA2737">
      <w:pPr>
        <w:pStyle w:val="H1G"/>
        <w:spacing w:before="0" w:after="0"/>
        <w:jc w:val="center"/>
      </w:pPr>
      <w:r w:rsidRPr="00461067">
        <w:t>Photos</w:t>
      </w:r>
    </w:p>
    <w:p w:rsidR="00E82AA0" w:rsidRPr="00E82AA0" w:rsidRDefault="00E22BB3" w:rsidP="00E82AA0">
      <w:pPr>
        <w:pStyle w:val="SingleTxtG"/>
        <w:spacing w:before="240" w:after="0"/>
        <w:jc w:val="right"/>
        <w:rPr>
          <w:b/>
        </w:rPr>
      </w:pPr>
      <w:r w:rsidRPr="00E413CA">
        <w:rPr>
          <w:b/>
          <w:noProof/>
          <w:lang w:val="en-US"/>
        </w:rPr>
        <w:drawing>
          <wp:inline distT="0" distB="0" distL="0" distR="0">
            <wp:extent cx="4248150" cy="2381250"/>
            <wp:effectExtent l="0" t="0" r="0" b="0"/>
            <wp:docPr id="1" name="Imagine 2" descr="D:\AUTORITATEA RUTIERA ROMANA-ARR\CEE - ONU\TRANSPORTURI\MARFURI PERICULOASE\AAA - REUNIUNI MP ONU\4 - WP.15\noiembrie 2017\butelii\TIR BUTELII MIHAILESTI 2016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D:\AUTORITATEA RUTIERA ROMANA-ARR\CEE - ONU\TRANSPORTURI\MARFURI PERICULOASE\AAA - REUNIUNI MP ONU\4 - WP.15\noiembrie 2017\butelii\TIR BUTELII MIHAILESTI 2016 (1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A0" w:rsidRDefault="00E22BB3" w:rsidP="00E82AA0">
      <w:pPr>
        <w:pStyle w:val="SingleTxtG"/>
        <w:spacing w:before="240" w:after="0"/>
        <w:jc w:val="right"/>
        <w:rPr>
          <w:u w:val="single"/>
        </w:rPr>
      </w:pPr>
      <w:r w:rsidRPr="00E413CA">
        <w:rPr>
          <w:noProof/>
          <w:u w:val="single"/>
          <w:lang w:val="en-US"/>
        </w:rPr>
        <w:drawing>
          <wp:inline distT="0" distB="0" distL="0" distR="0">
            <wp:extent cx="4248150" cy="2381250"/>
            <wp:effectExtent l="0" t="0" r="0" b="0"/>
            <wp:docPr id="2" name="Imagine 1" descr="D:\AUTORITATEA RUTIERA ROMANA-ARR\CEE - ONU\TRANSPORTURI\MARFURI PERICULOASE\AAA - REUNIUNI MP ONU\4 - WP.15\noiembrie 2017\butelii\TIR BUTELII MIHAILESTI 2016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:\AUTORITATEA RUTIERA ROMANA-ARR\CEE - ONU\TRANSPORTURI\MARFURI PERICULOASE\AAA - REUNIUNI MP ONU\4 - WP.15\noiembrie 2017\butelii\TIR BUTELII MIHAILESTI 2016 (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37" w:rsidRDefault="00E22BB3" w:rsidP="00DA2737">
      <w:pPr>
        <w:pStyle w:val="SingleTxtG"/>
        <w:spacing w:before="240" w:after="0"/>
        <w:ind w:left="567"/>
        <w:jc w:val="right"/>
        <w:rPr>
          <w:u w:val="single"/>
        </w:rPr>
      </w:pPr>
      <w:r w:rsidRPr="00E413CA">
        <w:rPr>
          <w:noProof/>
          <w:u w:val="single"/>
          <w:lang w:val="en-US"/>
        </w:rPr>
        <w:drawing>
          <wp:inline distT="0" distB="0" distL="0" distR="0">
            <wp:extent cx="4238625" cy="2228850"/>
            <wp:effectExtent l="0" t="0" r="0" b="0"/>
            <wp:docPr id="3" name="Imagine 1" descr="D:\AUTORITATEA RUTIERA ROMANA-ARR\CEE - ONU\TRANSPORTURI\MARFURI PERICULOASE\AAA - REUNIUNI MP ONU\4 - WP.15\noiembrie 2017\butelii\TIR BUTELII MIHAILESTI 2016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:\AUTORITATEA RUTIERA ROMANA-ARR\CEE - ONU\TRANSPORTURI\MARFURI PERICULOASE\AAA - REUNIUNI MP ONU\4 - WP.15\noiembrie 2017\butelii\TIR BUTELII MIHAILESTI 2016 (1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91" w:rsidRDefault="007F4A91" w:rsidP="007F4A91">
      <w:pPr>
        <w:jc w:val="center"/>
      </w:pPr>
      <w:r>
        <w:t>_____________________</w:t>
      </w:r>
    </w:p>
    <w:p w:rsidR="007F4A91" w:rsidRDefault="007F4A91" w:rsidP="007F4A91">
      <w:pPr>
        <w:pStyle w:val="SingleTxtG"/>
        <w:spacing w:after="0"/>
        <w:ind w:left="567"/>
        <w:jc w:val="right"/>
        <w:rPr>
          <w:u w:val="single"/>
        </w:rPr>
      </w:pPr>
    </w:p>
    <w:sectPr w:rsidR="007F4A91" w:rsidSect="00AC36B7">
      <w:headerReference w:type="even" r:id="rId11"/>
      <w:headerReference w:type="default" r:id="rId12"/>
      <w:footerReference w:type="even" r:id="rId13"/>
      <w:footerReference w:type="default" r:id="rId14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E8" w:rsidRDefault="00E350E8"/>
  </w:endnote>
  <w:endnote w:type="continuationSeparator" w:id="0">
    <w:p w:rsidR="00E350E8" w:rsidRDefault="00E350E8"/>
  </w:endnote>
  <w:endnote w:type="continuationNotice" w:id="1">
    <w:p w:rsidR="00E350E8" w:rsidRDefault="00E35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E2" w:rsidRPr="009D2A5B" w:rsidRDefault="00B85028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C119E2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017A18">
      <w:rPr>
        <w:b/>
        <w:noProof/>
        <w:sz w:val="18"/>
      </w:rPr>
      <w:t>4</w:t>
    </w:r>
    <w:r w:rsidRPr="009D2A5B">
      <w:rPr>
        <w:b/>
        <w:sz w:val="18"/>
      </w:rPr>
      <w:fldChar w:fldCharType="end"/>
    </w:r>
    <w:r w:rsidR="00C119E2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E2" w:rsidRPr="009D2A5B" w:rsidRDefault="00C119E2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B85028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B85028" w:rsidRPr="009D2A5B">
      <w:rPr>
        <w:b/>
        <w:sz w:val="18"/>
      </w:rPr>
      <w:fldChar w:fldCharType="separate"/>
    </w:r>
    <w:r w:rsidR="00017A18">
      <w:rPr>
        <w:b/>
        <w:noProof/>
        <w:sz w:val="18"/>
      </w:rPr>
      <w:t>3</w:t>
    </w:r>
    <w:r w:rsidR="00B85028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E8" w:rsidRPr="000B175B" w:rsidRDefault="00E350E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350E8" w:rsidRPr="00FC68B7" w:rsidRDefault="00E350E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350E8" w:rsidRDefault="00E350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E2" w:rsidRPr="00FA7F6B" w:rsidRDefault="00C119E2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DA2737">
      <w:rPr>
        <w:szCs w:val="18"/>
        <w:lang w:val="fr-CH"/>
      </w:rPr>
      <w:t>12</w:t>
    </w:r>
    <w:r w:rsidR="00AC22F8">
      <w:rPr>
        <w:szCs w:val="18"/>
        <w:lang w:val="fr-CH"/>
      </w:rPr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E2" w:rsidRPr="00CD57D2" w:rsidRDefault="00C119E2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DA2737">
      <w:rPr>
        <w:lang w:val="fr-CH"/>
      </w:rPr>
      <w:t>12</w:t>
    </w:r>
    <w:r w:rsidR="00AC22F8">
      <w:rPr>
        <w:lang w:val="fr-CH"/>
      </w:rPr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94D3B21"/>
    <w:multiLevelType w:val="hybridMultilevel"/>
    <w:tmpl w:val="572C94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C31F5"/>
    <w:multiLevelType w:val="hybridMultilevel"/>
    <w:tmpl w:val="0CCAEC34"/>
    <w:lvl w:ilvl="0" w:tplc="5EE4B75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20"/>
  </w:num>
  <w:num w:numId="18">
    <w:abstractNumId w:val="18"/>
  </w:num>
  <w:num w:numId="19">
    <w:abstractNumId w:val="15"/>
  </w:num>
  <w:num w:numId="20">
    <w:abstractNumId w:val="16"/>
  </w:num>
  <w:num w:numId="2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ru-RU" w:vendorID="64" w:dllVersion="131078" w:nlCheck="1" w:checkStyle="0"/>
  <w:activeWritingStyle w:appName="MSWord" w:lang="nb-NO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35B8"/>
    <w:rsid w:val="00013E97"/>
    <w:rsid w:val="000149A1"/>
    <w:rsid w:val="00017A18"/>
    <w:rsid w:val="000218B5"/>
    <w:rsid w:val="000260EE"/>
    <w:rsid w:val="00037F90"/>
    <w:rsid w:val="00046B1F"/>
    <w:rsid w:val="000470B0"/>
    <w:rsid w:val="00047EB7"/>
    <w:rsid w:val="00050F6B"/>
    <w:rsid w:val="00057E97"/>
    <w:rsid w:val="00061528"/>
    <w:rsid w:val="0006361C"/>
    <w:rsid w:val="00067232"/>
    <w:rsid w:val="00072C8C"/>
    <w:rsid w:val="000733B5"/>
    <w:rsid w:val="00073B17"/>
    <w:rsid w:val="00081815"/>
    <w:rsid w:val="0008342E"/>
    <w:rsid w:val="00091557"/>
    <w:rsid w:val="000931C0"/>
    <w:rsid w:val="00093840"/>
    <w:rsid w:val="00096262"/>
    <w:rsid w:val="0009761A"/>
    <w:rsid w:val="000A0FD0"/>
    <w:rsid w:val="000A1785"/>
    <w:rsid w:val="000A231E"/>
    <w:rsid w:val="000A3752"/>
    <w:rsid w:val="000A58D8"/>
    <w:rsid w:val="000A5CF8"/>
    <w:rsid w:val="000A6483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3305"/>
    <w:rsid w:val="000C38C7"/>
    <w:rsid w:val="000C4D51"/>
    <w:rsid w:val="000C7F79"/>
    <w:rsid w:val="000D1E89"/>
    <w:rsid w:val="000D3D97"/>
    <w:rsid w:val="000E0415"/>
    <w:rsid w:val="000E5C70"/>
    <w:rsid w:val="000E6237"/>
    <w:rsid w:val="00101DB8"/>
    <w:rsid w:val="00103CC1"/>
    <w:rsid w:val="00104CDA"/>
    <w:rsid w:val="001103AA"/>
    <w:rsid w:val="0011119B"/>
    <w:rsid w:val="0011666B"/>
    <w:rsid w:val="0012118B"/>
    <w:rsid w:val="001211F5"/>
    <w:rsid w:val="001362A8"/>
    <w:rsid w:val="00141383"/>
    <w:rsid w:val="00142AB2"/>
    <w:rsid w:val="00155068"/>
    <w:rsid w:val="00165F3A"/>
    <w:rsid w:val="00177CE8"/>
    <w:rsid w:val="0018210E"/>
    <w:rsid w:val="00193CA7"/>
    <w:rsid w:val="001A1DCF"/>
    <w:rsid w:val="001A6E55"/>
    <w:rsid w:val="001B13A5"/>
    <w:rsid w:val="001B4B04"/>
    <w:rsid w:val="001C03F9"/>
    <w:rsid w:val="001C0917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56A4"/>
    <w:rsid w:val="001E7451"/>
    <w:rsid w:val="001E7B38"/>
    <w:rsid w:val="001E7B67"/>
    <w:rsid w:val="001F679D"/>
    <w:rsid w:val="001F7435"/>
    <w:rsid w:val="00202DA8"/>
    <w:rsid w:val="0021157B"/>
    <w:rsid w:val="00211E0B"/>
    <w:rsid w:val="0022321E"/>
    <w:rsid w:val="00225730"/>
    <w:rsid w:val="00233955"/>
    <w:rsid w:val="0023539C"/>
    <w:rsid w:val="00236A96"/>
    <w:rsid w:val="0023771B"/>
    <w:rsid w:val="0024023A"/>
    <w:rsid w:val="00240E45"/>
    <w:rsid w:val="00243217"/>
    <w:rsid w:val="00247BDC"/>
    <w:rsid w:val="00250267"/>
    <w:rsid w:val="00252290"/>
    <w:rsid w:val="00267F5F"/>
    <w:rsid w:val="00280A1D"/>
    <w:rsid w:val="00282790"/>
    <w:rsid w:val="00284DBC"/>
    <w:rsid w:val="00286B4D"/>
    <w:rsid w:val="002A0CC5"/>
    <w:rsid w:val="002A3C85"/>
    <w:rsid w:val="002A4EF6"/>
    <w:rsid w:val="002A603B"/>
    <w:rsid w:val="002B46EB"/>
    <w:rsid w:val="002C2008"/>
    <w:rsid w:val="002C63B0"/>
    <w:rsid w:val="002D0CE4"/>
    <w:rsid w:val="002D2E24"/>
    <w:rsid w:val="002D4643"/>
    <w:rsid w:val="002D4B6C"/>
    <w:rsid w:val="002F175C"/>
    <w:rsid w:val="002F3C64"/>
    <w:rsid w:val="00301D76"/>
    <w:rsid w:val="00302E18"/>
    <w:rsid w:val="0030606F"/>
    <w:rsid w:val="003173A5"/>
    <w:rsid w:val="00320AF5"/>
    <w:rsid w:val="003229D8"/>
    <w:rsid w:val="0033230E"/>
    <w:rsid w:val="00332B3B"/>
    <w:rsid w:val="003358CF"/>
    <w:rsid w:val="00335D02"/>
    <w:rsid w:val="003447A9"/>
    <w:rsid w:val="0034605E"/>
    <w:rsid w:val="00352709"/>
    <w:rsid w:val="00354ED9"/>
    <w:rsid w:val="003706D8"/>
    <w:rsid w:val="0037107E"/>
    <w:rsid w:val="00371178"/>
    <w:rsid w:val="003758CF"/>
    <w:rsid w:val="00375B70"/>
    <w:rsid w:val="0038452A"/>
    <w:rsid w:val="00393A3C"/>
    <w:rsid w:val="003A10AC"/>
    <w:rsid w:val="003A30E1"/>
    <w:rsid w:val="003A6498"/>
    <w:rsid w:val="003A6728"/>
    <w:rsid w:val="003A6810"/>
    <w:rsid w:val="003A7C69"/>
    <w:rsid w:val="003B1CC1"/>
    <w:rsid w:val="003B36D1"/>
    <w:rsid w:val="003B52B3"/>
    <w:rsid w:val="003B7418"/>
    <w:rsid w:val="003C2CC4"/>
    <w:rsid w:val="003C74DD"/>
    <w:rsid w:val="003D30B0"/>
    <w:rsid w:val="003D3380"/>
    <w:rsid w:val="003D4B23"/>
    <w:rsid w:val="003E0B6D"/>
    <w:rsid w:val="003E47CA"/>
    <w:rsid w:val="003F310D"/>
    <w:rsid w:val="003F7107"/>
    <w:rsid w:val="004002CE"/>
    <w:rsid w:val="00406D5C"/>
    <w:rsid w:val="00407CCC"/>
    <w:rsid w:val="00410C89"/>
    <w:rsid w:val="0041397F"/>
    <w:rsid w:val="0041539A"/>
    <w:rsid w:val="00422E03"/>
    <w:rsid w:val="00426B9B"/>
    <w:rsid w:val="004325CB"/>
    <w:rsid w:val="004356D2"/>
    <w:rsid w:val="00440A2C"/>
    <w:rsid w:val="004428E6"/>
    <w:rsid w:val="00442A83"/>
    <w:rsid w:val="00446D76"/>
    <w:rsid w:val="0045495B"/>
    <w:rsid w:val="00454D98"/>
    <w:rsid w:val="00456890"/>
    <w:rsid w:val="00456E48"/>
    <w:rsid w:val="00457A20"/>
    <w:rsid w:val="00461067"/>
    <w:rsid w:val="00463984"/>
    <w:rsid w:val="00463B7B"/>
    <w:rsid w:val="004643FE"/>
    <w:rsid w:val="00467E2A"/>
    <w:rsid w:val="00470310"/>
    <w:rsid w:val="00471330"/>
    <w:rsid w:val="004757DA"/>
    <w:rsid w:val="0048014F"/>
    <w:rsid w:val="00482DA4"/>
    <w:rsid w:val="0048397A"/>
    <w:rsid w:val="00485C67"/>
    <w:rsid w:val="004A12F2"/>
    <w:rsid w:val="004C2461"/>
    <w:rsid w:val="004C63B1"/>
    <w:rsid w:val="004C648F"/>
    <w:rsid w:val="004C72BF"/>
    <w:rsid w:val="004C7462"/>
    <w:rsid w:val="004C7936"/>
    <w:rsid w:val="004D399C"/>
    <w:rsid w:val="004D4E04"/>
    <w:rsid w:val="004D5426"/>
    <w:rsid w:val="004D71EB"/>
    <w:rsid w:val="004E0C05"/>
    <w:rsid w:val="004E1EFB"/>
    <w:rsid w:val="004E77B2"/>
    <w:rsid w:val="004F68B6"/>
    <w:rsid w:val="004F7A1B"/>
    <w:rsid w:val="00503DEB"/>
    <w:rsid w:val="00504B2D"/>
    <w:rsid w:val="00507CE8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3E5"/>
    <w:rsid w:val="00553B62"/>
    <w:rsid w:val="005628B6"/>
    <w:rsid w:val="005703BE"/>
    <w:rsid w:val="00586DB8"/>
    <w:rsid w:val="0059363D"/>
    <w:rsid w:val="00596193"/>
    <w:rsid w:val="005A1668"/>
    <w:rsid w:val="005A280E"/>
    <w:rsid w:val="005A6437"/>
    <w:rsid w:val="005B3DB3"/>
    <w:rsid w:val="005B4E13"/>
    <w:rsid w:val="005C5CC2"/>
    <w:rsid w:val="005D01AA"/>
    <w:rsid w:val="005D0201"/>
    <w:rsid w:val="005D2A29"/>
    <w:rsid w:val="005E6A77"/>
    <w:rsid w:val="005F0239"/>
    <w:rsid w:val="005F4EF7"/>
    <w:rsid w:val="005F7B75"/>
    <w:rsid w:val="006001EE"/>
    <w:rsid w:val="00600FA9"/>
    <w:rsid w:val="00605042"/>
    <w:rsid w:val="00611FC4"/>
    <w:rsid w:val="006162FB"/>
    <w:rsid w:val="006167E8"/>
    <w:rsid w:val="006176FB"/>
    <w:rsid w:val="006309EF"/>
    <w:rsid w:val="00630B5C"/>
    <w:rsid w:val="00640B26"/>
    <w:rsid w:val="00641975"/>
    <w:rsid w:val="00642081"/>
    <w:rsid w:val="00651B2F"/>
    <w:rsid w:val="00652D0A"/>
    <w:rsid w:val="006623D5"/>
    <w:rsid w:val="00662531"/>
    <w:rsid w:val="00662BB6"/>
    <w:rsid w:val="006634C7"/>
    <w:rsid w:val="006665F6"/>
    <w:rsid w:val="00667F8F"/>
    <w:rsid w:val="00670BBE"/>
    <w:rsid w:val="006713A7"/>
    <w:rsid w:val="00674897"/>
    <w:rsid w:val="00676B85"/>
    <w:rsid w:val="00684C21"/>
    <w:rsid w:val="00696587"/>
    <w:rsid w:val="00696E3E"/>
    <w:rsid w:val="006A2530"/>
    <w:rsid w:val="006B49F6"/>
    <w:rsid w:val="006B4DDD"/>
    <w:rsid w:val="006B67C5"/>
    <w:rsid w:val="006C18FA"/>
    <w:rsid w:val="006C3589"/>
    <w:rsid w:val="006D2B94"/>
    <w:rsid w:val="006D317D"/>
    <w:rsid w:val="006D37AF"/>
    <w:rsid w:val="006D51D0"/>
    <w:rsid w:val="006E3B48"/>
    <w:rsid w:val="006E4935"/>
    <w:rsid w:val="006E564B"/>
    <w:rsid w:val="006E7191"/>
    <w:rsid w:val="006E73A7"/>
    <w:rsid w:val="00702574"/>
    <w:rsid w:val="00703577"/>
    <w:rsid w:val="00705894"/>
    <w:rsid w:val="0071793F"/>
    <w:rsid w:val="00721211"/>
    <w:rsid w:val="0072632A"/>
    <w:rsid w:val="007327D5"/>
    <w:rsid w:val="00743E81"/>
    <w:rsid w:val="00743EE9"/>
    <w:rsid w:val="0074723A"/>
    <w:rsid w:val="00753674"/>
    <w:rsid w:val="00754592"/>
    <w:rsid w:val="007611CF"/>
    <w:rsid w:val="007612FF"/>
    <w:rsid w:val="007629C8"/>
    <w:rsid w:val="007641E1"/>
    <w:rsid w:val="0077047D"/>
    <w:rsid w:val="00774E52"/>
    <w:rsid w:val="00781439"/>
    <w:rsid w:val="007816F1"/>
    <w:rsid w:val="0078507B"/>
    <w:rsid w:val="00791AC2"/>
    <w:rsid w:val="00793939"/>
    <w:rsid w:val="00797575"/>
    <w:rsid w:val="007A1179"/>
    <w:rsid w:val="007A787F"/>
    <w:rsid w:val="007B2307"/>
    <w:rsid w:val="007B6BA5"/>
    <w:rsid w:val="007B6C1C"/>
    <w:rsid w:val="007C3390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4A91"/>
    <w:rsid w:val="007F6611"/>
    <w:rsid w:val="007F70AF"/>
    <w:rsid w:val="007F7106"/>
    <w:rsid w:val="007F7A86"/>
    <w:rsid w:val="007F7AB8"/>
    <w:rsid w:val="00804222"/>
    <w:rsid w:val="008116D7"/>
    <w:rsid w:val="00811920"/>
    <w:rsid w:val="00811CE6"/>
    <w:rsid w:val="00815AD0"/>
    <w:rsid w:val="00815E91"/>
    <w:rsid w:val="00820BB5"/>
    <w:rsid w:val="008212E9"/>
    <w:rsid w:val="008242D7"/>
    <w:rsid w:val="00824EA3"/>
    <w:rsid w:val="008257B1"/>
    <w:rsid w:val="008268C5"/>
    <w:rsid w:val="00835C5B"/>
    <w:rsid w:val="00836F65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79D9"/>
    <w:rsid w:val="008711DC"/>
    <w:rsid w:val="00871389"/>
    <w:rsid w:val="00875C74"/>
    <w:rsid w:val="008767BF"/>
    <w:rsid w:val="00880848"/>
    <w:rsid w:val="00883999"/>
    <w:rsid w:val="00887652"/>
    <w:rsid w:val="008878DE"/>
    <w:rsid w:val="008946C4"/>
    <w:rsid w:val="008979B1"/>
    <w:rsid w:val="008A3058"/>
    <w:rsid w:val="008A6812"/>
    <w:rsid w:val="008A6B25"/>
    <w:rsid w:val="008A6C4F"/>
    <w:rsid w:val="008A7F90"/>
    <w:rsid w:val="008B187F"/>
    <w:rsid w:val="008B2335"/>
    <w:rsid w:val="008B27FB"/>
    <w:rsid w:val="008B2B78"/>
    <w:rsid w:val="008B2D85"/>
    <w:rsid w:val="008C400E"/>
    <w:rsid w:val="008C7AFF"/>
    <w:rsid w:val="008D7341"/>
    <w:rsid w:val="008E0678"/>
    <w:rsid w:val="008E33CD"/>
    <w:rsid w:val="008E6480"/>
    <w:rsid w:val="008F5ACB"/>
    <w:rsid w:val="008F6CE6"/>
    <w:rsid w:val="00907BA5"/>
    <w:rsid w:val="0091190D"/>
    <w:rsid w:val="00916231"/>
    <w:rsid w:val="00920B57"/>
    <w:rsid w:val="009223CA"/>
    <w:rsid w:val="00927829"/>
    <w:rsid w:val="00927A7A"/>
    <w:rsid w:val="00933E40"/>
    <w:rsid w:val="00934137"/>
    <w:rsid w:val="00940F93"/>
    <w:rsid w:val="0094558F"/>
    <w:rsid w:val="009536F9"/>
    <w:rsid w:val="00961690"/>
    <w:rsid w:val="009760F3"/>
    <w:rsid w:val="00977203"/>
    <w:rsid w:val="009848FE"/>
    <w:rsid w:val="00995AB4"/>
    <w:rsid w:val="009A0E8D"/>
    <w:rsid w:val="009B0F25"/>
    <w:rsid w:val="009B1518"/>
    <w:rsid w:val="009B15AA"/>
    <w:rsid w:val="009B26E7"/>
    <w:rsid w:val="009B350F"/>
    <w:rsid w:val="009C454F"/>
    <w:rsid w:val="009C565B"/>
    <w:rsid w:val="009D2486"/>
    <w:rsid w:val="009D2A5B"/>
    <w:rsid w:val="009E1D30"/>
    <w:rsid w:val="009F2BB8"/>
    <w:rsid w:val="00A00A3F"/>
    <w:rsid w:val="00A01489"/>
    <w:rsid w:val="00A12E50"/>
    <w:rsid w:val="00A14388"/>
    <w:rsid w:val="00A1777D"/>
    <w:rsid w:val="00A3009E"/>
    <w:rsid w:val="00A3026E"/>
    <w:rsid w:val="00A30C84"/>
    <w:rsid w:val="00A31D95"/>
    <w:rsid w:val="00A338F1"/>
    <w:rsid w:val="00A43CBC"/>
    <w:rsid w:val="00A44D24"/>
    <w:rsid w:val="00A45808"/>
    <w:rsid w:val="00A46763"/>
    <w:rsid w:val="00A477C4"/>
    <w:rsid w:val="00A5402C"/>
    <w:rsid w:val="00A549EE"/>
    <w:rsid w:val="00A56863"/>
    <w:rsid w:val="00A56AAB"/>
    <w:rsid w:val="00A72F22"/>
    <w:rsid w:val="00A7360F"/>
    <w:rsid w:val="00A748A6"/>
    <w:rsid w:val="00A769F4"/>
    <w:rsid w:val="00A776B4"/>
    <w:rsid w:val="00A915B4"/>
    <w:rsid w:val="00A94361"/>
    <w:rsid w:val="00A970A8"/>
    <w:rsid w:val="00AA1F98"/>
    <w:rsid w:val="00AA293C"/>
    <w:rsid w:val="00AA5165"/>
    <w:rsid w:val="00AA66C0"/>
    <w:rsid w:val="00AB32F7"/>
    <w:rsid w:val="00AB4050"/>
    <w:rsid w:val="00AC22F8"/>
    <w:rsid w:val="00AC36B7"/>
    <w:rsid w:val="00AC5045"/>
    <w:rsid w:val="00AC6EC4"/>
    <w:rsid w:val="00AD44C2"/>
    <w:rsid w:val="00AD48FA"/>
    <w:rsid w:val="00AE0BEB"/>
    <w:rsid w:val="00AF7B8E"/>
    <w:rsid w:val="00B0614C"/>
    <w:rsid w:val="00B101E9"/>
    <w:rsid w:val="00B117CF"/>
    <w:rsid w:val="00B11BB4"/>
    <w:rsid w:val="00B12CA6"/>
    <w:rsid w:val="00B2148A"/>
    <w:rsid w:val="00B21F96"/>
    <w:rsid w:val="00B22BC2"/>
    <w:rsid w:val="00B24F79"/>
    <w:rsid w:val="00B25EB2"/>
    <w:rsid w:val="00B27148"/>
    <w:rsid w:val="00B30179"/>
    <w:rsid w:val="00B35CAC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56A2"/>
    <w:rsid w:val="00B77D05"/>
    <w:rsid w:val="00B8059B"/>
    <w:rsid w:val="00B81206"/>
    <w:rsid w:val="00B81E12"/>
    <w:rsid w:val="00B8394B"/>
    <w:rsid w:val="00B85028"/>
    <w:rsid w:val="00B85D76"/>
    <w:rsid w:val="00B87639"/>
    <w:rsid w:val="00B94746"/>
    <w:rsid w:val="00BA4F47"/>
    <w:rsid w:val="00BB5635"/>
    <w:rsid w:val="00BB7CD1"/>
    <w:rsid w:val="00BC2725"/>
    <w:rsid w:val="00BC3FA0"/>
    <w:rsid w:val="00BC626B"/>
    <w:rsid w:val="00BC67E1"/>
    <w:rsid w:val="00BC74E9"/>
    <w:rsid w:val="00BE4F17"/>
    <w:rsid w:val="00BF3CC6"/>
    <w:rsid w:val="00BF68A8"/>
    <w:rsid w:val="00BF6B31"/>
    <w:rsid w:val="00C00247"/>
    <w:rsid w:val="00C0468A"/>
    <w:rsid w:val="00C10FE6"/>
    <w:rsid w:val="00C119E2"/>
    <w:rsid w:val="00C11A03"/>
    <w:rsid w:val="00C11B49"/>
    <w:rsid w:val="00C22C0C"/>
    <w:rsid w:val="00C23978"/>
    <w:rsid w:val="00C25E1A"/>
    <w:rsid w:val="00C30215"/>
    <w:rsid w:val="00C32DCB"/>
    <w:rsid w:val="00C33407"/>
    <w:rsid w:val="00C40295"/>
    <w:rsid w:val="00C43462"/>
    <w:rsid w:val="00C4518B"/>
    <w:rsid w:val="00C4527F"/>
    <w:rsid w:val="00C45E05"/>
    <w:rsid w:val="00C463DD"/>
    <w:rsid w:val="00C4724C"/>
    <w:rsid w:val="00C605F3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3E03"/>
    <w:rsid w:val="00CB46A6"/>
    <w:rsid w:val="00CB5E01"/>
    <w:rsid w:val="00CB5F84"/>
    <w:rsid w:val="00CC24B7"/>
    <w:rsid w:val="00CC270A"/>
    <w:rsid w:val="00CC2A1B"/>
    <w:rsid w:val="00CC5B3B"/>
    <w:rsid w:val="00CD1FCA"/>
    <w:rsid w:val="00CD46A7"/>
    <w:rsid w:val="00CD57D2"/>
    <w:rsid w:val="00CE1761"/>
    <w:rsid w:val="00CE1CFD"/>
    <w:rsid w:val="00CE3E6E"/>
    <w:rsid w:val="00CE4A8F"/>
    <w:rsid w:val="00CF7AC0"/>
    <w:rsid w:val="00D13F4D"/>
    <w:rsid w:val="00D2031B"/>
    <w:rsid w:val="00D224BF"/>
    <w:rsid w:val="00D22523"/>
    <w:rsid w:val="00D252C8"/>
    <w:rsid w:val="00D25FE2"/>
    <w:rsid w:val="00D36B21"/>
    <w:rsid w:val="00D43252"/>
    <w:rsid w:val="00D44198"/>
    <w:rsid w:val="00D47EEA"/>
    <w:rsid w:val="00D47F36"/>
    <w:rsid w:val="00D550D4"/>
    <w:rsid w:val="00D56292"/>
    <w:rsid w:val="00D62742"/>
    <w:rsid w:val="00D62C3C"/>
    <w:rsid w:val="00D70AF7"/>
    <w:rsid w:val="00D7419E"/>
    <w:rsid w:val="00D74A61"/>
    <w:rsid w:val="00D773DF"/>
    <w:rsid w:val="00D83AF4"/>
    <w:rsid w:val="00D876F8"/>
    <w:rsid w:val="00D9255F"/>
    <w:rsid w:val="00D95303"/>
    <w:rsid w:val="00D97453"/>
    <w:rsid w:val="00D978C6"/>
    <w:rsid w:val="00DA2737"/>
    <w:rsid w:val="00DA3C1C"/>
    <w:rsid w:val="00DA5024"/>
    <w:rsid w:val="00DB1304"/>
    <w:rsid w:val="00DB43CD"/>
    <w:rsid w:val="00DC12A9"/>
    <w:rsid w:val="00DE37C6"/>
    <w:rsid w:val="00DE4970"/>
    <w:rsid w:val="00DE7486"/>
    <w:rsid w:val="00E01B7D"/>
    <w:rsid w:val="00E046DF"/>
    <w:rsid w:val="00E14853"/>
    <w:rsid w:val="00E15557"/>
    <w:rsid w:val="00E2038D"/>
    <w:rsid w:val="00E22BB3"/>
    <w:rsid w:val="00E23023"/>
    <w:rsid w:val="00E261FA"/>
    <w:rsid w:val="00E26778"/>
    <w:rsid w:val="00E27346"/>
    <w:rsid w:val="00E3292C"/>
    <w:rsid w:val="00E350E8"/>
    <w:rsid w:val="00E413CA"/>
    <w:rsid w:val="00E41934"/>
    <w:rsid w:val="00E51E40"/>
    <w:rsid w:val="00E54F0D"/>
    <w:rsid w:val="00E5731F"/>
    <w:rsid w:val="00E60245"/>
    <w:rsid w:val="00E71BC8"/>
    <w:rsid w:val="00E7260F"/>
    <w:rsid w:val="00E73F5D"/>
    <w:rsid w:val="00E756DA"/>
    <w:rsid w:val="00E77E4E"/>
    <w:rsid w:val="00E81C50"/>
    <w:rsid w:val="00E82AA0"/>
    <w:rsid w:val="00E836E7"/>
    <w:rsid w:val="00E879F6"/>
    <w:rsid w:val="00E955EE"/>
    <w:rsid w:val="00E96630"/>
    <w:rsid w:val="00E96B8D"/>
    <w:rsid w:val="00EA13FC"/>
    <w:rsid w:val="00EB46F8"/>
    <w:rsid w:val="00EB65AE"/>
    <w:rsid w:val="00EC098C"/>
    <w:rsid w:val="00EC106A"/>
    <w:rsid w:val="00EC32A0"/>
    <w:rsid w:val="00ED7A2A"/>
    <w:rsid w:val="00ED7E82"/>
    <w:rsid w:val="00EE6B3A"/>
    <w:rsid w:val="00EF1D7F"/>
    <w:rsid w:val="00F05E4B"/>
    <w:rsid w:val="00F05F19"/>
    <w:rsid w:val="00F16B7D"/>
    <w:rsid w:val="00F227A6"/>
    <w:rsid w:val="00F31170"/>
    <w:rsid w:val="00F31E5F"/>
    <w:rsid w:val="00F36F0D"/>
    <w:rsid w:val="00F42999"/>
    <w:rsid w:val="00F51ECD"/>
    <w:rsid w:val="00F57ED1"/>
    <w:rsid w:val="00F6100A"/>
    <w:rsid w:val="00F66565"/>
    <w:rsid w:val="00F6783B"/>
    <w:rsid w:val="00F8015D"/>
    <w:rsid w:val="00F806C7"/>
    <w:rsid w:val="00F93781"/>
    <w:rsid w:val="00FA11BB"/>
    <w:rsid w:val="00FA26FD"/>
    <w:rsid w:val="00FA2814"/>
    <w:rsid w:val="00FA42D6"/>
    <w:rsid w:val="00FA7F6B"/>
    <w:rsid w:val="00FB4C10"/>
    <w:rsid w:val="00FB613B"/>
    <w:rsid w:val="00FB7B98"/>
    <w:rsid w:val="00FC1945"/>
    <w:rsid w:val="00FC2EA1"/>
    <w:rsid w:val="00FC3938"/>
    <w:rsid w:val="00FC3C87"/>
    <w:rsid w:val="00FC59A5"/>
    <w:rsid w:val="00FC68B7"/>
    <w:rsid w:val="00FE02AC"/>
    <w:rsid w:val="00FE106A"/>
    <w:rsid w:val="00FF145D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4E340472"/>
  <w15:docId w15:val="{864A8211-3D10-4610-86C1-754C7C8B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link w:val="CommentTextChar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character" w:customStyle="1" w:styleId="location">
    <w:name w:val="location"/>
    <w:basedOn w:val="DefaultParagraphFont"/>
    <w:rsid w:val="00D36B21"/>
  </w:style>
  <w:style w:type="paragraph" w:customStyle="1" w:styleId="H23GR">
    <w:name w:val="_ H_2/3_GR"/>
    <w:basedOn w:val="Normal"/>
    <w:next w:val="Normal"/>
    <w:qFormat/>
    <w:rsid w:val="00774E5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pacing w:val="4"/>
      <w:w w:val="103"/>
      <w:kern w:val="14"/>
      <w:lang w:val="ru-RU" w:eastAsia="ru-RU"/>
    </w:rPr>
  </w:style>
  <w:style w:type="paragraph" w:customStyle="1" w:styleId="Default">
    <w:name w:val="Default"/>
    <w:rsid w:val="007B2307"/>
    <w:pPr>
      <w:autoSpaceDE w:val="0"/>
      <w:autoSpaceDN w:val="0"/>
      <w:adjustRightInd w:val="0"/>
    </w:pPr>
    <w:rPr>
      <w:color w:val="000000"/>
      <w:sz w:val="24"/>
      <w:szCs w:val="24"/>
      <w:lang w:val="nb-NO"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E3E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96E3E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96E3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9DCB-15CC-4EB8-AAB5-96A13E92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1126259</vt:lpstr>
      <vt:lpstr>1126259</vt:lpstr>
      <vt:lpstr>1126259</vt:lpstr>
      <vt:lpstr>1126259</vt:lpstr>
    </vt:vector>
  </TitlesOfParts>
  <Company>ARR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RO</dc:creator>
  <cp:keywords>ECE/TRANS/WP.15/AC.1/2012/8</cp:keywords>
  <dc:description>Final</dc:description>
  <cp:lastModifiedBy>Christine Barrio-Champeau</cp:lastModifiedBy>
  <cp:revision>2</cp:revision>
  <cp:lastPrinted>2017-10-12T14:49:00Z</cp:lastPrinted>
  <dcterms:created xsi:type="dcterms:W3CDTF">2017-11-09T08:03:00Z</dcterms:created>
  <dcterms:modified xsi:type="dcterms:W3CDTF">2017-11-09T08:03:00Z</dcterms:modified>
</cp:coreProperties>
</file>