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984"/>
        <w:gridCol w:w="2693"/>
      </w:tblGrid>
      <w:tr w:rsidR="002D5AAC" w:rsidTr="00C119AE">
        <w:trPr>
          <w:trHeight w:hRule="exact" w:val="851"/>
        </w:trPr>
        <w:tc>
          <w:tcPr>
            <w:tcW w:w="142" w:type="dxa"/>
            <w:tcBorders>
              <w:bottom w:val="single" w:sz="4" w:space="0" w:color="auto"/>
            </w:tcBorders>
          </w:tcPr>
          <w:p w:rsidR="002D5AAC" w:rsidRDefault="002D5AAC" w:rsidP="001E5B82">
            <w:pPr>
              <w:kinsoku w:val="0"/>
              <w:overflowPunct w:val="0"/>
              <w:autoSpaceDE w:val="0"/>
              <w:autoSpaceDN w:val="0"/>
              <w:adjustRightInd w:val="0"/>
              <w:snapToGrid w:val="0"/>
            </w:pPr>
            <w:bookmarkStart w:id="0" w:name="_GoBack"/>
            <w:bookmarkEnd w:id="0"/>
          </w:p>
        </w:tc>
        <w:tc>
          <w:tcPr>
            <w:tcW w:w="4820" w:type="dxa"/>
            <w:gridSpan w:val="2"/>
            <w:tcBorders>
              <w:bottom w:val="single" w:sz="4" w:space="0" w:color="auto"/>
            </w:tcBorders>
            <w:vAlign w:val="bottom"/>
          </w:tcPr>
          <w:p w:rsidR="002D5AAC" w:rsidRPr="00BD33EE" w:rsidRDefault="00DF71B9" w:rsidP="0018649F">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1E5B82" w:rsidP="001E5B82">
            <w:pPr>
              <w:jc w:val="right"/>
            </w:pPr>
            <w:r w:rsidRPr="001E5B82">
              <w:rPr>
                <w:sz w:val="40"/>
              </w:rPr>
              <w:t>ECE</w:t>
            </w:r>
            <w:r>
              <w:t>/TRANS/WP.15/2017/3</w:t>
            </w:r>
          </w:p>
        </w:tc>
      </w:tr>
      <w:tr w:rsidR="002D5AAC" w:rsidRPr="00370BA3" w:rsidTr="00C119AE">
        <w:trPr>
          <w:trHeight w:hRule="exact" w:val="2835"/>
        </w:trPr>
        <w:tc>
          <w:tcPr>
            <w:tcW w:w="1280" w:type="dxa"/>
            <w:gridSpan w:val="2"/>
            <w:tcBorders>
              <w:top w:val="single" w:sz="4" w:space="0" w:color="auto"/>
              <w:bottom w:val="single" w:sz="12" w:space="0" w:color="auto"/>
            </w:tcBorders>
          </w:tcPr>
          <w:p w:rsidR="002D5AAC" w:rsidRDefault="002E5067" w:rsidP="0018649F">
            <w:pPr>
              <w:spacing w:before="120"/>
              <w:jc w:val="center"/>
            </w:pPr>
            <w:r>
              <w:rPr>
                <w:noProof/>
                <w:lang w:val="en-US" w:eastAsia="en-US"/>
              </w:rPr>
              <w:drawing>
                <wp:inline distT="0" distB="0" distL="0" distR="0" wp14:anchorId="36E57F8A" wp14:editId="1D5AA58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8A37C8">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1E5B82" w:rsidP="00712895">
            <w:pPr>
              <w:spacing w:before="240"/>
              <w:rPr>
                <w:lang w:val="en-US"/>
              </w:rPr>
            </w:pPr>
            <w:r>
              <w:rPr>
                <w:lang w:val="en-US"/>
              </w:rPr>
              <w:t>Distr. General</w:t>
            </w:r>
          </w:p>
          <w:p w:rsidR="001E5B82" w:rsidRDefault="001E5B82" w:rsidP="001E5B82">
            <w:pPr>
              <w:spacing w:line="240" w:lineRule="exact"/>
              <w:rPr>
                <w:lang w:val="en-US"/>
              </w:rPr>
            </w:pPr>
            <w:r>
              <w:rPr>
                <w:lang w:val="en-US"/>
              </w:rPr>
              <w:t>20 February 2017</w:t>
            </w:r>
          </w:p>
          <w:p w:rsidR="001E5B82" w:rsidRDefault="001E5B82" w:rsidP="001E5B82">
            <w:pPr>
              <w:spacing w:line="240" w:lineRule="exact"/>
              <w:rPr>
                <w:lang w:val="en-US"/>
              </w:rPr>
            </w:pPr>
            <w:r>
              <w:rPr>
                <w:lang w:val="en-US"/>
              </w:rPr>
              <w:t>Russian</w:t>
            </w:r>
          </w:p>
          <w:p w:rsidR="001E5B82" w:rsidRPr="008D53B6" w:rsidRDefault="001E5B82" w:rsidP="001E5B82">
            <w:pPr>
              <w:spacing w:line="240" w:lineRule="exact"/>
              <w:rPr>
                <w:lang w:val="en-US"/>
              </w:rPr>
            </w:pPr>
            <w:r>
              <w:rPr>
                <w:lang w:val="en-US"/>
              </w:rPr>
              <w:t>Original: French</w:t>
            </w:r>
          </w:p>
        </w:tc>
      </w:tr>
    </w:tbl>
    <w:p w:rsidR="008A37C8" w:rsidRDefault="008A37C8" w:rsidP="003D38E6">
      <w:pPr>
        <w:spacing w:before="120"/>
        <w:rPr>
          <w:b/>
          <w:sz w:val="28"/>
          <w:szCs w:val="28"/>
        </w:rPr>
      </w:pPr>
      <w:r w:rsidRPr="00245892">
        <w:rPr>
          <w:b/>
          <w:sz w:val="28"/>
          <w:szCs w:val="28"/>
        </w:rPr>
        <w:t>Европейская экономическая комиссия</w:t>
      </w:r>
    </w:p>
    <w:p w:rsidR="001E5B82" w:rsidRPr="001E5B82" w:rsidRDefault="001E5B82" w:rsidP="003D38E6">
      <w:pPr>
        <w:pStyle w:val="SingleTxtGR"/>
        <w:spacing w:before="120"/>
        <w:ind w:left="0" w:right="1138"/>
        <w:jc w:val="left"/>
        <w:rPr>
          <w:sz w:val="28"/>
          <w:szCs w:val="28"/>
        </w:rPr>
      </w:pPr>
      <w:r w:rsidRPr="001E5B82">
        <w:rPr>
          <w:sz w:val="28"/>
          <w:szCs w:val="28"/>
        </w:rPr>
        <w:t>Комитет по внутреннему транспорту</w:t>
      </w:r>
    </w:p>
    <w:p w:rsidR="001E5B82" w:rsidRPr="001E5B82" w:rsidRDefault="001E5B82" w:rsidP="003D38E6">
      <w:pPr>
        <w:pStyle w:val="SingleTxtGR"/>
        <w:spacing w:after="0"/>
        <w:ind w:left="0" w:right="1138"/>
        <w:jc w:val="left"/>
        <w:rPr>
          <w:b/>
          <w:bCs/>
          <w:sz w:val="24"/>
          <w:szCs w:val="24"/>
        </w:rPr>
      </w:pPr>
      <w:r w:rsidRPr="001E5B82">
        <w:rPr>
          <w:b/>
          <w:bCs/>
          <w:sz w:val="24"/>
          <w:szCs w:val="24"/>
        </w:rPr>
        <w:t>Рабочая группа по перевозкам опасных грузов</w:t>
      </w:r>
    </w:p>
    <w:p w:rsidR="001E5B82" w:rsidRPr="001E5B82" w:rsidRDefault="001E5B82" w:rsidP="003D38E6">
      <w:pPr>
        <w:pStyle w:val="SingleTxtGR"/>
        <w:spacing w:before="120" w:after="0"/>
        <w:ind w:left="0" w:right="1138"/>
        <w:jc w:val="left"/>
        <w:rPr>
          <w:b/>
        </w:rPr>
      </w:pPr>
      <w:r w:rsidRPr="001E5B82">
        <w:rPr>
          <w:b/>
        </w:rPr>
        <w:t>102-я сессия</w:t>
      </w:r>
    </w:p>
    <w:p w:rsidR="001E5B82" w:rsidRPr="001E5B82" w:rsidRDefault="001E5B82" w:rsidP="003D38E6">
      <w:pPr>
        <w:pStyle w:val="SingleTxtGR"/>
        <w:spacing w:after="0"/>
        <w:ind w:left="0" w:right="1138"/>
        <w:jc w:val="left"/>
      </w:pPr>
      <w:r w:rsidRPr="001E5B82">
        <w:t>Женева, 8</w:t>
      </w:r>
      <w:r w:rsidR="003D38E6" w:rsidRPr="001C1583">
        <w:t>–</w:t>
      </w:r>
      <w:r w:rsidRPr="001E5B82">
        <w:t>12 мая 2017 года</w:t>
      </w:r>
    </w:p>
    <w:p w:rsidR="001E5B82" w:rsidRPr="001E5B82" w:rsidRDefault="001E5B82" w:rsidP="003D38E6">
      <w:pPr>
        <w:pStyle w:val="SingleTxtGR"/>
        <w:spacing w:after="0"/>
        <w:ind w:left="0" w:right="1138"/>
        <w:jc w:val="left"/>
      </w:pPr>
      <w:r w:rsidRPr="001E5B82">
        <w:t>Пункт 5b предварительной повестки дня</w:t>
      </w:r>
    </w:p>
    <w:p w:rsidR="001E5B82" w:rsidRPr="001E5B82" w:rsidRDefault="001E5B82" w:rsidP="003D38E6">
      <w:pPr>
        <w:pStyle w:val="SingleTxtGR"/>
        <w:spacing w:after="0"/>
        <w:ind w:left="0" w:right="1138"/>
        <w:jc w:val="left"/>
        <w:rPr>
          <w:b/>
        </w:rPr>
      </w:pPr>
      <w:r w:rsidRPr="001E5B82">
        <w:rPr>
          <w:b/>
        </w:rPr>
        <w:t xml:space="preserve">Предложения о внесении поправок в приложения A и B </w:t>
      </w:r>
      <w:r w:rsidR="003D38E6" w:rsidRPr="003D38E6">
        <w:rPr>
          <w:b/>
        </w:rPr>
        <w:br/>
      </w:r>
      <w:r w:rsidRPr="001E5B82">
        <w:rPr>
          <w:b/>
        </w:rPr>
        <w:t>к ДОПОГ: различные предложения</w:t>
      </w:r>
    </w:p>
    <w:p w:rsidR="001E5B82" w:rsidRPr="001E5B82" w:rsidRDefault="001E5B82" w:rsidP="001E5B82">
      <w:pPr>
        <w:pStyle w:val="HChGR"/>
      </w:pPr>
      <w:r w:rsidRPr="001E5B82">
        <w:tab/>
      </w:r>
      <w:r w:rsidRPr="001E5B82">
        <w:tab/>
        <w:t>Применение ограничений на проезд через туннели к</w:t>
      </w:r>
      <w:r>
        <w:rPr>
          <w:lang w:val="en-US"/>
        </w:rPr>
        <w:t> </w:t>
      </w:r>
      <w:r w:rsidRPr="001E5B82">
        <w:t>позициям, предусмотренным для двигателей и</w:t>
      </w:r>
      <w:r>
        <w:rPr>
          <w:lang w:val="en-US"/>
        </w:rPr>
        <w:t> </w:t>
      </w:r>
      <w:r w:rsidRPr="001E5B82">
        <w:t>машин под № ООН 3528, 3529 и 3530</w:t>
      </w:r>
    </w:p>
    <w:p w:rsidR="001E5B82" w:rsidRDefault="001E5B82" w:rsidP="001E5B82">
      <w:pPr>
        <w:pStyle w:val="H1GR"/>
        <w:rPr>
          <w:b w:val="0"/>
          <w:sz w:val="20"/>
          <w:lang w:val="en-US"/>
        </w:rPr>
      </w:pPr>
      <w:r w:rsidRPr="001E5B82">
        <w:tab/>
      </w:r>
      <w:r w:rsidRPr="001E5B82">
        <w:tab/>
        <w:t>Передано Правительством Швейцарии</w:t>
      </w:r>
      <w:r w:rsidRPr="001E5B82">
        <w:rPr>
          <w:b w:val="0"/>
          <w:sz w:val="20"/>
        </w:rPr>
        <w:footnoteReference w:customMarkFollows="1" w:id="1"/>
        <w:sym w:font="Symbol" w:char="F02A"/>
      </w:r>
    </w:p>
    <w:tbl>
      <w:tblPr>
        <w:tblStyle w:val="TableGrid"/>
        <w:tblW w:w="0" w:type="auto"/>
        <w:jc w:val="center"/>
        <w:tblCellMar>
          <w:left w:w="0" w:type="dxa"/>
          <w:right w:w="0" w:type="dxa"/>
        </w:tblCellMar>
        <w:tblLook w:val="05E0" w:firstRow="1" w:lastRow="1" w:firstColumn="1" w:lastColumn="1" w:noHBand="0" w:noVBand="1"/>
      </w:tblPr>
      <w:tblGrid>
        <w:gridCol w:w="9628"/>
      </w:tblGrid>
      <w:tr w:rsidR="009A7B75" w:rsidRPr="009A7B75" w:rsidTr="00850215">
        <w:trPr>
          <w:jc w:val="center"/>
        </w:trPr>
        <w:tc>
          <w:tcPr>
            <w:tcW w:w="9637" w:type="dxa"/>
            <w:tcBorders>
              <w:bottom w:val="nil"/>
            </w:tcBorders>
          </w:tcPr>
          <w:p w:rsidR="009A7B75" w:rsidRPr="009A7B75" w:rsidRDefault="009A7B75" w:rsidP="00850215">
            <w:pPr>
              <w:tabs>
                <w:tab w:val="left" w:pos="255"/>
              </w:tabs>
              <w:spacing w:before="240" w:after="120"/>
              <w:rPr>
                <w:rFonts w:ascii="Times New Roman" w:hAnsi="Times New Roman" w:cs="Times New Roman"/>
                <w:sz w:val="24"/>
              </w:rPr>
            </w:pPr>
            <w:r w:rsidRPr="009A7B75">
              <w:rPr>
                <w:rFonts w:ascii="Times New Roman" w:hAnsi="Times New Roman" w:cs="Times New Roman"/>
              </w:rPr>
              <w:tab/>
            </w:r>
            <w:r w:rsidRPr="009A7B75">
              <w:rPr>
                <w:rFonts w:ascii="Times New Roman" w:hAnsi="Times New Roman" w:cs="Times New Roman"/>
                <w:i/>
                <w:sz w:val="24"/>
              </w:rPr>
              <w:t>Резюме</w:t>
            </w:r>
          </w:p>
        </w:tc>
      </w:tr>
      <w:tr w:rsidR="009A7B75" w:rsidRPr="009A7B75" w:rsidTr="00850215">
        <w:trPr>
          <w:jc w:val="center"/>
        </w:trPr>
        <w:tc>
          <w:tcPr>
            <w:tcW w:w="9637" w:type="dxa"/>
            <w:tcBorders>
              <w:top w:val="nil"/>
              <w:bottom w:val="nil"/>
            </w:tcBorders>
            <w:shd w:val="clear" w:color="auto" w:fill="auto"/>
          </w:tcPr>
          <w:p w:rsidR="009A7B75" w:rsidRPr="001C1583" w:rsidRDefault="009A7B75" w:rsidP="00A2096E">
            <w:pPr>
              <w:pStyle w:val="SingleTxtGR"/>
              <w:ind w:left="3969" w:hanging="2835"/>
              <w:rPr>
                <w:rFonts w:ascii="Times New Roman" w:hAnsi="Times New Roman"/>
                <w:sz w:val="20"/>
              </w:rPr>
            </w:pPr>
            <w:r w:rsidRPr="001C1583">
              <w:rPr>
                <w:rFonts w:ascii="Times New Roman" w:hAnsi="Times New Roman"/>
                <w:b/>
                <w:sz w:val="20"/>
              </w:rPr>
              <w:t>Существо предложения</w:t>
            </w:r>
            <w:r w:rsidRPr="001C1583">
              <w:rPr>
                <w:rFonts w:ascii="Times New Roman" w:hAnsi="Times New Roman"/>
                <w:sz w:val="20"/>
              </w:rPr>
              <w:t>:</w:t>
            </w:r>
            <w:r w:rsidRPr="001C1583">
              <w:rPr>
                <w:rFonts w:ascii="Times New Roman" w:hAnsi="Times New Roman"/>
                <w:sz w:val="20"/>
              </w:rPr>
              <w:tab/>
              <w:t>Распространить ограничения на проезд через туннели на машины и двигатели под № ООН 3528, 3529 3530, которые должны иметь транспортный документ в соответствии со специальным положением 363g vi</w:t>
            </w:r>
          </w:p>
        </w:tc>
      </w:tr>
      <w:tr w:rsidR="009A7B75" w:rsidRPr="009A7B75" w:rsidTr="00850215">
        <w:trPr>
          <w:jc w:val="center"/>
        </w:trPr>
        <w:tc>
          <w:tcPr>
            <w:tcW w:w="9637" w:type="dxa"/>
            <w:tcBorders>
              <w:top w:val="nil"/>
              <w:bottom w:val="nil"/>
            </w:tcBorders>
            <w:shd w:val="clear" w:color="auto" w:fill="auto"/>
          </w:tcPr>
          <w:p w:rsidR="009A7B75" w:rsidRPr="001C1583" w:rsidRDefault="009A7B75" w:rsidP="00A2096E">
            <w:pPr>
              <w:pStyle w:val="SingleTxtGR"/>
              <w:ind w:left="3969" w:hanging="2835"/>
              <w:rPr>
                <w:sz w:val="20"/>
              </w:rPr>
            </w:pPr>
            <w:r w:rsidRPr="001C1583">
              <w:rPr>
                <w:rFonts w:ascii="Times New Roman" w:hAnsi="Times New Roman"/>
                <w:b/>
                <w:sz w:val="20"/>
              </w:rPr>
              <w:t>Предлагаемое решение</w:t>
            </w:r>
            <w:r w:rsidRPr="001C1583">
              <w:rPr>
                <w:rFonts w:ascii="Times New Roman" w:hAnsi="Times New Roman"/>
                <w:sz w:val="20"/>
              </w:rPr>
              <w:t>:</w:t>
            </w:r>
            <w:r w:rsidRPr="001C1583">
              <w:rPr>
                <w:rFonts w:ascii="Times New Roman" w:hAnsi="Times New Roman"/>
                <w:sz w:val="20"/>
              </w:rPr>
              <w:tab/>
              <w:t>Предусмотреть в специальном положении 363g vi обязательное наличие табличек оранжевого цвета в соответствии с разделом 5.3.2 ДОПОГ и назначить коды ограничения проезда через туннели для № ООН 3528, 3529 и 3530 в колонке 15 таблицы А главы 3.2.</w:t>
            </w:r>
          </w:p>
        </w:tc>
      </w:tr>
      <w:tr w:rsidR="009A7B75" w:rsidRPr="009A7B75" w:rsidTr="00850215">
        <w:trPr>
          <w:jc w:val="center"/>
        </w:trPr>
        <w:tc>
          <w:tcPr>
            <w:tcW w:w="9637" w:type="dxa"/>
            <w:tcBorders>
              <w:top w:val="nil"/>
              <w:bottom w:val="nil"/>
            </w:tcBorders>
            <w:shd w:val="clear" w:color="auto" w:fill="auto"/>
          </w:tcPr>
          <w:p w:rsidR="009A7B75" w:rsidRPr="001C1583" w:rsidRDefault="009A7B75" w:rsidP="009A7B75">
            <w:pPr>
              <w:pStyle w:val="SingleTxtGR"/>
              <w:ind w:left="3969" w:hanging="2835"/>
              <w:rPr>
                <w:sz w:val="20"/>
              </w:rPr>
            </w:pPr>
            <w:r w:rsidRPr="001C1583">
              <w:rPr>
                <w:rFonts w:ascii="Times New Roman" w:hAnsi="Times New Roman"/>
                <w:b/>
                <w:sz w:val="20"/>
              </w:rPr>
              <w:t>Справочные документы</w:t>
            </w:r>
            <w:r w:rsidRPr="001C1583">
              <w:rPr>
                <w:rFonts w:ascii="Times New Roman" w:hAnsi="Times New Roman"/>
                <w:sz w:val="20"/>
              </w:rPr>
              <w:t>:</w:t>
            </w:r>
            <w:r w:rsidRPr="001C1583">
              <w:rPr>
                <w:rFonts w:ascii="Times New Roman" w:hAnsi="Times New Roman"/>
                <w:sz w:val="20"/>
              </w:rPr>
              <w:tab/>
              <w:t>ECE/TRANS/WP.15/230, ECE/TRANS/WP.15/ 2016/4, неофициальный документ INF.8, представленный на сессии Рабочей группы в мае 2016 года.</w:t>
            </w:r>
          </w:p>
        </w:tc>
      </w:tr>
      <w:tr w:rsidR="009A7B75" w:rsidRPr="009A7B75" w:rsidTr="00850215">
        <w:trPr>
          <w:jc w:val="center"/>
        </w:trPr>
        <w:tc>
          <w:tcPr>
            <w:tcW w:w="9637" w:type="dxa"/>
            <w:tcBorders>
              <w:top w:val="nil"/>
            </w:tcBorders>
          </w:tcPr>
          <w:p w:rsidR="009A7B75" w:rsidRPr="009A7B75" w:rsidRDefault="009A7B75" w:rsidP="00850215">
            <w:pPr>
              <w:rPr>
                <w:rFonts w:ascii="Times New Roman" w:hAnsi="Times New Roman" w:cs="Times New Roman"/>
              </w:rPr>
            </w:pPr>
          </w:p>
        </w:tc>
      </w:tr>
    </w:tbl>
    <w:p w:rsidR="001E5B82" w:rsidRPr="009A7B75" w:rsidRDefault="001E5B82" w:rsidP="001E5B82">
      <w:pPr>
        <w:rPr>
          <w:lang w:eastAsia="ru-RU"/>
        </w:rPr>
      </w:pPr>
    </w:p>
    <w:p w:rsidR="001E5B82" w:rsidRPr="001E5B82" w:rsidRDefault="006A421B" w:rsidP="006A421B">
      <w:pPr>
        <w:pStyle w:val="HChGR"/>
      </w:pPr>
      <w:r w:rsidRPr="00370BA3">
        <w:lastRenderedPageBreak/>
        <w:tab/>
      </w:r>
      <w:r w:rsidRPr="00370BA3">
        <w:tab/>
      </w:r>
      <w:r w:rsidR="001E5B82" w:rsidRPr="001E5B82">
        <w:t>Введение</w:t>
      </w:r>
    </w:p>
    <w:p w:rsidR="001E5B82" w:rsidRPr="001E5B82" w:rsidRDefault="006A421B" w:rsidP="006A421B">
      <w:pPr>
        <w:pStyle w:val="SingleTxtGR"/>
      </w:pPr>
      <w:r>
        <w:t>1</w:t>
      </w:r>
      <w:r w:rsidRPr="006A421B">
        <w:t>.</w:t>
      </w:r>
      <w:r w:rsidRPr="006A421B">
        <w:tab/>
      </w:r>
      <w:r w:rsidR="001E5B82" w:rsidRPr="001E5B82">
        <w:t>Машины и двигатели освобождены от действия правил в соответствии со специальным положением 363 (СП 363). На майской сессии 2016 года WP.15 предпочла дождаться результатов обсуждения Подкомитетом экспертов по перевозке опасных грузов ООН сферы применения СП 363 для обсуждения вопроса о распространении ограничений на проезд через туннели на позиции, предусмотренные для № ООН 3528, 3529 и 3530 .</w:t>
      </w:r>
    </w:p>
    <w:p w:rsidR="001E5B82" w:rsidRPr="001E5B82" w:rsidRDefault="001E5B82" w:rsidP="001E5B82">
      <w:pPr>
        <w:pStyle w:val="SingleTxtGR"/>
      </w:pPr>
      <w:r w:rsidRPr="001E5B82">
        <w:t>2.</w:t>
      </w:r>
      <w:r w:rsidRPr="001E5B82">
        <w:tab/>
        <w:t>СП 363 применяется без количественных ограничений. Некоторые виды машин могут содержать тысячи литров топлива, например электрогенераторы. Те же виды топлива ограничиваются для провоза через туннели, когда они перевозятся в рамках других позиций (№ ООН 1202, 1203 и т.д.). Отныне эти новые позиции для машин можно легко идентифицировать. Поэтому путем использования СП 363 возможно и логично ограничить провоз через туннели топлива в пропорциях, аналогичных тем, которые уже соблюдаются для этих же видов топлива в тех случаях, когда они перевозятся в качестве груза.</w:t>
      </w:r>
    </w:p>
    <w:p w:rsidR="001E5B82" w:rsidRPr="001E5B82" w:rsidRDefault="001E5B82" w:rsidP="001E5B82">
      <w:pPr>
        <w:pStyle w:val="SingleTxtGR"/>
      </w:pPr>
      <w:r w:rsidRPr="001E5B82">
        <w:t>3.</w:t>
      </w:r>
      <w:r w:rsidRPr="001E5B82">
        <w:tab/>
        <w:t>В связи с размещением информационных табло следует отметить, что в самом СП 363 содержится ссылка на предельные количества, начиная с которых их размещение является обязательным: 1 000 л для газообразного топлива и 3 000 л для жидкого топлива. Что касается транспортного документ</w:t>
      </w:r>
      <w:r w:rsidR="00FA246E">
        <w:t>а</w:t>
      </w:r>
      <w:r w:rsidRPr="001E5B82">
        <w:t>, то он требуется для жидкого топлива и газа, содержание которых превышает 1 000 л. В</w:t>
      </w:r>
      <w:r w:rsidR="006A421B">
        <w:rPr>
          <w:lang w:val="en-US"/>
        </w:rPr>
        <w:t> </w:t>
      </w:r>
      <w:r w:rsidRPr="001E5B82">
        <w:t>транспортном документе должна быть сделана следующая запись: «Перевозка в соответствии со специальным положением 3</w:t>
      </w:r>
      <w:r w:rsidR="009261C9">
        <w:t>63</w:t>
      </w:r>
      <w:r w:rsidRPr="001E5B82">
        <w:t>». Поэтому легко идентифицировать этот вид перевозки с помощью записи, сделанной в транспортном документе, а также благодаря виду маркировки.</w:t>
      </w:r>
    </w:p>
    <w:p w:rsidR="001E5B82" w:rsidRPr="001E5B82" w:rsidRDefault="001E5B82" w:rsidP="001E5B82">
      <w:pPr>
        <w:pStyle w:val="SingleTxtGR"/>
      </w:pPr>
      <w:r w:rsidRPr="001E5B82">
        <w:t>4.</w:t>
      </w:r>
      <w:r w:rsidRPr="001E5B82">
        <w:tab/>
        <w:t>Кроме того, следует отметить, что обязательное наличие транспортного документа, требуемое в соответствии с СП 363g vi, требует составления документа также в соответствии с 5.4.1.1.1k, когда планируется проезд через туннель, перевозки через который ограничены. Если в колонке 15 таблицы А код ограничения проезда через туннели никак не указан, лица, ответственные за составление требуемого транспортного документа, не будут знать, как удовлетворить требованию пункта 5.4.1.1.1k.</w:t>
      </w:r>
    </w:p>
    <w:p w:rsidR="001E5B82" w:rsidRPr="001E5B82" w:rsidRDefault="001E5B82" w:rsidP="001E5B82">
      <w:pPr>
        <w:pStyle w:val="SingleTxtGR"/>
      </w:pPr>
      <w:r w:rsidRPr="001E5B82">
        <w:t>5.</w:t>
      </w:r>
      <w:r w:rsidRPr="001E5B82">
        <w:tab/>
        <w:t xml:space="preserve">Чтобы распространить на перевозку ограничения, связанные с проездом через туннели, необходимо, чтобы транспортная единица подчинялась требованиям в отношении маркировки оранжевого цвета согласно разделу 5.3.2 ДОПОГ. С этой целью мы предлагаем использовать предельные количества, предусмотренные в СП 363. Так, транспортная единица, перевозящая машину, на которую распространяется требование о наличии транспортного документа, должна, кроме того, подчиняться требованиям раздела 5.3.2, касающимся маркировки оранжевого цвета. Для этого простым решением было бы изменить СП 363, добавив в СП 363g vi соответствующий текст (предложение 1). </w:t>
      </w:r>
    </w:p>
    <w:p w:rsidR="001E5B82" w:rsidRPr="001E5B82" w:rsidRDefault="001E5B82" w:rsidP="001E5B82">
      <w:pPr>
        <w:pStyle w:val="SingleTxtGR"/>
      </w:pPr>
      <w:r w:rsidRPr="001E5B82">
        <w:t>6.</w:t>
      </w:r>
      <w:r w:rsidRPr="001E5B82">
        <w:tab/>
        <w:t>СП 363, содержащееся в ДОПОГ, хотя и заимствовано из Типовых правил, уже не полностью соответствует положениям, предусмотренным в упомянутых правилах. Так, ДОПОГ отличает от Типовых правил следующее:</w:t>
      </w:r>
    </w:p>
    <w:p w:rsidR="001E5B82" w:rsidRPr="001E5B82" w:rsidRDefault="006A421B" w:rsidP="001E5B82">
      <w:pPr>
        <w:pStyle w:val="SingleTxtGR"/>
      </w:pPr>
      <w:r>
        <w:rPr>
          <w:lang w:val="en-US"/>
        </w:rPr>
        <w:tab/>
      </w:r>
      <w:r w:rsidR="001E5B82" w:rsidRPr="001E5B82">
        <w:t>1)</w:t>
      </w:r>
      <w:r w:rsidR="001E5B82" w:rsidRPr="001E5B82">
        <w:tab/>
      </w:r>
      <w:r w:rsidR="00370BA3" w:rsidRPr="001E5B82">
        <w:t>п</w:t>
      </w:r>
      <w:r w:rsidR="001E5B82" w:rsidRPr="001E5B82">
        <w:t>рименительно к № ООН 3528 и 3529 в ДОПОГ не предусматривается маркировка для количества топлива более 60 л и для вместимости не более 450 л;</w:t>
      </w:r>
    </w:p>
    <w:p w:rsidR="001E5B82" w:rsidRPr="001E5B82" w:rsidRDefault="006A421B" w:rsidP="001E5B82">
      <w:pPr>
        <w:pStyle w:val="SingleTxtGR"/>
      </w:pPr>
      <w:r w:rsidRPr="00370BA3">
        <w:tab/>
      </w:r>
      <w:r w:rsidR="001E5B82" w:rsidRPr="001E5B82">
        <w:t>2)</w:t>
      </w:r>
      <w:r w:rsidR="001E5B82" w:rsidRPr="001E5B82">
        <w:tab/>
        <w:t>применительно к № ООН 3529 ДОПОГ не предписывает никакой маркировки для резервуаров вместимостью менее 450 л;</w:t>
      </w:r>
    </w:p>
    <w:p w:rsidR="001E5B82" w:rsidRPr="001E5B82" w:rsidRDefault="006A421B" w:rsidP="001E5B82">
      <w:pPr>
        <w:pStyle w:val="SingleTxtGR"/>
      </w:pPr>
      <w:r w:rsidRPr="00370BA3">
        <w:tab/>
      </w:r>
      <w:r w:rsidR="001E5B82" w:rsidRPr="001E5B82">
        <w:t>3)</w:t>
      </w:r>
      <w:r w:rsidR="001E5B82" w:rsidRPr="001E5B82">
        <w:tab/>
        <w:t>транспортный документ, предусмотренный в ДОПОГ, не требуется для № ООН 3528 и 3530 начиная с 60 л топлива, но он требуется начиная с</w:t>
      </w:r>
      <w:r w:rsidR="00730E03">
        <w:t> </w:t>
      </w:r>
      <w:r w:rsidR="001E5B82" w:rsidRPr="001E5B82">
        <w:t>1 000 л, а в случае газов под № ООН 3528 </w:t>
      </w:r>
      <w:r w:rsidR="003D38E6" w:rsidRPr="003D38E6">
        <w:t>–</w:t>
      </w:r>
      <w:r w:rsidR="001E5B82" w:rsidRPr="001E5B82">
        <w:t xml:space="preserve"> для вместимости в 1 000 л, в то время как Правила не устанавливают в данном случае нижнего предела; </w:t>
      </w:r>
    </w:p>
    <w:p w:rsidR="001E5B82" w:rsidRPr="001E5B82" w:rsidRDefault="006A421B" w:rsidP="001E5B82">
      <w:pPr>
        <w:pStyle w:val="SingleTxtGR"/>
      </w:pPr>
      <w:r w:rsidRPr="003D38E6">
        <w:lastRenderedPageBreak/>
        <w:tab/>
      </w:r>
      <w:r w:rsidR="001E5B82" w:rsidRPr="001E5B82">
        <w:t>4)</w:t>
      </w:r>
      <w:r w:rsidR="001E5B82" w:rsidRPr="001E5B82">
        <w:tab/>
        <w:t>ДОПОГ различает, в частности в примечании к СП 363а, топливо, используемое в оборудовании транспортных средств в ходе перевозки, и топливо, которое не используются во время перевозки. Это различие не проводится в Типовых правилах.</w:t>
      </w:r>
    </w:p>
    <w:p w:rsidR="001E5B82" w:rsidRPr="001E5B82" w:rsidRDefault="001E5B82" w:rsidP="001E5B82">
      <w:pPr>
        <w:pStyle w:val="SingleTxtGR"/>
      </w:pPr>
      <w:r w:rsidRPr="001E5B82">
        <w:t>С учетом того, что между ДОПОГ и Типовыми правилами уже существуют различия, не представляется необходимым предусматривать более сложное решение в целях сохранения целостности текста СП 363.</w:t>
      </w:r>
    </w:p>
    <w:p w:rsidR="001E5B82" w:rsidRPr="001E5B82" w:rsidRDefault="001E5B82" w:rsidP="001E5B82">
      <w:pPr>
        <w:pStyle w:val="SingleTxtGR"/>
      </w:pPr>
      <w:r w:rsidRPr="001E5B82">
        <w:t>7.</w:t>
      </w:r>
      <w:r w:rsidRPr="001E5B82">
        <w:tab/>
        <w:t>Если бы предложение 1 было принято, ограничения на проезд через туннели, предусмотренные в 1.9.5.3.6 и 8.6.3.1, применялись бы автоматически в силу того, что на транспортных средствах были бы установлены таблички оранжевого цвета.</w:t>
      </w:r>
    </w:p>
    <w:p w:rsidR="001E5B82" w:rsidRPr="001E5B82" w:rsidRDefault="001E5B82" w:rsidP="001E5B82">
      <w:pPr>
        <w:pStyle w:val="SingleTxtGR"/>
      </w:pPr>
      <w:r w:rsidRPr="001E5B82">
        <w:t>8.</w:t>
      </w:r>
      <w:r w:rsidRPr="001E5B82">
        <w:tab/>
        <w:t>Остается уточнить, в туннелях какого типа (B, C, D или E) эти ограничения применяются. С этой целью запреты на проезд через туннели были приспособлены в правилах к кодам ограничений проезда через туннели в колонке 15 таблицы A главы 3.2. Чтобы подогнать эти запреты в случае топлива в машинах под ограничения, уже предусмотренные в правилах в отношении тех же веществ, следует ввести коды ограничения проезда через туннели, соответствующие этим веществам, для № ООН 3528, 3529 и 3530. В этом заключается цель предложения 2.</w:t>
      </w:r>
    </w:p>
    <w:p w:rsidR="001E5B82" w:rsidRPr="001E5B82" w:rsidRDefault="001E5B82" w:rsidP="001E5B82">
      <w:pPr>
        <w:pStyle w:val="SingleTxtGR"/>
      </w:pPr>
      <w:r w:rsidRPr="001E5B82">
        <w:t>9.</w:t>
      </w:r>
      <w:r w:rsidRPr="001E5B82">
        <w:tab/>
        <w:t>В ходе майской сессии 2016 года мы уже указывали на то, что различные ограничения на проезд через туннели применяются в зависимости от вида топлива. В документе ECE/TRANS/WP.15/2016/4 и неофициальном документе</w:t>
      </w:r>
      <w:r w:rsidR="00730E03">
        <w:t> </w:t>
      </w:r>
      <w:r w:rsidRPr="001E5B82">
        <w:t>INF.8, представленном на этой же сессии, мы уже обосновывали введение различных кодов для ограничения на проезд через туннели. Эти коды выводятся из вида топлива, широко используемого в настоящее время в правилах: (D/E) для воспламеняющегося жидкого топлива (№ ООН 3528), (B/D) для газа, (D) для водорода под № ООН 3468 (3529) и (E) для топлива класса 9 (3530).</w:t>
      </w:r>
    </w:p>
    <w:p w:rsidR="001E5B82" w:rsidRPr="001E5B82" w:rsidRDefault="001E5B82" w:rsidP="001E5B82">
      <w:pPr>
        <w:pStyle w:val="SingleTxtGR"/>
      </w:pPr>
      <w:r w:rsidRPr="001E5B82">
        <w:t>10.</w:t>
      </w:r>
      <w:r w:rsidRPr="001E5B82">
        <w:tab/>
        <w:t>Ввиду того, что согласно СП 363g vi возможные значения количества и вместимости превышают 1 000 л (по объему или вместимости </w:t>
      </w:r>
      <w:r w:rsidR="003D38E6" w:rsidRPr="003D38E6">
        <w:t>–</w:t>
      </w:r>
      <w:r w:rsidRPr="001E5B82">
        <w:t xml:space="preserve"> в зависимости от конкретного случая) и неограниченны, следует признать, что существующая опасность равноценна опасности при перевозке в цистернах. Это оправдывает применение кодов, соответствующих перевозке в цистернах и предусмотренных в таблице А для воспламеняющегося топлива ((D/E) и (B/D)). Однако эти коды сложны для применения. Они предназначены для перевозок, при которых контейнеры легко идентифициру</w:t>
      </w:r>
      <w:r w:rsidR="00730E03">
        <w:t>ю</w:t>
      </w:r>
      <w:r w:rsidRPr="001E5B82">
        <w:t>тся как цистерны или упаковки. В случае перевозки груза, состоящего из пакетов или цистерн, управляющие туннелями могут легко идентифицировать тип контейнера и запретить проезд или разрешить его в зависимости от этого контейнера и типа ограничения на проезд через туннели. В случае топливных баков машин такая идентификация типа контейнера не всегда возможна и запрещение проезда уже не так просто применять при двойных кодах ((D/E) или (B/D)). В целях облегчения процесса принятия решения пользователям необходимо указать в колонке 15 единственный вариант. С</w:t>
      </w:r>
      <w:r w:rsidR="003D38E6">
        <w:rPr>
          <w:lang w:val="en-US"/>
        </w:rPr>
        <w:t> </w:t>
      </w:r>
      <w:r w:rsidRPr="001E5B82">
        <w:t>учетом рассматриваемых объемов мы предлагаем принимать в расчет только коды ограничений, применяемые к цистернам, т. е. (D) </w:t>
      </w:r>
      <w:r w:rsidR="003D38E6" w:rsidRPr="003D38E6">
        <w:t>–</w:t>
      </w:r>
      <w:r w:rsidRPr="001E5B82">
        <w:t xml:space="preserve"> для воспламеняющегося жидкого топлива (№ ООН 3528), (B) </w:t>
      </w:r>
      <w:r w:rsidR="003D38E6" w:rsidRPr="003D38E6">
        <w:t>–</w:t>
      </w:r>
      <w:r w:rsidRPr="001E5B82">
        <w:t xml:space="preserve"> для газообразного топлива (№ ООН 3529) и (Е)</w:t>
      </w:r>
      <w:r w:rsidR="00730E03">
        <w:t xml:space="preserve"> </w:t>
      </w:r>
      <w:r w:rsidR="003D38E6" w:rsidRPr="003D38E6">
        <w:t>–</w:t>
      </w:r>
      <w:r w:rsidRPr="001E5B82">
        <w:t xml:space="preserve"> для невоспламеняющегося жидкого топлива (№ ООН 3530) (предложение 2). Принятие этого предложения позволит обеспечить безопасность в туннелях, а также послужит одним из ответов тем, кто согласно СП 363g vi должен составлять транспортный документ в соответствии с разделом 5.4.1.</w:t>
      </w:r>
    </w:p>
    <w:p w:rsidR="001E5B82" w:rsidRPr="001E5B82" w:rsidRDefault="001E5B82" w:rsidP="006A421B">
      <w:pPr>
        <w:pStyle w:val="HChGR"/>
      </w:pPr>
      <w:r w:rsidRPr="001E5B82">
        <w:tab/>
      </w:r>
      <w:r w:rsidRPr="001E5B82">
        <w:tab/>
        <w:t>Предложение 1</w:t>
      </w:r>
    </w:p>
    <w:p w:rsidR="001E5B82" w:rsidRPr="001E5B82" w:rsidRDefault="001E5B82" w:rsidP="001E5B82">
      <w:pPr>
        <w:pStyle w:val="SingleTxtGR"/>
      </w:pPr>
      <w:r w:rsidRPr="001E5B82">
        <w:t>11.</w:t>
      </w:r>
      <w:r w:rsidRPr="001E5B82">
        <w:tab/>
        <w:t>Изменить текст в СП 363g vi следующим образом (добавленный текст выделен жирным шрифтом и подчеркнут, а исключенный текст перечеркнут):</w:t>
      </w:r>
    </w:p>
    <w:p w:rsidR="001E5B82" w:rsidRPr="001E5B82" w:rsidRDefault="006A421B" w:rsidP="001E5B82">
      <w:pPr>
        <w:pStyle w:val="SingleTxtGR"/>
      </w:pPr>
      <w:r w:rsidRPr="00370BA3">
        <w:lastRenderedPageBreak/>
        <w:tab/>
      </w:r>
      <w:r w:rsidR="001E5B82" w:rsidRPr="001E5B82">
        <w:t>«vi)</w:t>
      </w:r>
      <w:r w:rsidR="001E5B82" w:rsidRPr="001E5B82">
        <w:tab/>
      </w:r>
      <w:r w:rsidR="001E5B82" w:rsidRPr="007C5411">
        <w:rPr>
          <w:strike/>
        </w:rPr>
        <w:t>в соответствии с разделом 5.4.1</w:t>
      </w:r>
      <w:r w:rsidR="001E5B82" w:rsidRPr="001E5B82">
        <w:t xml:space="preserve"> транспортный документ </w:t>
      </w:r>
      <w:r w:rsidR="001E5B82" w:rsidRPr="001E5B82">
        <w:rPr>
          <w:b/>
          <w:bCs/>
          <w:u w:val="single"/>
        </w:rPr>
        <w:t>в соответствии с разделом 5.4.1 и маркировка оранжевого цвета транспортного средства в соответствии с разделом 5.3.2</w:t>
      </w:r>
      <w:r w:rsidR="001E5B82" w:rsidRPr="001E5B82">
        <w:t xml:space="preserve"> </w:t>
      </w:r>
      <w:r w:rsidR="001E5B82" w:rsidRPr="007C5411">
        <w:rPr>
          <w:strike/>
        </w:rPr>
        <w:t>требуется</w:t>
      </w:r>
      <w:r w:rsidR="001E5B82" w:rsidRPr="001E5B82">
        <w:t xml:space="preserve"> требуются только тогда, когда двигатель или машина содержит более 1 000 л жидкого топлива в случае № ООН 3528 и № ООН 3530 или имеет вместимость по воде более 1 000 л в случае № ООН 3529».</w:t>
      </w:r>
    </w:p>
    <w:p w:rsidR="001E5B82" w:rsidRPr="001E5B82" w:rsidRDefault="001E5B82" w:rsidP="006A421B">
      <w:pPr>
        <w:pStyle w:val="HChGR"/>
      </w:pPr>
      <w:r w:rsidRPr="001E5B82">
        <w:tab/>
      </w:r>
      <w:r w:rsidR="006A421B" w:rsidRPr="00370BA3">
        <w:tab/>
      </w:r>
      <w:r w:rsidRPr="001E5B82">
        <w:t>Предложение 2</w:t>
      </w:r>
    </w:p>
    <w:p w:rsidR="001E5B82" w:rsidRPr="001E5B82" w:rsidRDefault="001E5B82" w:rsidP="001E5B82">
      <w:pPr>
        <w:pStyle w:val="SingleTxtGR"/>
      </w:pPr>
      <w:r w:rsidRPr="001E5B82">
        <w:t>12.</w:t>
      </w:r>
      <w:r w:rsidRPr="001E5B82">
        <w:tab/>
        <w:t xml:space="preserve">Применительно к позициям для № ООН 3528, 3529 и 3530 включить в колонку 15 таблицы А главы 3.2 следующие коды ограничения проезда через туннели: </w:t>
      </w:r>
    </w:p>
    <w:p w:rsidR="001E5B82" w:rsidRPr="001E5B82" w:rsidRDefault="001E5B82" w:rsidP="001E5B82">
      <w:pPr>
        <w:pStyle w:val="SingleTxtGR"/>
      </w:pPr>
      <w:r w:rsidRPr="001E5B82">
        <w:t>(D) для № ООН 3528;</w:t>
      </w:r>
    </w:p>
    <w:p w:rsidR="001E5B82" w:rsidRPr="001E5B82" w:rsidRDefault="001E5B82" w:rsidP="001E5B82">
      <w:pPr>
        <w:pStyle w:val="SingleTxtGR"/>
      </w:pPr>
      <w:r w:rsidRPr="001E5B82">
        <w:t>(B) для № ООН 3529;</w:t>
      </w:r>
    </w:p>
    <w:p w:rsidR="00E12C5F" w:rsidRDefault="001E5B82" w:rsidP="001E5B82">
      <w:pPr>
        <w:pStyle w:val="SingleTxtGR"/>
        <w:rPr>
          <w:lang w:val="en-US"/>
        </w:rPr>
      </w:pPr>
      <w:r w:rsidRPr="001E5B82">
        <w:t>(E) для № ООН 3530.</w:t>
      </w:r>
    </w:p>
    <w:p w:rsidR="001E5B82" w:rsidRPr="001E5B82" w:rsidRDefault="001E5B82" w:rsidP="001E5B82">
      <w:pPr>
        <w:pStyle w:val="SingleTxtGR"/>
        <w:spacing w:before="240" w:after="0"/>
        <w:jc w:val="center"/>
        <w:rPr>
          <w:lang w:val="en-US"/>
        </w:rPr>
      </w:pPr>
      <w:r>
        <w:rPr>
          <w:u w:val="single"/>
          <w:lang w:val="en-US"/>
        </w:rPr>
        <w:tab/>
      </w:r>
      <w:r>
        <w:rPr>
          <w:u w:val="single"/>
          <w:lang w:val="en-US"/>
        </w:rPr>
        <w:tab/>
      </w:r>
      <w:r>
        <w:rPr>
          <w:u w:val="single"/>
          <w:lang w:val="en-US"/>
        </w:rPr>
        <w:tab/>
      </w:r>
    </w:p>
    <w:sectPr w:rsidR="001E5B82" w:rsidRPr="001E5B82" w:rsidSect="001E5B82">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7D2" w:rsidRPr="00A312BC" w:rsidRDefault="00DB17D2" w:rsidP="00A312BC"/>
  </w:endnote>
  <w:endnote w:type="continuationSeparator" w:id="0">
    <w:p w:rsidR="00DB17D2" w:rsidRPr="00A312BC" w:rsidRDefault="00DB17D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B82" w:rsidRPr="001E5B82" w:rsidRDefault="001E5B82">
    <w:pPr>
      <w:pStyle w:val="Footer"/>
    </w:pPr>
    <w:r w:rsidRPr="001E5B82">
      <w:rPr>
        <w:b/>
        <w:sz w:val="18"/>
      </w:rPr>
      <w:fldChar w:fldCharType="begin"/>
    </w:r>
    <w:r w:rsidRPr="001E5B82">
      <w:rPr>
        <w:b/>
        <w:sz w:val="18"/>
      </w:rPr>
      <w:instrText xml:space="preserve"> PAGE  \* MERGEFORMAT </w:instrText>
    </w:r>
    <w:r w:rsidRPr="001E5B82">
      <w:rPr>
        <w:b/>
        <w:sz w:val="18"/>
      </w:rPr>
      <w:fldChar w:fldCharType="separate"/>
    </w:r>
    <w:r w:rsidR="00613296">
      <w:rPr>
        <w:b/>
        <w:noProof/>
        <w:sz w:val="18"/>
      </w:rPr>
      <w:t>2</w:t>
    </w:r>
    <w:r w:rsidRPr="001E5B82">
      <w:rPr>
        <w:b/>
        <w:sz w:val="18"/>
      </w:rPr>
      <w:fldChar w:fldCharType="end"/>
    </w:r>
    <w:r>
      <w:rPr>
        <w:b/>
        <w:sz w:val="18"/>
      </w:rPr>
      <w:tab/>
    </w:r>
    <w:r>
      <w:t>GE.17-02678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B82" w:rsidRPr="001E5B82" w:rsidRDefault="001E5B82" w:rsidP="001E5B82">
    <w:pPr>
      <w:pStyle w:val="Footer"/>
      <w:tabs>
        <w:tab w:val="clear" w:pos="9639"/>
        <w:tab w:val="right" w:pos="9638"/>
      </w:tabs>
      <w:rPr>
        <w:b/>
        <w:sz w:val="18"/>
      </w:rPr>
    </w:pPr>
    <w:r>
      <w:t>GE.17-02678</w:t>
    </w:r>
    <w:r>
      <w:tab/>
    </w:r>
    <w:r w:rsidRPr="001E5B82">
      <w:rPr>
        <w:b/>
        <w:sz w:val="18"/>
      </w:rPr>
      <w:fldChar w:fldCharType="begin"/>
    </w:r>
    <w:r w:rsidRPr="001E5B82">
      <w:rPr>
        <w:b/>
        <w:sz w:val="18"/>
      </w:rPr>
      <w:instrText xml:space="preserve"> PAGE  \* MERGEFORMAT </w:instrText>
    </w:r>
    <w:r w:rsidRPr="001E5B82">
      <w:rPr>
        <w:b/>
        <w:sz w:val="18"/>
      </w:rPr>
      <w:fldChar w:fldCharType="separate"/>
    </w:r>
    <w:r w:rsidR="00613296">
      <w:rPr>
        <w:b/>
        <w:noProof/>
        <w:sz w:val="18"/>
      </w:rPr>
      <w:t>3</w:t>
    </w:r>
    <w:r w:rsidRPr="001E5B8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1E5B82" w:rsidRDefault="001E5B82" w:rsidP="001E5B82">
    <w:pPr>
      <w:spacing w:before="120" w:line="240" w:lineRule="auto"/>
    </w:pPr>
    <w:r>
      <w:t>GE.</w:t>
    </w:r>
    <w:r w:rsidR="00DF71B9">
      <w:rPr>
        <w:b/>
        <w:noProof/>
        <w:lang w:val="en-US" w:eastAsia="en-US"/>
      </w:rPr>
      <w:drawing>
        <wp:anchor distT="0" distB="0" distL="114300" distR="114300" simplePos="0" relativeHeight="251658240" behindDoc="0" locked="0" layoutInCell="1" allowOverlap="1" wp14:anchorId="5D4C5E3D" wp14:editId="55C83E3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17-02678  (R)</w:t>
    </w:r>
    <w:r>
      <w:rPr>
        <w:lang w:val="en-US"/>
      </w:rPr>
      <w:t xml:space="preserve">  010317  020317</w:t>
    </w:r>
    <w:r>
      <w:br/>
    </w:r>
    <w:r w:rsidRPr="001E5B82">
      <w:rPr>
        <w:rFonts w:ascii="C39T30Lfz" w:hAnsi="C39T30Lfz"/>
        <w:spacing w:val="0"/>
        <w:w w:val="100"/>
        <w:sz w:val="56"/>
      </w:rPr>
      <w:t></w:t>
    </w:r>
    <w:r w:rsidRPr="001E5B82">
      <w:rPr>
        <w:rFonts w:ascii="C39T30Lfz" w:hAnsi="C39T30Lfz"/>
        <w:spacing w:val="0"/>
        <w:w w:val="100"/>
        <w:sz w:val="56"/>
      </w:rPr>
      <w:t></w:t>
    </w:r>
    <w:r w:rsidRPr="001E5B82">
      <w:rPr>
        <w:rFonts w:ascii="C39T30Lfz" w:hAnsi="C39T30Lfz"/>
        <w:spacing w:val="0"/>
        <w:w w:val="100"/>
        <w:sz w:val="56"/>
      </w:rPr>
      <w:t></w:t>
    </w:r>
    <w:r w:rsidRPr="001E5B82">
      <w:rPr>
        <w:rFonts w:ascii="C39T30Lfz" w:hAnsi="C39T30Lfz"/>
        <w:spacing w:val="0"/>
        <w:w w:val="100"/>
        <w:sz w:val="56"/>
      </w:rPr>
      <w:t></w:t>
    </w:r>
    <w:r w:rsidRPr="001E5B82">
      <w:rPr>
        <w:rFonts w:ascii="C39T30Lfz" w:hAnsi="C39T30Lfz"/>
        <w:spacing w:val="0"/>
        <w:w w:val="100"/>
        <w:sz w:val="56"/>
      </w:rPr>
      <w:t></w:t>
    </w:r>
    <w:r w:rsidRPr="001E5B82">
      <w:rPr>
        <w:rFonts w:ascii="C39T30Lfz" w:hAnsi="C39T30Lfz"/>
        <w:spacing w:val="0"/>
        <w:w w:val="100"/>
        <w:sz w:val="56"/>
      </w:rPr>
      <w:t></w:t>
    </w:r>
    <w:r w:rsidRPr="001E5B82">
      <w:rPr>
        <w:rFonts w:ascii="C39T30Lfz" w:hAnsi="C39T30Lfz"/>
        <w:spacing w:val="0"/>
        <w:w w:val="100"/>
        <w:sz w:val="56"/>
      </w:rPr>
      <w:t></w:t>
    </w:r>
    <w:r w:rsidRPr="001E5B82">
      <w:rPr>
        <w:rFonts w:ascii="C39T30Lfz" w:hAnsi="C39T30Lfz"/>
        <w:spacing w:val="0"/>
        <w:w w:val="100"/>
        <w:sz w:val="56"/>
      </w:rPr>
      <w:t></w:t>
    </w:r>
    <w:r w:rsidRPr="001E5B82">
      <w:rPr>
        <w:rFonts w:ascii="C39T30Lfz" w:hAnsi="C39T30Lfz"/>
        <w:spacing w:val="0"/>
        <w:w w:val="100"/>
        <w:sz w:val="56"/>
      </w:rPr>
      <w:t></w:t>
    </w:r>
    <w:r>
      <w:rPr>
        <w:noProof/>
        <w:w w:val="100"/>
        <w:lang w:val="en-US" w:eastAsia="en-US"/>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40080" cy="640080"/>
          <wp:effectExtent l="0" t="0" r="7620" b="7620"/>
          <wp:wrapNone/>
          <wp:docPr id="1" name="Рисунок 1" descr="http://undocs.org/m2/QRCode.ashx?DS=ECE/TRANS/WP.15/2017/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2017/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7D2" w:rsidRPr="001075E9" w:rsidRDefault="00DB17D2" w:rsidP="001075E9">
      <w:pPr>
        <w:tabs>
          <w:tab w:val="right" w:pos="2155"/>
        </w:tabs>
        <w:spacing w:after="80" w:line="240" w:lineRule="auto"/>
        <w:ind w:left="680"/>
        <w:rPr>
          <w:u w:val="single"/>
        </w:rPr>
      </w:pPr>
      <w:r>
        <w:rPr>
          <w:u w:val="single"/>
        </w:rPr>
        <w:tab/>
      </w:r>
    </w:p>
  </w:footnote>
  <w:footnote w:type="continuationSeparator" w:id="0">
    <w:p w:rsidR="00DB17D2" w:rsidRDefault="00DB17D2" w:rsidP="00407B78">
      <w:pPr>
        <w:tabs>
          <w:tab w:val="right" w:pos="2155"/>
        </w:tabs>
        <w:spacing w:after="80"/>
        <w:ind w:left="680"/>
        <w:rPr>
          <w:u w:val="single"/>
        </w:rPr>
      </w:pPr>
      <w:r>
        <w:rPr>
          <w:u w:val="single"/>
        </w:rPr>
        <w:tab/>
      </w:r>
    </w:p>
  </w:footnote>
  <w:footnote w:id="1">
    <w:p w:rsidR="001E5B82" w:rsidRPr="008A2575" w:rsidRDefault="001E5B82" w:rsidP="001E5B82">
      <w:pPr>
        <w:pStyle w:val="FootnoteText"/>
        <w:tabs>
          <w:tab w:val="clear" w:pos="1021"/>
        </w:tabs>
        <w:ind w:left="1418" w:hanging="284"/>
        <w:rPr>
          <w:lang w:val="ru-RU"/>
        </w:rPr>
      </w:pPr>
      <w:r w:rsidRPr="001E5B82">
        <w:rPr>
          <w:rStyle w:val="FootnoteReference"/>
          <w:sz w:val="20"/>
          <w:vertAlign w:val="baseline"/>
        </w:rPr>
        <w:sym w:font="Symbol" w:char="F02A"/>
      </w:r>
      <w:r w:rsidRPr="008A2575">
        <w:rPr>
          <w:lang w:val="ru-RU"/>
        </w:rPr>
        <w:tab/>
      </w:r>
      <w:r w:rsidRPr="008A2575">
        <w:rPr>
          <w:lang w:val="ru-RU" w:eastAsia="en-GB"/>
        </w:rPr>
        <w:t>В соответствии с программой работы Комитета по внутреннему транспорту на</w:t>
      </w:r>
      <w:r>
        <w:rPr>
          <w:lang w:val="en-US" w:eastAsia="en-GB"/>
        </w:rPr>
        <w:t> </w:t>
      </w:r>
      <w:r w:rsidRPr="008A2575">
        <w:rPr>
          <w:lang w:val="ru-RU" w:eastAsia="en-GB"/>
        </w:rPr>
        <w:t>2016</w:t>
      </w:r>
      <w:r w:rsidRPr="001E5B82">
        <w:rPr>
          <w:lang w:val="ru-RU" w:eastAsia="en-GB"/>
        </w:rPr>
        <w:t>–</w:t>
      </w:r>
      <w:r w:rsidRPr="008A2575">
        <w:rPr>
          <w:lang w:val="ru-RU" w:eastAsia="en-GB"/>
        </w:rPr>
        <w:t>2017</w:t>
      </w:r>
      <w:r>
        <w:rPr>
          <w:lang w:val="ru-RU" w:eastAsia="en-GB"/>
        </w:rPr>
        <w:t> </w:t>
      </w:r>
      <w:r w:rsidRPr="008A2575">
        <w:rPr>
          <w:lang w:val="ru-RU" w:eastAsia="en-GB"/>
        </w:rPr>
        <w:t>годы (</w:t>
      </w:r>
      <w:r w:rsidRPr="008A2575">
        <w:rPr>
          <w:lang w:eastAsia="en-GB"/>
        </w:rPr>
        <w:t>ECE</w:t>
      </w:r>
      <w:r w:rsidRPr="008A2575">
        <w:rPr>
          <w:lang w:val="ru-RU" w:eastAsia="en-GB"/>
        </w:rPr>
        <w:t>/</w:t>
      </w:r>
      <w:r w:rsidRPr="008A2575">
        <w:rPr>
          <w:lang w:eastAsia="en-GB"/>
        </w:rPr>
        <w:t>TRANS</w:t>
      </w:r>
      <w:r w:rsidRPr="008A2575">
        <w:rPr>
          <w:lang w:val="ru-RU" w:eastAsia="en-GB"/>
        </w:rPr>
        <w:t>/2016/28/</w:t>
      </w:r>
      <w:r w:rsidRPr="008A2575">
        <w:rPr>
          <w:lang w:eastAsia="en-GB"/>
        </w:rPr>
        <w:t>Add</w:t>
      </w:r>
      <w:r w:rsidRPr="008A2575">
        <w:rPr>
          <w:lang w:val="ru-RU" w:eastAsia="en-GB"/>
        </w:rPr>
        <w:t>.1, п</w:t>
      </w:r>
      <w:r w:rsidR="007D42FB">
        <w:rPr>
          <w:lang w:val="ru-RU" w:eastAsia="en-GB"/>
        </w:rPr>
        <w:t>ункт</w:t>
      </w:r>
      <w:r>
        <w:rPr>
          <w:lang w:val="ru-RU" w:eastAsia="en-GB"/>
        </w:rPr>
        <w:t> </w:t>
      </w:r>
      <w:r w:rsidRPr="008A2575">
        <w:rPr>
          <w:lang w:val="ru-RU" w:eastAsia="en-GB"/>
        </w:rPr>
        <w:t>9.2).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B82" w:rsidRPr="001E5B82" w:rsidRDefault="0014665F">
    <w:pPr>
      <w:pStyle w:val="Header"/>
    </w:pPr>
    <w:fldSimple w:instr=" TITLE  \* MERGEFORMAT ">
      <w:r>
        <w:t>ECE/TRANS/WP.15/2017/3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B82" w:rsidRPr="001E5B82" w:rsidRDefault="0014665F" w:rsidP="001E5B82">
    <w:pPr>
      <w:pStyle w:val="Header"/>
      <w:jc w:val="right"/>
    </w:pPr>
    <w:fldSimple w:instr=" TITLE  \* MERGEFORMAT ">
      <w:r>
        <w:t>ECE/TRANS/WP.15/2017/3</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B82" w:rsidRDefault="001E5B82" w:rsidP="001E5B8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A72200"/>
    <w:multiLevelType w:val="hybridMultilevel"/>
    <w:tmpl w:val="7C7C2EB0"/>
    <w:lvl w:ilvl="0" w:tplc="2EBAF8C0">
      <w:start w:val="1"/>
      <w:numFmt w:val="decimal"/>
      <w:lvlText w:val="%1."/>
      <w:lvlJc w:val="left"/>
      <w:pPr>
        <w:ind w:left="1710" w:hanging="576"/>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0"/>
    <w:lvlOverride w:ilvl="0">
      <w:lvl w:ilvl="0" w:tplc="2EBAF8C0">
        <w:start w:val="1"/>
        <w:numFmt w:val="decimal"/>
        <w:lvlText w:val="%1."/>
        <w:lvlJc w:val="left"/>
        <w:pPr>
          <w:ind w:left="1710" w:hanging="576"/>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D2"/>
    <w:rsid w:val="00033EE1"/>
    <w:rsid w:val="00042B72"/>
    <w:rsid w:val="000558BD"/>
    <w:rsid w:val="000B57E7"/>
    <w:rsid w:val="000B6373"/>
    <w:rsid w:val="000E4E5B"/>
    <w:rsid w:val="000F09DF"/>
    <w:rsid w:val="000F61B2"/>
    <w:rsid w:val="001075E9"/>
    <w:rsid w:val="0014152F"/>
    <w:rsid w:val="0014665F"/>
    <w:rsid w:val="00153798"/>
    <w:rsid w:val="00180183"/>
    <w:rsid w:val="0018024D"/>
    <w:rsid w:val="0018649F"/>
    <w:rsid w:val="00196389"/>
    <w:rsid w:val="001B3EF6"/>
    <w:rsid w:val="001C1583"/>
    <w:rsid w:val="001C7A89"/>
    <w:rsid w:val="001E5B82"/>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70BA3"/>
    <w:rsid w:val="00381C24"/>
    <w:rsid w:val="003958D0"/>
    <w:rsid w:val="003A0D43"/>
    <w:rsid w:val="003A48CE"/>
    <w:rsid w:val="003B00E5"/>
    <w:rsid w:val="003B631D"/>
    <w:rsid w:val="003D38E6"/>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13296"/>
    <w:rsid w:val="006345DB"/>
    <w:rsid w:val="00640F49"/>
    <w:rsid w:val="00680D03"/>
    <w:rsid w:val="00681A10"/>
    <w:rsid w:val="006A1ED8"/>
    <w:rsid w:val="006A421B"/>
    <w:rsid w:val="006C2031"/>
    <w:rsid w:val="006D461A"/>
    <w:rsid w:val="006F35EE"/>
    <w:rsid w:val="007021FF"/>
    <w:rsid w:val="00712895"/>
    <w:rsid w:val="00730E03"/>
    <w:rsid w:val="00734ACB"/>
    <w:rsid w:val="00757357"/>
    <w:rsid w:val="00792497"/>
    <w:rsid w:val="007C5411"/>
    <w:rsid w:val="007D42FB"/>
    <w:rsid w:val="00806737"/>
    <w:rsid w:val="00825F8D"/>
    <w:rsid w:val="00834B71"/>
    <w:rsid w:val="0086445C"/>
    <w:rsid w:val="00894693"/>
    <w:rsid w:val="008A08D7"/>
    <w:rsid w:val="008A37C8"/>
    <w:rsid w:val="008B064A"/>
    <w:rsid w:val="008B6909"/>
    <w:rsid w:val="008D53B6"/>
    <w:rsid w:val="008F7609"/>
    <w:rsid w:val="00906890"/>
    <w:rsid w:val="00911BE4"/>
    <w:rsid w:val="009261C9"/>
    <w:rsid w:val="00951972"/>
    <w:rsid w:val="009608F3"/>
    <w:rsid w:val="009A24AC"/>
    <w:rsid w:val="009A7B75"/>
    <w:rsid w:val="00A14DA8"/>
    <w:rsid w:val="00A2096E"/>
    <w:rsid w:val="00A312BC"/>
    <w:rsid w:val="00A349CE"/>
    <w:rsid w:val="00A84021"/>
    <w:rsid w:val="00A84D35"/>
    <w:rsid w:val="00A917B3"/>
    <w:rsid w:val="00AA0753"/>
    <w:rsid w:val="00AB4B51"/>
    <w:rsid w:val="00B10CC7"/>
    <w:rsid w:val="00B36DF7"/>
    <w:rsid w:val="00B539E7"/>
    <w:rsid w:val="00B62458"/>
    <w:rsid w:val="00BC18B2"/>
    <w:rsid w:val="00BD33EE"/>
    <w:rsid w:val="00BE1CC7"/>
    <w:rsid w:val="00C106D6"/>
    <w:rsid w:val="00C119AE"/>
    <w:rsid w:val="00C60F0C"/>
    <w:rsid w:val="00C805C9"/>
    <w:rsid w:val="00C92939"/>
    <w:rsid w:val="00CA1679"/>
    <w:rsid w:val="00CB151C"/>
    <w:rsid w:val="00CE5A1A"/>
    <w:rsid w:val="00CF55F6"/>
    <w:rsid w:val="00D33D63"/>
    <w:rsid w:val="00D5253A"/>
    <w:rsid w:val="00D70346"/>
    <w:rsid w:val="00D90028"/>
    <w:rsid w:val="00D90138"/>
    <w:rsid w:val="00DB17D2"/>
    <w:rsid w:val="00DD78D1"/>
    <w:rsid w:val="00DE32CD"/>
    <w:rsid w:val="00DF5767"/>
    <w:rsid w:val="00DF71B9"/>
    <w:rsid w:val="00E12C5F"/>
    <w:rsid w:val="00E73F76"/>
    <w:rsid w:val="00EA2C9F"/>
    <w:rsid w:val="00EA420E"/>
    <w:rsid w:val="00EA7540"/>
    <w:rsid w:val="00ED0BDA"/>
    <w:rsid w:val="00EE142A"/>
    <w:rsid w:val="00EF1360"/>
    <w:rsid w:val="00EF3220"/>
    <w:rsid w:val="00F43903"/>
    <w:rsid w:val="00F701CC"/>
    <w:rsid w:val="00F76C31"/>
    <w:rsid w:val="00F94155"/>
    <w:rsid w:val="00F9783F"/>
    <w:rsid w:val="00FA246E"/>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AE544EA-8110-4C93-90D1-16F6B986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CC7"/>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BE1CC7"/>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BE1CC7"/>
    <w:pPr>
      <w:keepNext/>
      <w:outlineLvl w:val="1"/>
    </w:pPr>
    <w:rPr>
      <w:rFonts w:cs="Arial"/>
      <w:bCs/>
      <w:iCs/>
      <w:szCs w:val="28"/>
    </w:rPr>
  </w:style>
  <w:style w:type="paragraph" w:styleId="Heading3">
    <w:name w:val="heading 3"/>
    <w:basedOn w:val="Normal"/>
    <w:next w:val="Normal"/>
    <w:semiHidden/>
    <w:rsid w:val="00BE1CC7"/>
    <w:pPr>
      <w:keepNext/>
      <w:spacing w:before="240" w:after="60"/>
      <w:outlineLvl w:val="2"/>
    </w:pPr>
    <w:rPr>
      <w:rFonts w:ascii="Arial" w:hAnsi="Arial" w:cs="Arial"/>
      <w:b/>
      <w:bCs/>
      <w:sz w:val="26"/>
      <w:szCs w:val="26"/>
    </w:rPr>
  </w:style>
  <w:style w:type="paragraph" w:styleId="Heading4">
    <w:name w:val="heading 4"/>
    <w:basedOn w:val="Normal"/>
    <w:next w:val="Normal"/>
    <w:semiHidden/>
    <w:rsid w:val="00BE1CC7"/>
    <w:pPr>
      <w:keepNext/>
      <w:spacing w:before="240" w:after="60"/>
      <w:outlineLvl w:val="3"/>
    </w:pPr>
    <w:rPr>
      <w:b/>
      <w:bCs/>
      <w:sz w:val="28"/>
      <w:szCs w:val="28"/>
    </w:rPr>
  </w:style>
  <w:style w:type="paragraph" w:styleId="Heading5">
    <w:name w:val="heading 5"/>
    <w:basedOn w:val="Normal"/>
    <w:next w:val="Normal"/>
    <w:semiHidden/>
    <w:rsid w:val="00BE1CC7"/>
    <w:pPr>
      <w:spacing w:before="240" w:after="60"/>
      <w:outlineLvl w:val="4"/>
    </w:pPr>
    <w:rPr>
      <w:b/>
      <w:bCs/>
      <w:i/>
      <w:iCs/>
      <w:sz w:val="26"/>
      <w:szCs w:val="26"/>
    </w:rPr>
  </w:style>
  <w:style w:type="paragraph" w:styleId="Heading6">
    <w:name w:val="heading 6"/>
    <w:basedOn w:val="Normal"/>
    <w:next w:val="Normal"/>
    <w:semiHidden/>
    <w:rsid w:val="00BE1CC7"/>
    <w:pPr>
      <w:spacing w:before="240" w:after="60"/>
      <w:outlineLvl w:val="5"/>
    </w:pPr>
    <w:rPr>
      <w:b/>
      <w:bCs/>
      <w:sz w:val="22"/>
    </w:rPr>
  </w:style>
  <w:style w:type="paragraph" w:styleId="Heading7">
    <w:name w:val="heading 7"/>
    <w:basedOn w:val="Normal"/>
    <w:next w:val="Normal"/>
    <w:semiHidden/>
    <w:rsid w:val="00BE1CC7"/>
    <w:pPr>
      <w:spacing w:before="240" w:after="60"/>
      <w:outlineLvl w:val="6"/>
    </w:pPr>
    <w:rPr>
      <w:sz w:val="24"/>
      <w:szCs w:val="24"/>
    </w:rPr>
  </w:style>
  <w:style w:type="paragraph" w:styleId="Heading8">
    <w:name w:val="heading 8"/>
    <w:basedOn w:val="Normal"/>
    <w:next w:val="Normal"/>
    <w:semiHidden/>
    <w:rsid w:val="00BE1CC7"/>
    <w:pPr>
      <w:spacing w:before="240" w:after="60"/>
      <w:outlineLvl w:val="7"/>
    </w:pPr>
    <w:rPr>
      <w:i/>
      <w:iCs/>
      <w:sz w:val="24"/>
      <w:szCs w:val="24"/>
    </w:rPr>
  </w:style>
  <w:style w:type="paragraph" w:styleId="Heading9">
    <w:name w:val="heading 9"/>
    <w:basedOn w:val="Normal"/>
    <w:next w:val="Normal"/>
    <w:semiHidden/>
    <w:rsid w:val="00BE1CC7"/>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E1CC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E1CC7"/>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BE1CC7"/>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BE1CC7"/>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BE1CC7"/>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BE1CC7"/>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BE1CC7"/>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BE1CC7"/>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BE1CC7"/>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BE1CC7"/>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BE1CC7"/>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BE1CC7"/>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BE1CC7"/>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BE1CC7"/>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BE1CC7"/>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BE1CC7"/>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BE1CC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CC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CC7"/>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BE1CC7"/>
    <w:rPr>
      <w:b/>
      <w:spacing w:val="4"/>
      <w:w w:val="103"/>
      <w:kern w:val="14"/>
      <w:sz w:val="18"/>
      <w:lang w:val="en-GB" w:eastAsia="ru-RU"/>
    </w:rPr>
  </w:style>
  <w:style w:type="character" w:styleId="PageNumber">
    <w:name w:val="page number"/>
    <w:aliases w:val="7_GR"/>
    <w:basedOn w:val="DefaultParagraphFont"/>
    <w:qFormat/>
    <w:rsid w:val="00BE1CC7"/>
    <w:rPr>
      <w:rFonts w:ascii="Times New Roman" w:hAnsi="Times New Roman"/>
      <w:b/>
      <w:sz w:val="18"/>
    </w:rPr>
  </w:style>
  <w:style w:type="paragraph" w:styleId="Footer">
    <w:name w:val="footer"/>
    <w:aliases w:val="3_GR"/>
    <w:basedOn w:val="Normal"/>
    <w:link w:val="FooterChar"/>
    <w:qFormat/>
    <w:rsid w:val="00BE1CC7"/>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BE1CC7"/>
    <w:rPr>
      <w:spacing w:val="4"/>
      <w:w w:val="103"/>
      <w:kern w:val="14"/>
      <w:sz w:val="16"/>
      <w:lang w:val="en-GB" w:eastAsia="ru-RU"/>
    </w:rPr>
  </w:style>
  <w:style w:type="character" w:styleId="FootnoteReference">
    <w:name w:val="footnote reference"/>
    <w:aliases w:val="4_GR"/>
    <w:basedOn w:val="DefaultParagraphFont"/>
    <w:qFormat/>
    <w:rsid w:val="00BE1CC7"/>
    <w:rPr>
      <w:rFonts w:ascii="Times New Roman" w:hAnsi="Times New Roman"/>
      <w:dstrike w:val="0"/>
      <w:sz w:val="18"/>
      <w:vertAlign w:val="superscript"/>
    </w:rPr>
  </w:style>
  <w:style w:type="character" w:styleId="EndnoteReference">
    <w:name w:val="endnote reference"/>
    <w:aliases w:val="1_GR"/>
    <w:basedOn w:val="FootnoteReference"/>
    <w:qFormat/>
    <w:rsid w:val="00BE1CC7"/>
    <w:rPr>
      <w:rFonts w:ascii="Times New Roman" w:hAnsi="Times New Roman"/>
      <w:dstrike w:val="0"/>
      <w:sz w:val="18"/>
      <w:vertAlign w:val="superscript"/>
    </w:rPr>
  </w:style>
  <w:style w:type="table" w:styleId="TableGrid">
    <w:name w:val="Table Grid"/>
    <w:basedOn w:val="TableNormal"/>
    <w:rsid w:val="00BE1CC7"/>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BE1CC7"/>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BE1CC7"/>
    <w:rPr>
      <w:spacing w:val="5"/>
      <w:w w:val="104"/>
      <w:kern w:val="14"/>
      <w:sz w:val="18"/>
      <w:lang w:val="en-GB" w:eastAsia="ru-RU"/>
    </w:rPr>
  </w:style>
  <w:style w:type="paragraph" w:styleId="EndnoteText">
    <w:name w:val="endnote text"/>
    <w:aliases w:val="2_GR"/>
    <w:basedOn w:val="FootnoteText"/>
    <w:link w:val="EndnoteTextChar"/>
    <w:qFormat/>
    <w:rsid w:val="00BE1CC7"/>
  </w:style>
  <w:style w:type="character" w:customStyle="1" w:styleId="EndnoteTextChar">
    <w:name w:val="Endnote Text Char"/>
    <w:aliases w:val="2_GR Char"/>
    <w:basedOn w:val="DefaultParagraphFont"/>
    <w:link w:val="EndnoteText"/>
    <w:rsid w:val="00BE1CC7"/>
    <w:rPr>
      <w:spacing w:val="5"/>
      <w:w w:val="104"/>
      <w:kern w:val="14"/>
      <w:sz w:val="18"/>
      <w:lang w:val="en-GB" w:eastAsia="ru-RU"/>
    </w:rPr>
  </w:style>
  <w:style w:type="character" w:customStyle="1" w:styleId="Heading1Char">
    <w:name w:val="Heading 1 Char"/>
    <w:aliases w:val="Table_GR Char"/>
    <w:basedOn w:val="DefaultParagraphFont"/>
    <w:link w:val="Heading1"/>
    <w:rsid w:val="00BE1CC7"/>
    <w:rPr>
      <w:rFonts w:cs="Arial"/>
      <w:b/>
      <w:bCs/>
      <w:spacing w:val="4"/>
      <w:w w:val="103"/>
      <w:kern w:val="14"/>
      <w:szCs w:val="32"/>
      <w:lang w:val="ru-RU" w:eastAsia="ru-RU"/>
    </w:rPr>
  </w:style>
  <w:style w:type="character" w:styleId="Hyperlink">
    <w:name w:val="Hyperlink"/>
    <w:basedOn w:val="DefaultParagraphFont"/>
    <w:semiHidden/>
    <w:unhideWhenUsed/>
    <w:rsid w:val="00BE1CC7"/>
    <w:rPr>
      <w:color w:val="0000FF" w:themeColor="hyperlink"/>
      <w:u w:val="none"/>
    </w:rPr>
  </w:style>
  <w:style w:type="character" w:styleId="FollowedHyperlink">
    <w:name w:val="FollowedHyperlink"/>
    <w:basedOn w:val="DefaultParagraphFont"/>
    <w:semiHidden/>
    <w:unhideWhenUsed/>
    <w:rsid w:val="00BE1CC7"/>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8A62A-C2F5-42DE-AE2B-4A86F6E0D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1320</Words>
  <Characters>7527</Characters>
  <Application>Microsoft Office Word</Application>
  <DocSecurity>0</DocSecurity>
  <Lines>62</Lines>
  <Paragraphs>17</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ECE/TRANS/WP.15/2017/3</vt:lpstr>
      <vt:lpstr>ECE/TRANS/WP.15/2017/3</vt:lpstr>
      <vt:lpstr>A/</vt:lpstr>
    </vt:vector>
  </TitlesOfParts>
  <Company>DCM</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ECE/TRANS/WP.15/2017/3</dc:title>
  <dc:creator>Ovchinnikova Olga</dc:creator>
  <cp:lastModifiedBy>Christine Barrio-Champeau</cp:lastModifiedBy>
  <cp:revision>2</cp:revision>
  <cp:lastPrinted>2017-03-02T11:23:00Z</cp:lastPrinted>
  <dcterms:created xsi:type="dcterms:W3CDTF">2017-03-06T10:10:00Z</dcterms:created>
  <dcterms:modified xsi:type="dcterms:W3CDTF">2017-03-06T10:10:00Z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