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A41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A4142" w:rsidP="00EA4142">
            <w:pPr>
              <w:jc w:val="right"/>
            </w:pPr>
            <w:r w:rsidRPr="00EA4142">
              <w:rPr>
                <w:sz w:val="40"/>
              </w:rPr>
              <w:t>ECE</w:t>
            </w:r>
            <w:r>
              <w:t>/TRANS/WP.15/2017/16</w:t>
            </w:r>
          </w:p>
        </w:tc>
      </w:tr>
      <w:tr w:rsidR="002D5AAC" w:rsidRPr="00D10A4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A41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A4142" w:rsidRDefault="00EA4142" w:rsidP="00EA41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EA4142" w:rsidRDefault="00EA4142" w:rsidP="00EA41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A4142" w:rsidRPr="008D53B6" w:rsidRDefault="00EA4142" w:rsidP="00EA41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Pr="00EA4142" w:rsidRDefault="008A37C8" w:rsidP="00EA4142">
      <w:pPr>
        <w:spacing w:before="120"/>
        <w:rPr>
          <w:b/>
          <w:sz w:val="28"/>
          <w:szCs w:val="28"/>
        </w:rPr>
      </w:pPr>
      <w:r w:rsidRPr="00EA4142">
        <w:rPr>
          <w:b/>
          <w:sz w:val="28"/>
          <w:szCs w:val="28"/>
        </w:rPr>
        <w:t>Европейская экономическая комиссия</w:t>
      </w:r>
    </w:p>
    <w:p w:rsidR="00EA4142" w:rsidRPr="00EA4142" w:rsidRDefault="00EA4142" w:rsidP="00EA4142">
      <w:pPr>
        <w:spacing w:before="120"/>
        <w:rPr>
          <w:sz w:val="28"/>
          <w:szCs w:val="28"/>
        </w:rPr>
      </w:pPr>
      <w:r w:rsidRPr="00EA4142">
        <w:rPr>
          <w:sz w:val="28"/>
          <w:szCs w:val="28"/>
        </w:rPr>
        <w:t>Комитет по внутреннему транспорту</w:t>
      </w:r>
    </w:p>
    <w:p w:rsidR="00EA4142" w:rsidRPr="00EA4142" w:rsidRDefault="00EA4142" w:rsidP="00EA4142">
      <w:pPr>
        <w:spacing w:before="120"/>
        <w:rPr>
          <w:b/>
          <w:sz w:val="24"/>
          <w:szCs w:val="24"/>
        </w:rPr>
      </w:pPr>
      <w:r w:rsidRPr="00EA4142">
        <w:rPr>
          <w:b/>
          <w:sz w:val="24"/>
          <w:szCs w:val="24"/>
        </w:rPr>
        <w:t>Рабочая группа по перевозкам опасных грузов</w:t>
      </w:r>
    </w:p>
    <w:p w:rsidR="00EA4142" w:rsidRPr="00EA4142" w:rsidRDefault="00EA4142" w:rsidP="00EA4142">
      <w:pPr>
        <w:spacing w:before="120"/>
        <w:rPr>
          <w:b/>
        </w:rPr>
      </w:pPr>
      <w:r w:rsidRPr="00EA4142">
        <w:rPr>
          <w:b/>
        </w:rPr>
        <w:t>103-я сессия</w:t>
      </w:r>
      <w:r w:rsidRPr="00EA4142">
        <w:rPr>
          <w:b/>
        </w:rPr>
        <w:br/>
      </w:r>
      <w:r w:rsidRPr="00EA4142">
        <w:t>Женева, 6–10 ноября 2017 года</w:t>
      </w:r>
      <w:r w:rsidRPr="00EA4142">
        <w:br/>
        <w:t>Пункт 6 предварительной повестки дня</w:t>
      </w:r>
      <w:r w:rsidRPr="00EA4142">
        <w:br/>
      </w:r>
      <w:r w:rsidRPr="00EA4142">
        <w:rPr>
          <w:b/>
        </w:rPr>
        <w:t>Толкование ДОПОГ</w:t>
      </w:r>
    </w:p>
    <w:p w:rsidR="00EA4142" w:rsidRPr="00EA4142" w:rsidRDefault="00EA4142" w:rsidP="00EA4142">
      <w:pPr>
        <w:pStyle w:val="HChGR"/>
      </w:pPr>
      <w:r w:rsidRPr="00EA4142">
        <w:tab/>
      </w:r>
      <w:r w:rsidRPr="00EA4142">
        <w:tab/>
        <w:t>Условия для использования транспортных средств с</w:t>
      </w:r>
      <w:r>
        <w:rPr>
          <w:lang w:val="en-US"/>
        </w:rPr>
        <w:t> </w:t>
      </w:r>
      <w:r w:rsidRPr="00EA4142">
        <w:t>электродвигателями, предназначенных для</w:t>
      </w:r>
      <w:r w:rsidR="0091068B">
        <w:rPr>
          <w:lang w:val="en-US"/>
        </w:rPr>
        <w:t> </w:t>
      </w:r>
      <w:r w:rsidRPr="00EA4142">
        <w:t>перевозки опасных грузов</w:t>
      </w:r>
    </w:p>
    <w:p w:rsidR="00EA4142" w:rsidRDefault="00EA4142" w:rsidP="00EA4142">
      <w:pPr>
        <w:pStyle w:val="H1GR"/>
        <w:rPr>
          <w:b w:val="0"/>
          <w:sz w:val="20"/>
          <w:lang w:val="fr-CH"/>
        </w:rPr>
      </w:pPr>
      <w:r w:rsidRPr="00EA4142">
        <w:tab/>
      </w:r>
      <w:r w:rsidRPr="00EA4142">
        <w:tab/>
        <w:t>Передано правительством Швейцарии</w:t>
      </w:r>
      <w:r w:rsidR="00570591" w:rsidRPr="0057059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91068B" w:rsidRPr="0091068B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91068B" w:rsidRPr="0091068B" w:rsidRDefault="0091068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1068B">
              <w:rPr>
                <w:rFonts w:cs="Times New Roman"/>
              </w:rPr>
              <w:tab/>
            </w:r>
            <w:r w:rsidRPr="0091068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1068B" w:rsidRPr="0091068B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1068B" w:rsidRPr="0091068B" w:rsidRDefault="0091068B" w:rsidP="0091068B">
            <w:pPr>
              <w:pStyle w:val="SingleTxtGR"/>
              <w:ind w:left="3969" w:hanging="2835"/>
            </w:pPr>
            <w:r w:rsidRPr="00EA4142">
              <w:rPr>
                <w:b/>
              </w:rPr>
              <w:t>Существо предложения:</w:t>
            </w:r>
            <w:r w:rsidRPr="00EA4142">
              <w:tab/>
              <w:t>Необходимо принять решение об условиях для использования транспортных средств с электро- двигателями, предназначенных для перевозки опасных грузов.</w:t>
            </w:r>
          </w:p>
        </w:tc>
      </w:tr>
      <w:tr w:rsidR="0091068B" w:rsidRPr="0091068B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91068B" w:rsidRPr="0091068B" w:rsidRDefault="0091068B" w:rsidP="00850215">
            <w:pPr>
              <w:rPr>
                <w:rFonts w:cs="Times New Roman"/>
              </w:rPr>
            </w:pPr>
          </w:p>
        </w:tc>
      </w:tr>
    </w:tbl>
    <w:p w:rsidR="00EA4142" w:rsidRPr="00EA4142" w:rsidRDefault="0091068B" w:rsidP="0091068B">
      <w:pPr>
        <w:pStyle w:val="HChGR"/>
      </w:pPr>
      <w:r w:rsidRPr="00D10A4F">
        <w:tab/>
      </w:r>
      <w:r w:rsidRPr="00D10A4F">
        <w:tab/>
      </w:r>
      <w:r w:rsidR="00EA4142" w:rsidRPr="00EA4142">
        <w:t>Введение</w:t>
      </w:r>
    </w:p>
    <w:p w:rsidR="00EA4142" w:rsidRPr="00EA4142" w:rsidRDefault="00EA4142" w:rsidP="00EA4142">
      <w:pPr>
        <w:pStyle w:val="SingleTxtGR"/>
      </w:pPr>
      <w:r w:rsidRPr="00EA4142">
        <w:t>1.</w:t>
      </w:r>
      <w:r w:rsidRPr="00EA4142">
        <w:tab/>
        <w:t>Для того чтобы пояснить, разрешается ли использовать транспортные средства с электрическими или гибридными двигателями для перевозки опасных грузов, необходимо уточнить некоторые моменты в подразделе 9.2.2.7:</w:t>
      </w:r>
    </w:p>
    <w:p w:rsidR="00EA4142" w:rsidRPr="00B82B25" w:rsidRDefault="00EA4142" w:rsidP="00EA4142">
      <w:pPr>
        <w:pStyle w:val="SingleTxtGR"/>
      </w:pPr>
      <w:r w:rsidRPr="00EA4142">
        <w:tab/>
      </w:r>
      <w:r w:rsidRPr="00EA4142">
        <w:rPr>
          <w:lang w:val="fr-CH"/>
        </w:rPr>
        <w:t>a</w:t>
      </w:r>
      <w:r w:rsidRPr="00EA4142">
        <w:t>)</w:t>
      </w:r>
      <w:r w:rsidRPr="00EA4142">
        <w:tab/>
        <w:t xml:space="preserve">к какому оборудованию относится ограничение номинального напряжения, предусмотренное в первом предложении подраздела 9.2.2.7: </w:t>
      </w:r>
      <w:r w:rsidRPr="00EA4142">
        <w:rPr>
          <w:bCs/>
        </w:rPr>
        <w:t>«</w:t>
      </w:r>
      <w:r w:rsidRPr="00EA4142">
        <w:rPr>
          <w:lang w:bidi="ru-RU"/>
        </w:rPr>
        <w:t>Номинальное напряжение в системе электрооборудования не должно превышать 25 В переменного т</w:t>
      </w:r>
      <w:r w:rsidR="00B82B25">
        <w:rPr>
          <w:lang w:bidi="ru-RU"/>
        </w:rPr>
        <w:t>ока или 60 В постоянного тока.»</w:t>
      </w:r>
      <w:r w:rsidR="00EB5AEF" w:rsidRPr="00EB5AEF">
        <w:rPr>
          <w:lang w:bidi="ru-RU"/>
        </w:rPr>
        <w:t>?</w:t>
      </w:r>
      <w:r w:rsidRPr="00EA4142">
        <w:rPr>
          <w:bCs/>
        </w:rPr>
        <w:t xml:space="preserve"> Двигатели </w:t>
      </w:r>
      <w:r w:rsidRPr="00EA4142">
        <w:t>транспортных средств намного превышают эти значения</w:t>
      </w:r>
      <w:r w:rsidRPr="00EA4142">
        <w:rPr>
          <w:bCs/>
        </w:rPr>
        <w:t>. Если бы к ним применялись указанное ограничение, их использование было бы запрещено;</w:t>
      </w:r>
    </w:p>
    <w:p w:rsidR="00EA4142" w:rsidRPr="00EA4142" w:rsidRDefault="00EA4142" w:rsidP="00EA4142">
      <w:pPr>
        <w:pStyle w:val="SingleTxtGR"/>
      </w:pPr>
      <w:r w:rsidRPr="00EA4142">
        <w:tab/>
      </w:r>
      <w:r w:rsidRPr="00EA4142">
        <w:rPr>
          <w:lang w:val="fr-CH"/>
        </w:rPr>
        <w:t>b</w:t>
      </w:r>
      <w:r w:rsidRPr="00EA4142">
        <w:t>)</w:t>
      </w:r>
      <w:r w:rsidRPr="00EA4142">
        <w:tab/>
        <w:t xml:space="preserve">может ли второй абзац подраздела 9.2.2.7 применяться к двигателю транспортного средства? Какие </w:t>
      </w:r>
      <w:r w:rsidRPr="00EA4142">
        <w:rPr>
          <w:lang w:bidi="ru-RU"/>
        </w:rPr>
        <w:t xml:space="preserve">электрические системы, к которым применим </w:t>
      </w:r>
      <w:r w:rsidRPr="00EA4142">
        <w:rPr>
          <w:lang w:bidi="ru-RU"/>
        </w:rPr>
        <w:lastRenderedPageBreak/>
        <w:t>данный текст, а именно</w:t>
      </w:r>
      <w:r w:rsidRPr="00EA4142">
        <w:t>: «</w:t>
      </w:r>
      <w:r w:rsidRPr="00EA4142">
        <w:rPr>
          <w:lang w:bidi="ru-RU"/>
        </w:rPr>
        <w:t>Более высокое напряжение допускается в гальванически изолированных частях электрической системы…», можно привести в качестве примера?</w:t>
      </w:r>
      <w:r w:rsidRPr="00EA4142">
        <w:t xml:space="preserve"> Трудно представить себе д</w:t>
      </w:r>
      <w:r w:rsidRPr="00EA4142">
        <w:rPr>
          <w:bCs/>
        </w:rPr>
        <w:t xml:space="preserve">вигатель </w:t>
      </w:r>
      <w:r w:rsidRPr="00EA4142">
        <w:t>транспортного средства, который удовлетворял бы данным условиям изоляции;</w:t>
      </w:r>
    </w:p>
    <w:p w:rsidR="00EA4142" w:rsidRPr="00EA4142" w:rsidRDefault="00EA4142" w:rsidP="00EA4142">
      <w:pPr>
        <w:pStyle w:val="SingleTxtGR"/>
      </w:pPr>
      <w:r w:rsidRPr="00EA4142">
        <w:tab/>
      </w:r>
      <w:r w:rsidRPr="00EA4142">
        <w:rPr>
          <w:lang w:val="fr-CH"/>
        </w:rPr>
        <w:t>c</w:t>
      </w:r>
      <w:r w:rsidRPr="00EA4142">
        <w:t>)</w:t>
      </w:r>
      <w:r w:rsidRPr="00EA4142">
        <w:tab/>
        <w:t xml:space="preserve">применяется ли третий абзац подраздела 9.2.2.7, который предписывает, что </w:t>
      </w:r>
      <w:r w:rsidRPr="00EA4142">
        <w:rPr>
          <w:lang w:bidi="ru-RU"/>
        </w:rPr>
        <w:t>системы, работающие на напряжении свыше 1</w:t>
      </w:r>
      <w:r w:rsidRPr="00EA4142">
        <w:rPr>
          <w:lang w:val="fr-CH"/>
        </w:rPr>
        <w:t> </w:t>
      </w:r>
      <w:r w:rsidRPr="00EA4142">
        <w:rPr>
          <w:lang w:bidi="ru-RU"/>
        </w:rPr>
        <w:t>000 В переменного тока или 1</w:t>
      </w:r>
      <w:r w:rsidRPr="00EA4142">
        <w:rPr>
          <w:lang w:val="fr-CH"/>
        </w:rPr>
        <w:t> </w:t>
      </w:r>
      <w:r w:rsidRPr="00EA4142">
        <w:rPr>
          <w:lang w:bidi="ru-RU"/>
        </w:rPr>
        <w:t xml:space="preserve">500 В постоянного тока, должны быть помещены в закрытый корпус, </w:t>
      </w:r>
      <w:r w:rsidRPr="00EA4142">
        <w:t>к д</w:t>
      </w:r>
      <w:r w:rsidRPr="00EA4142">
        <w:rPr>
          <w:bCs/>
        </w:rPr>
        <w:t xml:space="preserve">вигателю </w:t>
      </w:r>
      <w:r w:rsidRPr="00EA4142">
        <w:t>транспортного средства? Если не применяется, то на это необходимо указать, чтобы разрешить использовать электродвигатели.</w:t>
      </w:r>
    </w:p>
    <w:p w:rsidR="00E12C5F" w:rsidRDefault="00EA4142" w:rsidP="00EA4142">
      <w:pPr>
        <w:pStyle w:val="SingleTxtGR"/>
        <w:rPr>
          <w:lang w:val="en-US"/>
        </w:rPr>
      </w:pPr>
      <w:r w:rsidRPr="00EA4142">
        <w:t>2.</w:t>
      </w:r>
      <w:r w:rsidRPr="00EA4142">
        <w:tab/>
        <w:t xml:space="preserve">Точно так же, чтобы разрешить перевозку взрывчатых веществ электрическими или гибридными транспортными средствами, в подразделе 9.2.4.4 следует указать, каким условиям должен удовлетворять электрический двигатель. В настоящее время предусмотрено, что в случае транспортных средств EX/II и EX/III </w:t>
      </w:r>
      <w:r w:rsidRPr="00EA4142">
        <w:rPr>
          <w:lang w:bidi="ru-RU"/>
        </w:rPr>
        <w:t>в качестве двигателя должен использоваться двигатель с воспламенением от сжатия, работающий только на жидком топливе с температурой вспышки выше 55 °C.</w:t>
      </w:r>
      <w:r w:rsidRPr="00EA4142">
        <w:t xml:space="preserve"> Тем самым исключается возможность использования транспортных средств с электродвигателями. Является ли данное запрещение оправданным с точки зрения безопасности?</w:t>
      </w:r>
    </w:p>
    <w:p w:rsidR="00EA4142" w:rsidRPr="0091068B" w:rsidRDefault="0091068B" w:rsidP="0091068B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A4142" w:rsidRPr="0091068B" w:rsidSect="00EA41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3F" w:rsidRPr="00A312BC" w:rsidRDefault="00C2453F" w:rsidP="00A312BC"/>
  </w:endnote>
  <w:endnote w:type="continuationSeparator" w:id="0">
    <w:p w:rsidR="00C2453F" w:rsidRPr="00A312BC" w:rsidRDefault="00C245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2" w:rsidRPr="00EA4142" w:rsidRDefault="00EA4142">
    <w:pPr>
      <w:pStyle w:val="Footer"/>
    </w:pPr>
    <w:r w:rsidRPr="00EA4142">
      <w:rPr>
        <w:b/>
        <w:sz w:val="18"/>
      </w:rPr>
      <w:fldChar w:fldCharType="begin"/>
    </w:r>
    <w:r w:rsidRPr="00EA4142">
      <w:rPr>
        <w:b/>
        <w:sz w:val="18"/>
      </w:rPr>
      <w:instrText xml:space="preserve"> PAGE  \* MERGEFORMAT </w:instrText>
    </w:r>
    <w:r w:rsidRPr="00EA4142">
      <w:rPr>
        <w:b/>
        <w:sz w:val="18"/>
      </w:rPr>
      <w:fldChar w:fldCharType="separate"/>
    </w:r>
    <w:r w:rsidR="00954BBE">
      <w:rPr>
        <w:b/>
        <w:noProof/>
        <w:sz w:val="18"/>
      </w:rPr>
      <w:t>2</w:t>
    </w:r>
    <w:r w:rsidRPr="00EA4142">
      <w:rPr>
        <w:b/>
        <w:sz w:val="18"/>
      </w:rPr>
      <w:fldChar w:fldCharType="end"/>
    </w:r>
    <w:r>
      <w:rPr>
        <w:b/>
        <w:sz w:val="18"/>
      </w:rPr>
      <w:tab/>
    </w:r>
    <w:r>
      <w:t>GE.17-12930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2" w:rsidRPr="00EA4142" w:rsidRDefault="00EA4142" w:rsidP="00EA414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GE.17-12930</w:t>
    </w:r>
    <w:r>
      <w:tab/>
    </w:r>
    <w:r w:rsidRPr="00EA4142">
      <w:rPr>
        <w:b/>
        <w:sz w:val="18"/>
      </w:rPr>
      <w:fldChar w:fldCharType="begin"/>
    </w:r>
    <w:r w:rsidRPr="00EA4142">
      <w:rPr>
        <w:b/>
        <w:sz w:val="18"/>
      </w:rPr>
      <w:instrText xml:space="preserve"> PAGE  \* MERGEFORMAT </w:instrText>
    </w:r>
    <w:r w:rsidRPr="00EA414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A41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A4142" w:rsidRDefault="00EA4142" w:rsidP="00EA4142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7A1F346" wp14:editId="5AFE90D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17-12930  (R)</w:t>
    </w:r>
    <w:r w:rsidR="0091068B">
      <w:rPr>
        <w:lang w:val="en-US"/>
      </w:rPr>
      <w:t xml:space="preserve">  240817  290817</w:t>
    </w:r>
    <w:r>
      <w:br/>
    </w:r>
    <w:r w:rsidRPr="00EA4142">
      <w:rPr>
        <w:rFonts w:ascii="C39T30Lfz" w:hAnsi="C39T30Lfz"/>
        <w:spacing w:val="0"/>
        <w:w w:val="100"/>
        <w:sz w:val="56"/>
      </w:rPr>
      <w:t></w:t>
    </w:r>
    <w:r w:rsidRPr="00EA4142">
      <w:rPr>
        <w:rFonts w:ascii="C39T30Lfz" w:hAnsi="C39T30Lfz"/>
        <w:spacing w:val="0"/>
        <w:w w:val="100"/>
        <w:sz w:val="56"/>
      </w:rPr>
      <w:t></w:t>
    </w:r>
    <w:r w:rsidRPr="00EA4142">
      <w:rPr>
        <w:rFonts w:ascii="C39T30Lfz" w:hAnsi="C39T30Lfz"/>
        <w:spacing w:val="0"/>
        <w:w w:val="100"/>
        <w:sz w:val="56"/>
      </w:rPr>
      <w:t></w:t>
    </w:r>
    <w:r w:rsidRPr="00EA4142">
      <w:rPr>
        <w:rFonts w:ascii="C39T30Lfz" w:hAnsi="C39T30Lfz"/>
        <w:spacing w:val="0"/>
        <w:w w:val="100"/>
        <w:sz w:val="56"/>
      </w:rPr>
      <w:t></w:t>
    </w:r>
    <w:r w:rsidRPr="00EA4142">
      <w:rPr>
        <w:rFonts w:ascii="C39T30Lfz" w:hAnsi="C39T30Lfz"/>
        <w:spacing w:val="0"/>
        <w:w w:val="100"/>
        <w:sz w:val="56"/>
      </w:rPr>
      <w:t></w:t>
    </w:r>
    <w:r w:rsidRPr="00EA4142">
      <w:rPr>
        <w:rFonts w:ascii="C39T30Lfz" w:hAnsi="C39T30Lfz"/>
        <w:spacing w:val="0"/>
        <w:w w:val="100"/>
        <w:sz w:val="56"/>
      </w:rPr>
      <w:t></w:t>
    </w:r>
    <w:r w:rsidRPr="00EA4142">
      <w:rPr>
        <w:rFonts w:ascii="C39T30Lfz" w:hAnsi="C39T30Lfz"/>
        <w:spacing w:val="0"/>
        <w:w w:val="100"/>
        <w:sz w:val="56"/>
      </w:rPr>
      <w:t></w:t>
    </w:r>
    <w:r w:rsidRPr="00EA4142">
      <w:rPr>
        <w:rFonts w:ascii="C39T30Lfz" w:hAnsi="C39T30Lfz"/>
        <w:spacing w:val="0"/>
        <w:w w:val="100"/>
        <w:sz w:val="56"/>
      </w:rPr>
      <w:t></w:t>
    </w:r>
    <w:r w:rsidRPr="00EA414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3F" w:rsidRPr="001075E9" w:rsidRDefault="00C245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2453F" w:rsidRDefault="00C245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0591" w:rsidRPr="00570591" w:rsidRDefault="00570591">
      <w:pPr>
        <w:pStyle w:val="FootnoteText"/>
        <w:rPr>
          <w:sz w:val="20"/>
          <w:lang w:val="ru-RU"/>
        </w:rPr>
      </w:pPr>
      <w:r>
        <w:tab/>
      </w:r>
      <w:r w:rsidRPr="00570591">
        <w:rPr>
          <w:rStyle w:val="FootnoteReference"/>
          <w:sz w:val="20"/>
          <w:vertAlign w:val="baseline"/>
          <w:lang w:val="ru-RU"/>
        </w:rPr>
        <w:t>*</w:t>
      </w:r>
      <w:r w:rsidRPr="00570591">
        <w:rPr>
          <w:rStyle w:val="FootnoteReference"/>
          <w:vertAlign w:val="baseline"/>
          <w:lang w:val="ru-RU"/>
        </w:rPr>
        <w:tab/>
      </w:r>
      <w:r w:rsidRPr="00570591">
        <w:rPr>
          <w:lang w:val="ru-RU"/>
        </w:rPr>
        <w:t xml:space="preserve">В соответствии с программой работы Комитета по внутреннему транспорту </w:t>
      </w:r>
      <w:r w:rsidRPr="00570591">
        <w:rPr>
          <w:lang w:val="ru-RU"/>
        </w:rPr>
        <w:br/>
        <w:t>на 2016–2017 годы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2" w:rsidRPr="00EA4142" w:rsidRDefault="00954BBE">
    <w:pPr>
      <w:pStyle w:val="Header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 w:rsidR="00133706">
      <w:t>ECE/TRANS/WP.15/2017/16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42" w:rsidRPr="00EA4142" w:rsidRDefault="00954BBE" w:rsidP="00EA414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33706">
      <w:t>ECE/TRANS/WP.15/2017/16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3F"/>
    <w:rsid w:val="00033EE1"/>
    <w:rsid w:val="00042B72"/>
    <w:rsid w:val="000558BD"/>
    <w:rsid w:val="00070C07"/>
    <w:rsid w:val="000B57E7"/>
    <w:rsid w:val="000B6373"/>
    <w:rsid w:val="000E4E5B"/>
    <w:rsid w:val="000F09DF"/>
    <w:rsid w:val="000F61B2"/>
    <w:rsid w:val="001075E9"/>
    <w:rsid w:val="0013370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59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68B"/>
    <w:rsid w:val="00911BE4"/>
    <w:rsid w:val="00951972"/>
    <w:rsid w:val="00954BBE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B25"/>
    <w:rsid w:val="00BC18B2"/>
    <w:rsid w:val="00BD33EE"/>
    <w:rsid w:val="00BE1CC7"/>
    <w:rsid w:val="00C106D6"/>
    <w:rsid w:val="00C119AE"/>
    <w:rsid w:val="00C2453F"/>
    <w:rsid w:val="00C60F0C"/>
    <w:rsid w:val="00C805C9"/>
    <w:rsid w:val="00C92939"/>
    <w:rsid w:val="00CA1679"/>
    <w:rsid w:val="00CB151C"/>
    <w:rsid w:val="00CE5A1A"/>
    <w:rsid w:val="00CF55F6"/>
    <w:rsid w:val="00D10A4F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22D35"/>
    <w:rsid w:val="00E73F76"/>
    <w:rsid w:val="00EA2C9F"/>
    <w:rsid w:val="00EA4142"/>
    <w:rsid w:val="00EA420E"/>
    <w:rsid w:val="00EB5AEF"/>
    <w:rsid w:val="00ED0BDA"/>
    <w:rsid w:val="00EE142A"/>
    <w:rsid w:val="00EF1360"/>
    <w:rsid w:val="00EF3220"/>
    <w:rsid w:val="00EF4D3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D98745-D151-4BB7-AE8E-DDB7E81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ECE/TRANS/WP.15/2017/16</vt:lpstr>
      <vt:lpstr>ECE/TRANS/WP.15/2017/16</vt:lpstr>
      <vt:lpstr>A/</vt:lpstr>
    </vt:vector>
  </TitlesOfParts>
  <Company>DCM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ECE/TRANS/WP.15/2017/16</dc:title>
  <dc:creator>Sharkina</dc:creator>
  <cp:lastModifiedBy>Christine Barrio-Champeau</cp:lastModifiedBy>
  <cp:revision>2</cp:revision>
  <cp:lastPrinted>2017-08-29T09:38:00Z</cp:lastPrinted>
  <dcterms:created xsi:type="dcterms:W3CDTF">2017-09-04T09:36:00Z</dcterms:created>
  <dcterms:modified xsi:type="dcterms:W3CDTF">2017-09-04T09:36:00Z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