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110C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110CC" w:rsidP="006110CC">
            <w:pPr>
              <w:jc w:val="right"/>
            </w:pPr>
            <w:r w:rsidRPr="006110CC">
              <w:rPr>
                <w:sz w:val="40"/>
              </w:rPr>
              <w:t>ECE</w:t>
            </w:r>
            <w:r>
              <w:t>/TRANS/WP.15/2017/20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110CC" w:rsidP="00C97039">
            <w:pPr>
              <w:spacing w:before="240"/>
            </w:pPr>
            <w:r>
              <w:t>Distr. générale</w:t>
            </w:r>
          </w:p>
          <w:p w:rsidR="006110CC" w:rsidRDefault="006110CC" w:rsidP="006110CC">
            <w:pPr>
              <w:spacing w:line="240" w:lineRule="exact"/>
            </w:pPr>
            <w:r>
              <w:t>23 août 2017</w:t>
            </w:r>
          </w:p>
          <w:p w:rsidR="006110CC" w:rsidRDefault="006110CC" w:rsidP="006110CC">
            <w:pPr>
              <w:spacing w:line="240" w:lineRule="exact"/>
            </w:pPr>
            <w:r>
              <w:t>Français</w:t>
            </w:r>
          </w:p>
          <w:p w:rsidR="006110CC" w:rsidRPr="00DB58B5" w:rsidRDefault="006110CC" w:rsidP="006110C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C3A4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E2E4F" w:rsidRPr="004E2E4F" w:rsidRDefault="004E2E4F" w:rsidP="004E2E4F">
      <w:pPr>
        <w:spacing w:before="120" w:after="120"/>
        <w:rPr>
          <w:b/>
          <w:sz w:val="24"/>
          <w:szCs w:val="24"/>
          <w:lang w:val="fr-FR"/>
        </w:rPr>
      </w:pPr>
      <w:r w:rsidRPr="004E2E4F">
        <w:rPr>
          <w:b/>
          <w:sz w:val="24"/>
          <w:szCs w:val="24"/>
          <w:lang w:val="fr-FR"/>
        </w:rPr>
        <w:t>Groupe de travail des transports de marchandises dangereuses</w:t>
      </w:r>
    </w:p>
    <w:p w:rsidR="004E2E4F" w:rsidRPr="00705F77" w:rsidRDefault="004E2E4F" w:rsidP="004E2E4F">
      <w:pPr>
        <w:rPr>
          <w:b/>
          <w:lang w:val="fr-FR"/>
        </w:rPr>
      </w:pPr>
      <w:r w:rsidRPr="00705F77">
        <w:rPr>
          <w:b/>
          <w:lang w:val="fr-FR"/>
        </w:rPr>
        <w:t>103</w:t>
      </w:r>
      <w:r w:rsidRPr="00705F77">
        <w:rPr>
          <w:b/>
          <w:vertAlign w:val="superscript"/>
          <w:lang w:val="fr-FR"/>
        </w:rPr>
        <w:t>e</w:t>
      </w:r>
      <w:r w:rsidRPr="00705F77">
        <w:rPr>
          <w:b/>
          <w:lang w:val="fr-FR"/>
        </w:rPr>
        <w:t xml:space="preserve"> session</w:t>
      </w:r>
    </w:p>
    <w:p w:rsidR="004E2E4F" w:rsidRPr="00705F77" w:rsidRDefault="004E2E4F" w:rsidP="004E2E4F">
      <w:pPr>
        <w:rPr>
          <w:lang w:val="fr-FR"/>
        </w:rPr>
      </w:pPr>
      <w:r w:rsidRPr="00705F77">
        <w:rPr>
          <w:lang w:val="fr-FR"/>
        </w:rPr>
        <w:t>Genève, 6-10 novembre 2017</w:t>
      </w:r>
    </w:p>
    <w:p w:rsidR="004E2E4F" w:rsidRPr="00705F77" w:rsidRDefault="004E2E4F" w:rsidP="004E2E4F">
      <w:pPr>
        <w:rPr>
          <w:lang w:val="fr-FR"/>
        </w:rPr>
      </w:pPr>
      <w:r w:rsidRPr="00705F77">
        <w:rPr>
          <w:lang w:val="fr-FR"/>
        </w:rPr>
        <w:t>Point 5 a) de l</w:t>
      </w:r>
      <w:r w:rsidR="00CC3A45">
        <w:rPr>
          <w:lang w:val="fr-FR"/>
        </w:rPr>
        <w:t>’</w:t>
      </w:r>
      <w:r w:rsidRPr="00705F77">
        <w:rPr>
          <w:lang w:val="fr-FR"/>
        </w:rPr>
        <w:t>ordre du jour provisoire</w:t>
      </w:r>
    </w:p>
    <w:p w:rsidR="004E2E4F" w:rsidRPr="00705F77" w:rsidRDefault="004E2E4F" w:rsidP="004E2E4F">
      <w:pPr>
        <w:rPr>
          <w:b/>
          <w:lang w:val="fr-FR"/>
        </w:rPr>
      </w:pPr>
      <w:r w:rsidRPr="00705F77">
        <w:rPr>
          <w:b/>
          <w:lang w:val="fr-FR"/>
        </w:rPr>
        <w:t>Propositions d</w:t>
      </w:r>
      <w:r w:rsidR="00CC3A45">
        <w:rPr>
          <w:b/>
          <w:lang w:val="fr-FR"/>
        </w:rPr>
        <w:t>’</w:t>
      </w:r>
      <w:r w:rsidRPr="00705F77">
        <w:rPr>
          <w:b/>
          <w:lang w:val="fr-FR"/>
        </w:rPr>
        <w:t>amendements aux annexes A et B de l</w:t>
      </w:r>
      <w:r w:rsidR="00CC3A45">
        <w:rPr>
          <w:b/>
          <w:lang w:val="fr-FR"/>
        </w:rPr>
        <w:t>’</w:t>
      </w:r>
      <w:r w:rsidRPr="00705F77">
        <w:rPr>
          <w:b/>
          <w:lang w:val="fr-FR"/>
        </w:rPr>
        <w:t>ADR :</w:t>
      </w:r>
    </w:p>
    <w:p w:rsidR="004E2E4F" w:rsidRPr="00705F77" w:rsidRDefault="006E33E5" w:rsidP="004E2E4F">
      <w:pPr>
        <w:rPr>
          <w:b/>
          <w:lang w:val="fr-FR"/>
        </w:rPr>
      </w:pPr>
      <w:r>
        <w:rPr>
          <w:b/>
          <w:lang w:val="fr-FR"/>
        </w:rPr>
        <w:t>c</w:t>
      </w:r>
      <w:r w:rsidR="004E2E4F" w:rsidRPr="00705F77">
        <w:rPr>
          <w:b/>
          <w:lang w:val="fr-FR"/>
        </w:rPr>
        <w:t>onstruction et agrément des véhicules</w:t>
      </w:r>
    </w:p>
    <w:p w:rsidR="004E2E4F" w:rsidRPr="00705F77" w:rsidRDefault="004E2E4F" w:rsidP="004E2E4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05F77">
        <w:rPr>
          <w:lang w:val="fr-FR"/>
        </w:rPr>
        <w:t>Clarificati</w:t>
      </w:r>
      <w:r w:rsidR="00EB58DB">
        <w:rPr>
          <w:lang w:val="fr-FR"/>
        </w:rPr>
        <w:t>on des prescriptions du 9.3.4.2</w:t>
      </w:r>
      <w:r w:rsidR="00EB58DB">
        <w:rPr>
          <w:lang w:val="fr-FR"/>
        </w:rPr>
        <w:br/>
      </w:r>
      <w:r w:rsidRPr="00705F77">
        <w:rPr>
          <w:lang w:val="fr-FR"/>
        </w:rPr>
        <w:t>pour les véhicules EX/II et EX/III</w:t>
      </w:r>
    </w:p>
    <w:p w:rsidR="004E2E4F" w:rsidRPr="00705F77" w:rsidRDefault="004E2E4F" w:rsidP="004E2E4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05F77">
        <w:rPr>
          <w:lang w:val="fr-FR"/>
        </w:rPr>
        <w:t>Communication du Gouvernement de l</w:t>
      </w:r>
      <w:r w:rsidR="00CC3A45">
        <w:rPr>
          <w:lang w:val="fr-FR"/>
        </w:rPr>
        <w:t>’</w:t>
      </w:r>
      <w:r w:rsidRPr="00705F77">
        <w:rPr>
          <w:lang w:val="fr-FR"/>
        </w:rPr>
        <w:t>Allemagne</w:t>
      </w:r>
      <w:r w:rsidRPr="00113CF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E2E4F" w:rsidTr="002561AF">
        <w:trPr>
          <w:jc w:val="center"/>
        </w:trPr>
        <w:tc>
          <w:tcPr>
            <w:tcW w:w="9637" w:type="dxa"/>
            <w:shd w:val="clear" w:color="auto" w:fill="auto"/>
          </w:tcPr>
          <w:p w:rsidR="004E2E4F" w:rsidRPr="000001E7" w:rsidRDefault="004E2E4F" w:rsidP="002561A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4E2E4F" w:rsidTr="002561AF">
        <w:trPr>
          <w:jc w:val="center"/>
        </w:trPr>
        <w:tc>
          <w:tcPr>
            <w:tcW w:w="9637" w:type="dxa"/>
            <w:shd w:val="clear" w:color="auto" w:fill="auto"/>
          </w:tcPr>
          <w:p w:rsidR="004E2E4F" w:rsidRDefault="004E2E4F" w:rsidP="002561AF">
            <w:pPr>
              <w:pStyle w:val="SingleTxtG"/>
              <w:ind w:left="2552" w:hanging="2268"/>
            </w:pPr>
            <w:r>
              <w:rPr>
                <w:b/>
              </w:rPr>
              <w:t>Résumé analytique </w:t>
            </w:r>
            <w:r w:rsidRPr="00EB58DB">
              <w:t>:</w:t>
            </w:r>
            <w:r>
              <w:rPr>
                <w:b/>
              </w:rPr>
              <w:tab/>
            </w:r>
            <w:r w:rsidRPr="00705F77">
              <w:rPr>
                <w:szCs w:val="22"/>
                <w:lang w:val="fr-FR"/>
              </w:rPr>
              <w:t>Clarification des prescriptions du 9.3.4.2 de l</w:t>
            </w:r>
            <w:r w:rsidR="00CC3A45">
              <w:rPr>
                <w:szCs w:val="22"/>
                <w:lang w:val="fr-FR"/>
              </w:rPr>
              <w:t>’</w:t>
            </w:r>
            <w:r w:rsidRPr="00705F77">
              <w:rPr>
                <w:szCs w:val="22"/>
                <w:lang w:val="fr-FR"/>
              </w:rPr>
              <w:t>ADR pour les véhicules EX/II et EX/III. La sous-section 9.3.4.2 énonce l</w:t>
            </w:r>
            <w:r w:rsidR="00CC3A45">
              <w:rPr>
                <w:szCs w:val="22"/>
                <w:lang w:val="fr-FR"/>
              </w:rPr>
              <w:t>’</w:t>
            </w:r>
            <w:r w:rsidRPr="00705F77">
              <w:rPr>
                <w:szCs w:val="22"/>
                <w:lang w:val="fr-FR"/>
              </w:rPr>
              <w:t>objectif</w:t>
            </w:r>
            <w:r w:rsidR="00074C1B">
              <w:rPr>
                <w:szCs w:val="22"/>
                <w:lang w:val="fr-FR"/>
              </w:rPr>
              <w:t xml:space="preserve"> </w:t>
            </w:r>
            <w:r w:rsidRPr="00705F77">
              <w:rPr>
                <w:szCs w:val="22"/>
                <w:lang w:val="fr-FR"/>
              </w:rPr>
              <w:t>de protection visant à empêcher</w:t>
            </w:r>
            <w:r w:rsidR="00074C1B">
              <w:rPr>
                <w:szCs w:val="22"/>
                <w:lang w:val="fr-FR"/>
              </w:rPr>
              <w:t xml:space="preserve"> </w:t>
            </w:r>
            <w:r>
              <w:rPr>
                <w:szCs w:val="22"/>
                <w:lang w:val="fr-FR"/>
              </w:rPr>
              <w:t>l</w:t>
            </w:r>
            <w:r w:rsidR="00CC3A4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échauffement de</w:t>
            </w:r>
            <w:r w:rsidRPr="00705F77">
              <w:rPr>
                <w:szCs w:val="22"/>
                <w:lang w:val="fr-FR"/>
              </w:rPr>
              <w:t xml:space="preserve"> la caisse du véhicule au moyen de matériaux résistants à la chaleur et aux flammes.</w:t>
            </w:r>
          </w:p>
        </w:tc>
      </w:tr>
      <w:tr w:rsidR="004E2E4F" w:rsidTr="002561AF">
        <w:trPr>
          <w:jc w:val="center"/>
        </w:trPr>
        <w:tc>
          <w:tcPr>
            <w:tcW w:w="9637" w:type="dxa"/>
            <w:shd w:val="clear" w:color="auto" w:fill="auto"/>
          </w:tcPr>
          <w:p w:rsidR="004E2E4F" w:rsidRDefault="004E2E4F" w:rsidP="002561AF">
            <w:pPr>
              <w:pStyle w:val="SingleTxtG"/>
              <w:ind w:left="2552" w:hanging="2268"/>
            </w:pPr>
            <w:r>
              <w:rPr>
                <w:b/>
              </w:rPr>
              <w:t>Mesure à prendre </w:t>
            </w:r>
            <w:r w:rsidRPr="00EB58DB">
              <w:t>:</w:t>
            </w:r>
            <w:r>
              <w:rPr>
                <w:b/>
              </w:rPr>
              <w:tab/>
            </w:r>
            <w:r w:rsidRPr="00705F77">
              <w:rPr>
                <w:lang w:val="fr-FR"/>
              </w:rPr>
              <w:t>Modifier la troisième phrase du 9.3.4.2 relative aux prescriptions pour les véhicules EX/II et EX/III.</w:t>
            </w:r>
          </w:p>
        </w:tc>
      </w:tr>
      <w:tr w:rsidR="004E2E4F" w:rsidTr="002561AF">
        <w:trPr>
          <w:jc w:val="center"/>
        </w:trPr>
        <w:tc>
          <w:tcPr>
            <w:tcW w:w="9637" w:type="dxa"/>
            <w:shd w:val="clear" w:color="auto" w:fill="auto"/>
          </w:tcPr>
          <w:p w:rsidR="004E2E4F" w:rsidRDefault="004E2E4F" w:rsidP="002561AF">
            <w:pPr>
              <w:pStyle w:val="SingleTxtG"/>
              <w:ind w:left="2552" w:hanging="2268"/>
              <w:jc w:val="left"/>
              <w:rPr>
                <w:b/>
              </w:rPr>
            </w:pPr>
            <w:r w:rsidRPr="002A566C">
              <w:rPr>
                <w:b/>
              </w:rPr>
              <w:t>Documents de référence</w:t>
            </w:r>
            <w:r>
              <w:rPr>
                <w:b/>
              </w:rPr>
              <w:t> </w:t>
            </w:r>
            <w:r w:rsidRPr="00EB58DB">
              <w:t>:</w:t>
            </w:r>
            <w:r>
              <w:rPr>
                <w:b/>
              </w:rPr>
              <w:tab/>
            </w:r>
            <w:r w:rsidRPr="00705F77">
              <w:rPr>
                <w:rFonts w:eastAsia="Arial"/>
                <w:lang w:val="fr-FR"/>
              </w:rPr>
              <w:t>Document informel INF.6 (Allemagne) soumis à la réunion de mai 2017 et rapport du Groupe de travail sur sa 102</w:t>
            </w:r>
            <w:r w:rsidRPr="00705F77">
              <w:rPr>
                <w:rFonts w:eastAsia="Arial"/>
                <w:vertAlign w:val="superscript"/>
                <w:lang w:val="fr-FR"/>
              </w:rPr>
              <w:t>e</w:t>
            </w:r>
            <w:r w:rsidRPr="00705F77">
              <w:rPr>
                <w:rFonts w:eastAsia="Arial"/>
                <w:lang w:val="fr-FR"/>
              </w:rPr>
              <w:t xml:space="preserve"> session</w:t>
            </w:r>
            <w:r>
              <w:rPr>
                <w:rFonts w:eastAsia="Arial"/>
                <w:lang w:val="fr-FR"/>
              </w:rPr>
              <w:t xml:space="preserve"> </w:t>
            </w:r>
            <w:r w:rsidRPr="00705F77">
              <w:rPr>
                <w:lang w:val="fr-FR"/>
              </w:rPr>
              <w:t>(ECE/TRANS/WP.15/237, par. 20 à 23) ; document informel INF.5 (Pays-Bas) soumis à la réunion de novembre 2015 et rapport du Groupe de travail sur sa quatre-vingt-dix-neuvième session (ECE/TRANS/WP.15/230, par. 12 à 15) ; document ECE/TRANS/WP.15/2011/14 (France) et rapport du Groupe de travail sur sa quatre-vingt-onzième session</w:t>
            </w:r>
            <w:r>
              <w:rPr>
                <w:lang w:val="fr-FR"/>
              </w:rPr>
              <w:t xml:space="preserve"> </w:t>
            </w:r>
            <w:r w:rsidRPr="00705F77">
              <w:rPr>
                <w:lang w:val="fr-FR"/>
              </w:rPr>
              <w:t>(ECE/TRANS/WP.15/212, par. 9) ; rapport du Groupe de travail sur sa soixante-quatorzième session (ECE/TRANS/WP.15/174, par. 52 à 54).</w:t>
            </w:r>
          </w:p>
        </w:tc>
      </w:tr>
      <w:tr w:rsidR="004E2E4F" w:rsidTr="002561AF">
        <w:trPr>
          <w:jc w:val="center"/>
        </w:trPr>
        <w:tc>
          <w:tcPr>
            <w:tcW w:w="9637" w:type="dxa"/>
            <w:shd w:val="clear" w:color="auto" w:fill="auto"/>
          </w:tcPr>
          <w:p w:rsidR="004E2E4F" w:rsidRDefault="004E2E4F" w:rsidP="002561AF"/>
        </w:tc>
      </w:tr>
    </w:tbl>
    <w:p w:rsidR="004E2E4F" w:rsidRPr="00705F77" w:rsidRDefault="004E2E4F" w:rsidP="004E2E4F">
      <w:pPr>
        <w:pStyle w:val="HChG"/>
        <w:rPr>
          <w:lang w:val="fr-FR"/>
        </w:rPr>
      </w:pPr>
      <w:r w:rsidRPr="00705F77">
        <w:rPr>
          <w:lang w:val="fr-FR"/>
        </w:rPr>
        <w:lastRenderedPageBreak/>
        <w:tab/>
      </w:r>
      <w:r w:rsidRPr="00705F77">
        <w:rPr>
          <w:lang w:val="fr-FR"/>
        </w:rPr>
        <w:tab/>
        <w:t>Introduction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1.</w:t>
      </w:r>
      <w:r w:rsidRPr="00705F77">
        <w:rPr>
          <w:lang w:val="fr-FR"/>
        </w:rPr>
        <w:tab/>
        <w:t>Le texte actuel du 9.3.4.2 de l</w:t>
      </w:r>
      <w:r w:rsidR="00CC3A45">
        <w:rPr>
          <w:lang w:val="fr-FR"/>
        </w:rPr>
        <w:t>’</w:t>
      </w:r>
      <w:r w:rsidRPr="00705F77">
        <w:rPr>
          <w:lang w:val="fr-FR"/>
        </w:rPr>
        <w:t>ADR donne lieu en Allemagne à différentes interprétations s</w:t>
      </w:r>
      <w:r w:rsidR="00CC3A45">
        <w:rPr>
          <w:lang w:val="fr-FR"/>
        </w:rPr>
        <w:t>’</w:t>
      </w:r>
      <w:r w:rsidRPr="00705F77">
        <w:rPr>
          <w:lang w:val="fr-FR"/>
        </w:rPr>
        <w:t>agissant des matériaux à utiliser pour construire la caisse, d</w:t>
      </w:r>
      <w:r w:rsidR="00CC3A45">
        <w:rPr>
          <w:lang w:val="fr-FR"/>
        </w:rPr>
        <w:t>’</w:t>
      </w:r>
      <w:r w:rsidRPr="00705F77">
        <w:rPr>
          <w:lang w:val="fr-FR"/>
        </w:rPr>
        <w:t>où la soumission, par le Gouvernement allemand au Groupe de travail à sa 102</w:t>
      </w:r>
      <w:r w:rsidRPr="00705F77">
        <w:rPr>
          <w:vertAlign w:val="superscript"/>
          <w:lang w:val="fr-FR"/>
        </w:rPr>
        <w:t>e</w:t>
      </w:r>
      <w:r w:rsidRPr="00705F77">
        <w:rPr>
          <w:lang w:val="fr-FR"/>
        </w:rPr>
        <w:t xml:space="preserve"> session (Genève, 8-11 mai 2017), du document informel INF.6 portant sur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interprétation des prescriptions </w:t>
      </w:r>
      <w:r w:rsidRPr="00705F77">
        <w:rPr>
          <w:szCs w:val="22"/>
          <w:lang w:val="fr-FR"/>
        </w:rPr>
        <w:t>du 9.3.4.2 pour les véhicules EX/II et EX/III.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2.</w:t>
      </w:r>
      <w:r w:rsidRPr="00705F77">
        <w:rPr>
          <w:lang w:val="fr-FR"/>
        </w:rPr>
        <w:tab/>
        <w:t>Le point de départ des discussions menées à la 102</w:t>
      </w:r>
      <w:r w:rsidRPr="00705F77">
        <w:rPr>
          <w:vertAlign w:val="superscript"/>
          <w:lang w:val="fr-FR"/>
        </w:rPr>
        <w:t>e</w:t>
      </w:r>
      <w:r w:rsidRPr="00705F77">
        <w:rPr>
          <w:lang w:val="fr-FR"/>
        </w:rPr>
        <w:t xml:space="preserve"> session du Groupe de travail était la question soulevée dans le document informel INF.6,</w:t>
      </w:r>
      <w:r w:rsidR="00074C1B">
        <w:rPr>
          <w:lang w:val="fr-FR"/>
        </w:rPr>
        <w:t xml:space="preserve"> </w:t>
      </w:r>
      <w:r>
        <w:rPr>
          <w:lang w:val="fr-FR"/>
        </w:rPr>
        <w:t>à</w:t>
      </w:r>
      <w:r w:rsidRPr="00705F77">
        <w:rPr>
          <w:lang w:val="fr-FR"/>
        </w:rPr>
        <w:t xml:space="preserve"> savoir comment les prescriptions du 9.3.4.2 pour les véhicules EX/III devaient être interprétées lorsque le matériau utilisé pour construire la caisse n</w:t>
      </w:r>
      <w:r w:rsidR="00CC3A45">
        <w:rPr>
          <w:lang w:val="fr-FR"/>
        </w:rPr>
        <w:t>’</w:t>
      </w:r>
      <w:r w:rsidRPr="00705F77">
        <w:rPr>
          <w:lang w:val="fr-FR"/>
        </w:rPr>
        <w:t>était pas du métal pur, mais un matériau composite constitué de couches inséparables (panneau sandwich) et lorsque le matériau se composait d</w:t>
      </w:r>
      <w:r w:rsidR="00CC3A45">
        <w:rPr>
          <w:lang w:val="fr-FR"/>
        </w:rPr>
        <w:t>’</w:t>
      </w:r>
      <w:r w:rsidRPr="00705F77">
        <w:rPr>
          <w:lang w:val="fr-FR"/>
        </w:rPr>
        <w:t>une feuille de matière plastique à l</w:t>
      </w:r>
      <w:r w:rsidR="00CC3A45">
        <w:rPr>
          <w:lang w:val="fr-FR"/>
        </w:rPr>
        <w:t>’</w:t>
      </w:r>
      <w:r w:rsidRPr="00705F77">
        <w:rPr>
          <w:lang w:val="fr-FR"/>
        </w:rPr>
        <w:t>extérieur, d</w:t>
      </w:r>
      <w:r w:rsidR="00CC3A45">
        <w:rPr>
          <w:lang w:val="fr-FR"/>
        </w:rPr>
        <w:t>’</w:t>
      </w:r>
      <w:r w:rsidRPr="00705F77">
        <w:rPr>
          <w:lang w:val="fr-FR"/>
        </w:rPr>
        <w:t>une couche de mousse isolante au milieu et d</w:t>
      </w:r>
      <w:r w:rsidR="00CC3A45">
        <w:rPr>
          <w:lang w:val="fr-FR"/>
        </w:rPr>
        <w:t>’</w:t>
      </w:r>
      <w:r w:rsidRPr="00705F77">
        <w:rPr>
          <w:lang w:val="fr-FR"/>
        </w:rPr>
        <w:t>une fine feuille de métal avec revêtement à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intérieur.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3.</w:t>
      </w:r>
      <w:r w:rsidRPr="00705F77">
        <w:rPr>
          <w:lang w:val="fr-FR"/>
        </w:rPr>
        <w:tab/>
        <w:t>Dans le document informel INF.6, l</w:t>
      </w:r>
      <w:r w:rsidR="00CC3A45">
        <w:rPr>
          <w:lang w:val="fr-FR"/>
        </w:rPr>
        <w:t>’</w:t>
      </w:r>
      <w:r w:rsidRPr="00705F77">
        <w:rPr>
          <w:lang w:val="fr-FR"/>
        </w:rPr>
        <w:t>Allemagne expliquait que les objectifs à atteindre en matière de sécurité n</w:t>
      </w:r>
      <w:r w:rsidR="00CC3A45">
        <w:rPr>
          <w:lang w:val="fr-FR"/>
        </w:rPr>
        <w:t>’</w:t>
      </w:r>
      <w:r w:rsidRPr="00705F77">
        <w:rPr>
          <w:lang w:val="fr-FR"/>
        </w:rPr>
        <w:t>étaient pas, au 9.3.4.2, suffisamment décrits ou présentés comme étant impératifs, si bien qu</w:t>
      </w:r>
      <w:r w:rsidR="00CC3A45">
        <w:rPr>
          <w:lang w:val="fr-FR"/>
        </w:rPr>
        <w:t>’</w:t>
      </w:r>
      <w:r w:rsidRPr="00705F77">
        <w:rPr>
          <w:lang w:val="fr-FR"/>
        </w:rPr>
        <w:t>aucune application dépourvue de toute ambiguïté n</w:t>
      </w:r>
      <w:r w:rsidR="00CC3A45">
        <w:rPr>
          <w:lang w:val="fr-FR"/>
        </w:rPr>
        <w:t>’</w:t>
      </w:r>
      <w:r w:rsidRPr="00705F77">
        <w:rPr>
          <w:lang w:val="fr-FR"/>
        </w:rPr>
        <w:t>était possible.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4.</w:t>
      </w:r>
      <w:r w:rsidRPr="00705F77">
        <w:rPr>
          <w:lang w:val="fr-FR"/>
        </w:rPr>
        <w:tab/>
        <w:t>Au cours des discussions, il a été souligné que, dans le document informel INF.5 soumis au Groupe de travail à sa quatre-vingt-dix-neuvième session (novembre 2015), les Pays-Bas</w:t>
      </w:r>
      <w:r w:rsidR="00074C1B">
        <w:rPr>
          <w:lang w:val="fr-FR"/>
        </w:rPr>
        <w:t xml:space="preserve"> </w:t>
      </w:r>
      <w:r>
        <w:rPr>
          <w:lang w:val="fr-FR"/>
        </w:rPr>
        <w:t xml:space="preserve">avaient </w:t>
      </w:r>
      <w:r w:rsidRPr="00705F77">
        <w:rPr>
          <w:lang w:val="fr-FR"/>
        </w:rPr>
        <w:t xml:space="preserve">déjà </w:t>
      </w:r>
      <w:r>
        <w:rPr>
          <w:lang w:val="fr-FR"/>
        </w:rPr>
        <w:t xml:space="preserve">sollicité </w:t>
      </w:r>
      <w:r w:rsidRPr="00705F77">
        <w:rPr>
          <w:lang w:val="fr-FR"/>
        </w:rPr>
        <w:t>la clarification des prescriptions du 9.3.4.2,</w:t>
      </w:r>
      <w:r w:rsidR="00074C1B">
        <w:rPr>
          <w:lang w:val="fr-FR"/>
        </w:rPr>
        <w:t xml:space="preserve"> </w:t>
      </w:r>
      <w:r>
        <w:rPr>
          <w:lang w:val="fr-FR"/>
        </w:rPr>
        <w:t>également</w:t>
      </w:r>
      <w:r w:rsidRPr="00705F77">
        <w:rPr>
          <w:lang w:val="fr-FR"/>
        </w:rPr>
        <w:t xml:space="preserve"> en ce qui concernait les matériaux à utiliser pour construire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intérieur de la caisse des véhicules EX/III.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5.</w:t>
      </w:r>
      <w:r w:rsidRPr="00705F77">
        <w:rPr>
          <w:lang w:val="fr-FR"/>
        </w:rPr>
        <w:tab/>
        <w:t>Ci-dessous figure un extrait du rapport du Groupe de travail sur sa quatre-vingt-dix-neuvième session (ECE/TRANS/WP.15/230, par. 12 à 14) :</w:t>
      </w:r>
    </w:p>
    <w:p w:rsidR="004E2E4F" w:rsidRPr="00705F77" w:rsidRDefault="004E2E4F" w:rsidP="00A110E5">
      <w:pPr>
        <w:pStyle w:val="SingleTxtG"/>
        <w:ind w:left="1701" w:firstLine="567"/>
        <w:rPr>
          <w:lang w:val="fr-FR"/>
        </w:rPr>
      </w:pPr>
      <w:r w:rsidRPr="00705F77">
        <w:rPr>
          <w:lang w:val="fr-FR"/>
        </w:rPr>
        <w:t>« Les délégations qui se sont prononcées considéraient que l</w:t>
      </w:r>
      <w:r w:rsidR="00CC3A45">
        <w:rPr>
          <w:lang w:val="fr-FR"/>
        </w:rPr>
        <w:t>’</w:t>
      </w:r>
      <w:r w:rsidRPr="00705F77">
        <w:rPr>
          <w:lang w:val="fr-FR"/>
        </w:rPr>
        <w:t>intention de la sous-section 9.3.4.2 de l</w:t>
      </w:r>
      <w:r w:rsidR="00CC3A45">
        <w:rPr>
          <w:lang w:val="fr-FR"/>
        </w:rPr>
        <w:t>’</w:t>
      </w:r>
      <w:r w:rsidRPr="00705F77">
        <w:rPr>
          <w:lang w:val="fr-FR"/>
        </w:rPr>
        <w:t>ADR était bien de protéger le chargement contre des sources de chaleur et des flammes extérieures.</w:t>
      </w:r>
    </w:p>
    <w:p w:rsidR="004E2E4F" w:rsidRPr="00705F77" w:rsidRDefault="004E2E4F" w:rsidP="00A110E5">
      <w:pPr>
        <w:pStyle w:val="SingleTxtG"/>
        <w:ind w:left="1701" w:firstLine="567"/>
        <w:rPr>
          <w:lang w:val="fr-FR"/>
        </w:rPr>
      </w:pPr>
      <w:r w:rsidRPr="00705F77">
        <w:rPr>
          <w:lang w:val="fr-FR"/>
        </w:rPr>
        <w:t>Il a été rappelé que le Groupe de travail, à sa quatre-vingt-onzième session (novembre 2011) (ECE/TRANS/WP.15/212</w:t>
      </w:r>
      <w:r w:rsidR="00405E20">
        <w:rPr>
          <w:lang w:val="fr-FR"/>
        </w:rPr>
        <w:t>, par. </w:t>
      </w:r>
      <w:r w:rsidRPr="00705F77">
        <w:rPr>
          <w:lang w:val="fr-FR"/>
        </w:rPr>
        <w:t>9), avait confirmé que l</w:t>
      </w:r>
      <w:r w:rsidR="00CC3A45">
        <w:rPr>
          <w:lang w:val="fr-FR"/>
        </w:rPr>
        <w:t>’</w:t>
      </w:r>
      <w:r w:rsidRPr="00705F77">
        <w:rPr>
          <w:lang w:val="fr-FR"/>
        </w:rPr>
        <w:t>ADR n</w:t>
      </w:r>
      <w:r w:rsidR="00CC3A45">
        <w:rPr>
          <w:lang w:val="fr-FR"/>
        </w:rPr>
        <w:t>’</w:t>
      </w:r>
      <w:r w:rsidRPr="00705F77">
        <w:rPr>
          <w:lang w:val="fr-FR"/>
        </w:rPr>
        <w:t>interdisait pas l</w:t>
      </w:r>
      <w:r w:rsidR="00CC3A45">
        <w:rPr>
          <w:lang w:val="fr-FR"/>
        </w:rPr>
        <w:t>’</w:t>
      </w:r>
      <w:r w:rsidRPr="00705F77">
        <w:rPr>
          <w:lang w:val="fr-FR"/>
        </w:rPr>
        <w:t>utilisation de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aluminium dans la composition de la caisse des véhicules EX/III. </w:t>
      </w:r>
    </w:p>
    <w:p w:rsidR="004E2E4F" w:rsidRPr="00705F77" w:rsidRDefault="004E2E4F" w:rsidP="00A110E5">
      <w:pPr>
        <w:pStyle w:val="SingleTxtG"/>
        <w:ind w:left="1701" w:firstLine="567"/>
        <w:rPr>
          <w:lang w:val="fr-FR"/>
        </w:rPr>
      </w:pPr>
      <w:r w:rsidRPr="00705F77">
        <w:rPr>
          <w:lang w:val="fr-FR"/>
        </w:rPr>
        <w:t>Il n</w:t>
      </w:r>
      <w:r w:rsidR="00CC3A45">
        <w:rPr>
          <w:lang w:val="fr-FR"/>
        </w:rPr>
        <w:t>’</w:t>
      </w:r>
      <w:r w:rsidRPr="00705F77">
        <w:rPr>
          <w:lang w:val="fr-FR"/>
        </w:rPr>
        <w:t>y a pas eu de consensus sur la question de pouvoir ou non avoir des parties métalliques à l</w:t>
      </w:r>
      <w:r w:rsidR="00CC3A45">
        <w:rPr>
          <w:lang w:val="fr-FR"/>
        </w:rPr>
        <w:t>’</w:t>
      </w:r>
      <w:r w:rsidRPr="00705F77">
        <w:rPr>
          <w:lang w:val="fr-FR"/>
        </w:rPr>
        <w:t>intérieur de la caisse du véhicule. La plupart des délégations qui se sont prononcées considéraient que les parties métalliques étaient autorisées dès lors qu</w:t>
      </w:r>
      <w:r w:rsidR="00CC3A45">
        <w:rPr>
          <w:lang w:val="fr-FR"/>
        </w:rPr>
        <w:t>’</w:t>
      </w:r>
      <w:r w:rsidRPr="00705F77">
        <w:rPr>
          <w:lang w:val="fr-FR"/>
        </w:rPr>
        <w:t>elles étaient fixées sur des parois qui garantissaient elles-mêmes une isolation suffisante aux flammes et à la chaleur. ».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6.</w:t>
      </w:r>
      <w:r w:rsidRPr="00705F77">
        <w:rPr>
          <w:lang w:val="fr-FR"/>
        </w:rPr>
        <w:tab/>
        <w:t>En conséquence, il a été considéré qu</w:t>
      </w:r>
      <w:r w:rsidR="00CC3A45">
        <w:rPr>
          <w:lang w:val="fr-FR"/>
        </w:rPr>
        <w:t>’</w:t>
      </w:r>
      <w:r w:rsidRPr="00705F77">
        <w:rPr>
          <w:lang w:val="fr-FR"/>
        </w:rPr>
        <w:t>il serait souhaitable de clarifier le texte du 9.3.4.2 au moyen d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une nouvelle proposition tenant compte des innovations technologiques.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7.</w:t>
      </w:r>
      <w:r w:rsidRPr="00705F77">
        <w:rPr>
          <w:lang w:val="fr-FR"/>
        </w:rPr>
        <w:tab/>
        <w:t>De par la manière dont il est actuellement formulé, le 9.3.4.2 suggère que sa troisième phrase doit être interprétée comme signifiant que le matériau utilisé pour couvrir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intérieur de la caisse peut être métallique si les prescriptions énoncées dans la deuxième phrase sont satisfaites.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8.</w:t>
      </w:r>
      <w:r w:rsidRPr="00705F77">
        <w:rPr>
          <w:lang w:val="fr-FR"/>
        </w:rPr>
        <w:tab/>
        <w:t xml:space="preserve">À sa dernière session (mai 2017), le Groupe de travail a accepté que les prescriptions techniques du 9.3.4.2 relatives à la construction des véhicules EX/III soient clarifiées en tenant compte des innovations technologiques.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9.</w:t>
      </w:r>
      <w:r w:rsidRPr="00705F77">
        <w:rPr>
          <w:lang w:val="fr-FR"/>
        </w:rPr>
        <w:tab/>
        <w:t>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Allemagne </w:t>
      </w:r>
      <w:r>
        <w:rPr>
          <w:lang w:val="fr-FR"/>
        </w:rPr>
        <w:t>a alors</w:t>
      </w:r>
      <w:r w:rsidRPr="00705F77">
        <w:rPr>
          <w:lang w:val="fr-FR"/>
        </w:rPr>
        <w:t xml:space="preserve"> demandé aux délégations de lui faire parvenir par écrit leurs observations et/ou données techniques avant fin juillet 2017, aux fins de l</w:t>
      </w:r>
      <w:r w:rsidR="00CC3A45">
        <w:rPr>
          <w:lang w:val="fr-FR"/>
        </w:rPr>
        <w:t>’</w:t>
      </w:r>
      <w:r w:rsidRPr="00705F77">
        <w:rPr>
          <w:lang w:val="fr-FR"/>
        </w:rPr>
        <w:t>élaboration d</w:t>
      </w:r>
      <w:r w:rsidR="00CC3A45">
        <w:rPr>
          <w:lang w:val="fr-FR"/>
        </w:rPr>
        <w:t>’</w:t>
      </w:r>
      <w:r w:rsidRPr="00705F77">
        <w:rPr>
          <w:lang w:val="fr-FR"/>
        </w:rPr>
        <w:t>une proposition dans ce sens. Elle souhaite remercier les experts des Pays-Bas de lui avoir communiqué leurs observations.</w:t>
      </w:r>
    </w:p>
    <w:p w:rsidR="004E2E4F" w:rsidRPr="00705F77" w:rsidRDefault="004E2E4F" w:rsidP="00A110E5">
      <w:pPr>
        <w:pStyle w:val="SingleTxtG"/>
        <w:keepNext/>
        <w:keepLines/>
        <w:rPr>
          <w:lang w:val="fr-FR"/>
        </w:rPr>
      </w:pPr>
      <w:r w:rsidRPr="00705F77">
        <w:rPr>
          <w:lang w:val="fr-FR"/>
        </w:rPr>
        <w:lastRenderedPageBreak/>
        <w:t>10.</w:t>
      </w:r>
      <w:r w:rsidRPr="00705F77">
        <w:rPr>
          <w:lang w:val="fr-FR"/>
        </w:rPr>
        <w:tab/>
        <w:t>Le 9.3.4.2 spécifie quels matériaux peuvent être utilisés pour construire la caisse. Cette dernière doit être résistante à la chaleur et aux flammes, et ses parois doivent avoir une épaisseur d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au moins 10 mm. Les matériaux doivent satisfaire aux prescriptions de la </w:t>
      </w:r>
      <w:r w:rsidR="00405E20">
        <w:rPr>
          <w:lang w:val="fr-FR"/>
        </w:rPr>
        <w:t>norme EN </w:t>
      </w:r>
      <w:r w:rsidR="00A110E5">
        <w:rPr>
          <w:lang w:val="fr-FR"/>
        </w:rPr>
        <w:t>13501-1</w:t>
      </w:r>
      <w:r w:rsidRPr="00705F77">
        <w:rPr>
          <w:lang w:val="fr-FR"/>
        </w:rPr>
        <w:t xml:space="preserve"> </w:t>
      </w:r>
      <w:r>
        <w:rPr>
          <w:lang w:val="fr-FR"/>
        </w:rPr>
        <w:t xml:space="preserve">applicables aux </w:t>
      </w:r>
      <w:r w:rsidRPr="00705F77">
        <w:rPr>
          <w:lang w:val="fr-FR"/>
        </w:rPr>
        <w:t>matériaux affectés à la classe B-S3-d2</w:t>
      </w:r>
      <w:r w:rsidR="00A110E5">
        <w:rPr>
          <w:lang w:val="fr-FR"/>
        </w:rPr>
        <w:t>. Les </w:t>
      </w:r>
      <w:r w:rsidRPr="00705F77">
        <w:rPr>
          <w:lang w:val="fr-FR"/>
        </w:rPr>
        <w:t>prescriptions du 9.3.4.2 pour les véhicules EX/II et EX/III</w:t>
      </w:r>
      <w:r w:rsidR="00074C1B">
        <w:rPr>
          <w:lang w:val="fr-FR"/>
        </w:rPr>
        <w:t xml:space="preserve"> </w:t>
      </w:r>
      <w:r>
        <w:rPr>
          <w:lang w:val="fr-FR"/>
        </w:rPr>
        <w:t>répondent</w:t>
      </w:r>
      <w:r w:rsidRPr="00705F77">
        <w:rPr>
          <w:lang w:val="fr-FR"/>
        </w:rPr>
        <w:t xml:space="preserve"> donc </w:t>
      </w:r>
      <w:r>
        <w:rPr>
          <w:lang w:val="fr-FR"/>
        </w:rPr>
        <w:t xml:space="preserve">à </w:t>
      </w:r>
      <w:r w:rsidRPr="00705F77">
        <w:rPr>
          <w:lang w:val="fr-FR"/>
        </w:rPr>
        <w:t>l</w:t>
      </w:r>
      <w:r w:rsidR="00CC3A45">
        <w:rPr>
          <w:lang w:val="fr-FR"/>
        </w:rPr>
        <w:t>’</w:t>
      </w:r>
      <w:r w:rsidRPr="00705F77">
        <w:rPr>
          <w:lang w:val="fr-FR"/>
        </w:rPr>
        <w:t>objectif</w:t>
      </w:r>
      <w:r w:rsidR="00074C1B">
        <w:rPr>
          <w:lang w:val="fr-FR"/>
        </w:rPr>
        <w:t xml:space="preserve"> </w:t>
      </w:r>
      <w:r w:rsidRPr="00705F77">
        <w:rPr>
          <w:lang w:val="fr-FR"/>
        </w:rPr>
        <w:t>de protection visant à empêcher</w:t>
      </w:r>
      <w:r w:rsidR="00074C1B">
        <w:rPr>
          <w:lang w:val="fr-FR"/>
        </w:rPr>
        <w:t xml:space="preserve"> </w:t>
      </w:r>
      <w:r>
        <w:rPr>
          <w:lang w:val="fr-FR"/>
        </w:rPr>
        <w:t>l</w:t>
      </w:r>
      <w:r w:rsidR="00CC3A45">
        <w:rPr>
          <w:lang w:val="fr-FR"/>
        </w:rPr>
        <w:t>’</w:t>
      </w:r>
      <w:r>
        <w:rPr>
          <w:lang w:val="fr-FR"/>
        </w:rPr>
        <w:t>échauffement de</w:t>
      </w:r>
      <w:r w:rsidRPr="00705F77">
        <w:rPr>
          <w:lang w:val="fr-FR"/>
        </w:rPr>
        <w:t xml:space="preserve"> la caisse du véhicule par l</w:t>
      </w:r>
      <w:r w:rsidR="00CC3A45">
        <w:rPr>
          <w:lang w:val="fr-FR"/>
        </w:rPr>
        <w:t>’</w:t>
      </w:r>
      <w:r w:rsidRPr="00705F77">
        <w:rPr>
          <w:lang w:val="fr-FR"/>
        </w:rPr>
        <w:t>utilisation de matériaux résistant à la chaleur et aux flammes.</w:t>
      </w:r>
    </w:p>
    <w:p w:rsidR="004E2E4F" w:rsidRPr="00705F77" w:rsidRDefault="00AA436C" w:rsidP="00AA436C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="004E2E4F" w:rsidRPr="00705F77">
        <w:rPr>
          <w:lang w:val="fr-FR"/>
        </w:rPr>
        <w:t>L</w:t>
      </w:r>
      <w:r w:rsidR="00CC3A45">
        <w:rPr>
          <w:lang w:val="fr-FR"/>
        </w:rPr>
        <w:t>’</w:t>
      </w:r>
      <w:r w:rsidR="004E2E4F" w:rsidRPr="00705F77">
        <w:rPr>
          <w:lang w:val="fr-FR"/>
        </w:rPr>
        <w:t>Allemagne estime que le 9.3.4.2 pourrait être reformulé afin d</w:t>
      </w:r>
      <w:r w:rsidR="00CC3A45">
        <w:rPr>
          <w:lang w:val="fr-FR"/>
        </w:rPr>
        <w:t>’</w:t>
      </w:r>
      <w:r w:rsidR="004E2E4F" w:rsidRPr="00705F77">
        <w:rPr>
          <w:lang w:val="fr-FR"/>
        </w:rPr>
        <w:t>en clarifier les prescriptions ainsi que l</w:t>
      </w:r>
      <w:r w:rsidR="00CC3A45">
        <w:rPr>
          <w:lang w:val="fr-FR"/>
        </w:rPr>
        <w:t>’</w:t>
      </w:r>
      <w:r w:rsidR="004E2E4F" w:rsidRPr="00705F77">
        <w:rPr>
          <w:lang w:val="fr-FR"/>
        </w:rPr>
        <w:t>objectif de protection qui y est énoncé.</w:t>
      </w:r>
    </w:p>
    <w:p w:rsidR="004E2E4F" w:rsidRPr="00705F77" w:rsidRDefault="004E2E4F" w:rsidP="00AA436C">
      <w:pPr>
        <w:pStyle w:val="HChG"/>
        <w:rPr>
          <w:lang w:val="fr-FR"/>
        </w:rPr>
      </w:pPr>
      <w:r w:rsidRPr="00705F77">
        <w:rPr>
          <w:lang w:val="fr-FR"/>
        </w:rPr>
        <w:tab/>
      </w:r>
      <w:r w:rsidRPr="00705F77">
        <w:rPr>
          <w:lang w:val="fr-FR"/>
        </w:rPr>
        <w:tab/>
        <w:t>Proposition d</w:t>
      </w:r>
      <w:r w:rsidR="00CC3A45">
        <w:rPr>
          <w:lang w:val="fr-FR"/>
        </w:rPr>
        <w:t>’</w:t>
      </w:r>
      <w:r w:rsidRPr="00705F77">
        <w:rPr>
          <w:lang w:val="fr-FR"/>
        </w:rPr>
        <w:t>amendements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12.</w:t>
      </w:r>
      <w:r w:rsidRPr="00705F77">
        <w:rPr>
          <w:lang w:val="fr-FR"/>
        </w:rPr>
        <w:tab/>
        <w:t>Si le Groupe de travail partage son avis, l</w:t>
      </w:r>
      <w:r w:rsidR="00CC3A45">
        <w:rPr>
          <w:lang w:val="fr-FR"/>
        </w:rPr>
        <w:t>’</w:t>
      </w:r>
      <w:r w:rsidRPr="00705F77">
        <w:rPr>
          <w:lang w:val="fr-FR"/>
        </w:rPr>
        <w:t>Allemagne proposera de modifier le 9.3.4.2 comme suit (les ajouts figurent en caractères soulignés) :</w:t>
      </w:r>
    </w:p>
    <w:p w:rsidR="004E2E4F" w:rsidRPr="00705F77" w:rsidRDefault="004E2E4F" w:rsidP="00AA436C">
      <w:pPr>
        <w:pStyle w:val="SingleTxtG"/>
        <w:rPr>
          <w:u w:val="single"/>
          <w:lang w:val="fr-FR"/>
        </w:rPr>
      </w:pPr>
      <w:r w:rsidRPr="00705F77">
        <w:rPr>
          <w:lang w:val="fr-FR"/>
        </w:rPr>
        <w:t>Remplacement de la troisième phrase par les deux nouvelles phrases suivantes : « </w:t>
      </w:r>
      <w:r w:rsidRPr="00705F77">
        <w:rPr>
          <w:u w:val="single"/>
          <w:lang w:val="fr-FR"/>
        </w:rPr>
        <w:t>Si le matériau utilisé pour la caisse est métallique, la totalité de l</w:t>
      </w:r>
      <w:r w:rsidR="00CC3A45">
        <w:rPr>
          <w:u w:val="single"/>
          <w:lang w:val="fr-FR"/>
        </w:rPr>
        <w:t>’</w:t>
      </w:r>
      <w:r w:rsidRPr="00705F77">
        <w:rPr>
          <w:u w:val="single"/>
          <w:lang w:val="fr-FR"/>
        </w:rPr>
        <w:t>intérieur de la caisse doit être construite avec</w:t>
      </w:r>
      <w:r w:rsidR="00074C1B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un</w:t>
      </w:r>
      <w:r w:rsidRPr="00705F77">
        <w:rPr>
          <w:u w:val="single"/>
          <w:lang w:val="fr-FR"/>
        </w:rPr>
        <w:t xml:space="preserve"> matériau non métallique ou être couverte d</w:t>
      </w:r>
      <w:r w:rsidR="00CC3A45">
        <w:rPr>
          <w:u w:val="single"/>
          <w:lang w:val="fr-FR"/>
        </w:rPr>
        <w:t>’</w:t>
      </w:r>
      <w:r w:rsidRPr="00705F77">
        <w:rPr>
          <w:u w:val="single"/>
          <w:lang w:val="fr-FR"/>
        </w:rPr>
        <w:t>un matériau non métallique satisfaisant aux prescriptions énoncées dans les première et deuxième phrases. Si la caisse</w:t>
      </w:r>
      <w:r w:rsidR="00074C1B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comporte une </w:t>
      </w:r>
      <w:r w:rsidRPr="00705F77">
        <w:rPr>
          <w:u w:val="single"/>
          <w:lang w:val="fr-FR"/>
        </w:rPr>
        <w:t>double</w:t>
      </w:r>
      <w:r>
        <w:rPr>
          <w:u w:val="single"/>
          <w:lang w:val="fr-FR"/>
        </w:rPr>
        <w:t xml:space="preserve"> </w:t>
      </w:r>
      <w:r w:rsidRPr="00705F77">
        <w:rPr>
          <w:u w:val="single"/>
          <w:lang w:val="fr-FR"/>
        </w:rPr>
        <w:t>paroi métallique</w:t>
      </w:r>
      <w:r>
        <w:rPr>
          <w:u w:val="single"/>
          <w:lang w:val="fr-FR"/>
        </w:rPr>
        <w:t>,</w:t>
      </w:r>
      <w:r w:rsidRPr="00705F77">
        <w:rPr>
          <w:u w:val="single"/>
          <w:lang w:val="fr-FR"/>
        </w:rPr>
        <w:t xml:space="preserve"> ou</w:t>
      </w:r>
      <w:r w:rsidR="00074C1B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une </w:t>
      </w:r>
      <w:r w:rsidRPr="00705F77">
        <w:rPr>
          <w:u w:val="single"/>
          <w:lang w:val="fr-FR"/>
        </w:rPr>
        <w:t>double</w:t>
      </w:r>
      <w:r>
        <w:rPr>
          <w:u w:val="single"/>
          <w:lang w:val="fr-FR"/>
        </w:rPr>
        <w:t xml:space="preserve"> </w:t>
      </w:r>
      <w:r w:rsidRPr="00705F77">
        <w:rPr>
          <w:u w:val="single"/>
          <w:lang w:val="fr-FR"/>
        </w:rPr>
        <w:t>paroi métallique isolée thermiquement au moyen d</w:t>
      </w:r>
      <w:r w:rsidR="00CC3A45">
        <w:rPr>
          <w:u w:val="single"/>
          <w:lang w:val="fr-FR"/>
        </w:rPr>
        <w:t>’</w:t>
      </w:r>
      <w:r w:rsidRPr="00705F77">
        <w:rPr>
          <w:u w:val="single"/>
          <w:lang w:val="fr-FR"/>
        </w:rPr>
        <w:t>une couche intermédiaire de matériaux solides (panneau sandwich), les dispositions des première et deuxième phrases s</w:t>
      </w:r>
      <w:r w:rsidR="00CC3A45">
        <w:rPr>
          <w:u w:val="single"/>
          <w:lang w:val="fr-FR"/>
        </w:rPr>
        <w:t>’</w:t>
      </w:r>
      <w:r w:rsidRPr="00705F77">
        <w:rPr>
          <w:u w:val="single"/>
          <w:lang w:val="fr-FR"/>
        </w:rPr>
        <w:t>appliquent. En outre, la paroi intérieure doit être garnie d</w:t>
      </w:r>
      <w:r w:rsidR="00CC3A45">
        <w:rPr>
          <w:u w:val="single"/>
          <w:lang w:val="fr-FR"/>
        </w:rPr>
        <w:t>’</w:t>
      </w:r>
      <w:r w:rsidRPr="00705F77">
        <w:rPr>
          <w:u w:val="single"/>
          <w:lang w:val="fr-FR"/>
        </w:rPr>
        <w:t xml:space="preserve">un revêtement permanent résistant aux abrasions [(tout revêtement satisfaisant aux prescriptions de </w:t>
      </w:r>
      <w:r>
        <w:rPr>
          <w:u w:val="single"/>
          <w:lang w:val="fr-FR"/>
        </w:rPr>
        <w:t>la</w:t>
      </w:r>
      <w:r w:rsidR="00074C1B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norme </w:t>
      </w:r>
      <w:r w:rsidRPr="00705F77">
        <w:rPr>
          <w:u w:val="single"/>
          <w:lang w:val="fr-FR"/>
        </w:rPr>
        <w:t xml:space="preserve">ISO </w:t>
      </w:r>
      <w:r>
        <w:rPr>
          <w:u w:val="single"/>
          <w:lang w:val="fr-FR"/>
        </w:rPr>
        <w:t xml:space="preserve">(…) </w:t>
      </w:r>
      <w:r w:rsidRPr="00705F77">
        <w:rPr>
          <w:u w:val="single"/>
          <w:lang w:val="fr-FR"/>
        </w:rPr>
        <w:t>xxx est réputé satisfaire à la présente prescription.)].</w:t>
      </w:r>
      <w:r w:rsidRPr="00705F77">
        <w:rPr>
          <w:lang w:val="fr-FR"/>
        </w:rPr>
        <w:t> ».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>Ajout d</w:t>
      </w:r>
      <w:r w:rsidR="00CC3A45">
        <w:rPr>
          <w:lang w:val="fr-FR"/>
        </w:rPr>
        <w:t>’</w:t>
      </w:r>
      <w:r w:rsidRPr="00705F77">
        <w:rPr>
          <w:lang w:val="fr-FR"/>
        </w:rPr>
        <w:t>une nouvelle disposition transitoire 1.6.5.x libellée comme suit :</w:t>
      </w:r>
    </w:p>
    <w:p w:rsidR="004E2E4F" w:rsidRPr="00705F77" w:rsidRDefault="004E2E4F" w:rsidP="00EC6C85">
      <w:pPr>
        <w:pStyle w:val="SingleTxtG"/>
        <w:ind w:left="2268" w:hanging="1134"/>
        <w:rPr>
          <w:lang w:val="fr-FR"/>
        </w:rPr>
      </w:pPr>
      <w:r w:rsidRPr="00705F77">
        <w:rPr>
          <w:lang w:val="fr-FR"/>
        </w:rPr>
        <w:t>« </w:t>
      </w:r>
      <w:r w:rsidRPr="00EC6C85">
        <w:rPr>
          <w:u w:val="single"/>
          <w:lang w:val="fr-FR"/>
        </w:rPr>
        <w:t>1.6.5.x</w:t>
      </w:r>
      <w:r w:rsidRPr="00EC6C85">
        <w:rPr>
          <w:u w:val="single"/>
          <w:lang w:val="fr-FR"/>
        </w:rPr>
        <w:tab/>
        <w:t>Les véhicules construits conformément aux prescriptions de la sous-section 9.3.4.2 de la version de l</w:t>
      </w:r>
      <w:r w:rsidR="00CC3A45" w:rsidRPr="00EC6C85">
        <w:rPr>
          <w:u w:val="single"/>
          <w:lang w:val="fr-FR"/>
        </w:rPr>
        <w:t>’</w:t>
      </w:r>
      <w:r w:rsidRPr="00EC6C85">
        <w:rPr>
          <w:u w:val="single"/>
          <w:lang w:val="fr-FR"/>
        </w:rPr>
        <w:t>ADR applicable jusqu</w:t>
      </w:r>
      <w:r w:rsidR="00CC3A45" w:rsidRPr="00EC6C85">
        <w:rPr>
          <w:u w:val="single"/>
          <w:lang w:val="fr-FR"/>
        </w:rPr>
        <w:t>’</w:t>
      </w:r>
      <w:r w:rsidRPr="00EC6C85">
        <w:rPr>
          <w:u w:val="single"/>
          <w:lang w:val="fr-FR"/>
        </w:rPr>
        <w:t>au 31 décembre 2018 pourront encore être utilisés jusqu</w:t>
      </w:r>
      <w:r w:rsidR="00CC3A45" w:rsidRPr="00EC6C85">
        <w:rPr>
          <w:u w:val="single"/>
          <w:lang w:val="fr-FR"/>
        </w:rPr>
        <w:t>’</w:t>
      </w:r>
      <w:r w:rsidRPr="00EC6C85">
        <w:rPr>
          <w:u w:val="single"/>
          <w:lang w:val="fr-FR"/>
        </w:rPr>
        <w:t>au 31 décembre 2020.</w:t>
      </w:r>
      <w:r w:rsidRPr="00705F77">
        <w:rPr>
          <w:lang w:val="fr-FR"/>
        </w:rPr>
        <w:t> ».</w:t>
      </w:r>
    </w:p>
    <w:p w:rsidR="004E2E4F" w:rsidRPr="00705F77" w:rsidRDefault="004E2E4F" w:rsidP="00AA436C">
      <w:pPr>
        <w:pStyle w:val="HChG"/>
        <w:rPr>
          <w:lang w:val="fr-FR"/>
        </w:rPr>
      </w:pPr>
      <w:r w:rsidRPr="00705F77">
        <w:rPr>
          <w:lang w:val="fr-FR"/>
        </w:rPr>
        <w:tab/>
      </w:r>
      <w:r w:rsidRPr="00705F77">
        <w:rPr>
          <w:lang w:val="fr-FR"/>
        </w:rPr>
        <w:tab/>
        <w:t xml:space="preserve">Justification </w:t>
      </w:r>
    </w:p>
    <w:p w:rsidR="004E2E4F" w:rsidRPr="00705F77" w:rsidRDefault="004E2E4F" w:rsidP="00AA436C">
      <w:pPr>
        <w:pStyle w:val="SingleTxtG"/>
        <w:rPr>
          <w:lang w:val="fr-FR"/>
        </w:rPr>
      </w:pPr>
      <w:r w:rsidRPr="00705F77">
        <w:rPr>
          <w:lang w:val="fr-FR"/>
        </w:rPr>
        <w:t xml:space="preserve">Sécurité : </w:t>
      </w:r>
      <w:r w:rsidRPr="00705F77">
        <w:rPr>
          <w:lang w:val="fr-FR"/>
        </w:rPr>
        <w:tab/>
      </w:r>
      <w:r w:rsidRPr="00705F77">
        <w:rPr>
          <w:lang w:val="fr-FR"/>
        </w:rPr>
        <w:tab/>
      </w:r>
      <w:r w:rsidR="00AA436C">
        <w:rPr>
          <w:lang w:val="fr-FR"/>
        </w:rPr>
        <w:tab/>
      </w:r>
      <w:r w:rsidRPr="00705F77">
        <w:rPr>
          <w:lang w:val="fr-FR"/>
        </w:rPr>
        <w:t>Améliore la sécurité.</w:t>
      </w:r>
    </w:p>
    <w:p w:rsidR="004E2E4F" w:rsidRPr="00705F77" w:rsidRDefault="004E2E4F" w:rsidP="00AA436C">
      <w:pPr>
        <w:pStyle w:val="SingleTxtG"/>
        <w:ind w:left="3402" w:hanging="2268"/>
        <w:rPr>
          <w:lang w:val="fr-FR"/>
        </w:rPr>
      </w:pPr>
      <w:r w:rsidRPr="00705F77">
        <w:rPr>
          <w:lang w:val="fr-FR"/>
        </w:rPr>
        <w:t xml:space="preserve">Faisabilité : </w:t>
      </w:r>
      <w:r w:rsidRPr="00705F77">
        <w:rPr>
          <w:lang w:val="fr-FR"/>
        </w:rPr>
        <w:tab/>
      </w:r>
      <w:r w:rsidR="00AA436C">
        <w:rPr>
          <w:lang w:val="fr-FR"/>
        </w:rPr>
        <w:tab/>
      </w:r>
      <w:r w:rsidRPr="00705F77">
        <w:rPr>
          <w:lang w:val="fr-FR"/>
        </w:rPr>
        <w:t>Évite toute confusion dans l</w:t>
      </w:r>
      <w:r w:rsidR="00CC3A45">
        <w:rPr>
          <w:lang w:val="fr-FR"/>
        </w:rPr>
        <w:t>’</w:t>
      </w:r>
      <w:r w:rsidRPr="00705F77">
        <w:rPr>
          <w:lang w:val="fr-FR"/>
        </w:rPr>
        <w:t>interprétation d</w:t>
      </w:r>
      <w:r>
        <w:rPr>
          <w:lang w:val="fr-FR"/>
        </w:rPr>
        <w:t>u</w:t>
      </w:r>
      <w:r w:rsidRPr="00705F77">
        <w:rPr>
          <w:lang w:val="fr-FR"/>
        </w:rPr>
        <w:t xml:space="preserve"> texte de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ADR. Les </w:t>
      </w:r>
      <w:r w:rsidR="00074C1B">
        <w:rPr>
          <w:lang w:val="fr-FR"/>
        </w:rPr>
        <w:t xml:space="preserve">modifications proposées </w:t>
      </w:r>
      <w:r w:rsidRPr="00705F77">
        <w:rPr>
          <w:lang w:val="fr-FR"/>
        </w:rPr>
        <w:t>n</w:t>
      </w:r>
      <w:r w:rsidR="00CC3A45">
        <w:rPr>
          <w:lang w:val="fr-FR"/>
        </w:rPr>
        <w:t>’</w:t>
      </w:r>
      <w:r w:rsidRPr="00705F77">
        <w:rPr>
          <w:lang w:val="fr-FR"/>
        </w:rPr>
        <w:t>entraîneront pas de</w:t>
      </w:r>
      <w:r w:rsidR="00074C1B">
        <w:rPr>
          <w:lang w:val="fr-FR"/>
        </w:rPr>
        <w:t xml:space="preserve"> problèmes dans la pratique et </w:t>
      </w:r>
      <w:r w:rsidRPr="00705F77">
        <w:rPr>
          <w:lang w:val="fr-FR"/>
        </w:rPr>
        <w:t>permettront d</w:t>
      </w:r>
      <w:r w:rsidR="00CC3A45">
        <w:rPr>
          <w:lang w:val="fr-FR"/>
        </w:rPr>
        <w:t>’</w:t>
      </w:r>
      <w:r w:rsidRPr="00705F77">
        <w:rPr>
          <w:lang w:val="fr-FR"/>
        </w:rPr>
        <w:t>éliminer un obstacle à l</w:t>
      </w:r>
      <w:r w:rsidR="00CC3A45">
        <w:rPr>
          <w:lang w:val="fr-FR"/>
        </w:rPr>
        <w:t>’</w:t>
      </w:r>
      <w:r w:rsidR="00074C1B">
        <w:rPr>
          <w:lang w:val="fr-FR"/>
        </w:rPr>
        <w:t xml:space="preserve">agrément des </w:t>
      </w:r>
      <w:r w:rsidRPr="00705F77">
        <w:rPr>
          <w:lang w:val="fr-FR"/>
        </w:rPr>
        <w:t>véhicules EX/III.</w:t>
      </w:r>
    </w:p>
    <w:p w:rsidR="00F9573C" w:rsidRDefault="004E2E4F" w:rsidP="00AA436C">
      <w:pPr>
        <w:pStyle w:val="SingleTxtG"/>
        <w:ind w:left="3402" w:hanging="2268"/>
        <w:rPr>
          <w:lang w:val="fr-FR"/>
        </w:rPr>
      </w:pPr>
      <w:r w:rsidRPr="00705F77">
        <w:rPr>
          <w:lang w:val="fr-FR"/>
        </w:rPr>
        <w:t>Application effective :</w:t>
      </w:r>
      <w:r w:rsidRPr="00705F77">
        <w:rPr>
          <w:lang w:val="fr-FR"/>
        </w:rPr>
        <w:tab/>
        <w:t>Facilite l</w:t>
      </w:r>
      <w:r w:rsidR="00CC3A45">
        <w:rPr>
          <w:lang w:val="fr-FR"/>
        </w:rPr>
        <w:t>’</w:t>
      </w:r>
      <w:r w:rsidRPr="00705F77">
        <w:rPr>
          <w:lang w:val="fr-FR"/>
        </w:rPr>
        <w:t xml:space="preserve">application des dispositions et éliminera </w:t>
      </w:r>
      <w:r>
        <w:rPr>
          <w:lang w:val="fr-FR"/>
        </w:rPr>
        <w:t xml:space="preserve">le </w:t>
      </w:r>
      <w:r w:rsidRPr="00705F77">
        <w:rPr>
          <w:lang w:val="fr-FR"/>
        </w:rPr>
        <w:t>risque d</w:t>
      </w:r>
      <w:r w:rsidR="00CC3A45">
        <w:rPr>
          <w:lang w:val="fr-FR"/>
        </w:rPr>
        <w:t>’</w:t>
      </w:r>
      <w:r w:rsidRPr="00705F77">
        <w:rPr>
          <w:lang w:val="fr-FR"/>
        </w:rPr>
        <w:t>interprétations erronées dans le cadre de l</w:t>
      </w:r>
      <w:r w:rsidR="00CC3A45">
        <w:rPr>
          <w:lang w:val="fr-FR"/>
        </w:rPr>
        <w:t>’</w:t>
      </w:r>
      <w:r w:rsidRPr="00705F77">
        <w:rPr>
          <w:lang w:val="fr-FR"/>
        </w:rPr>
        <w:t>agrément des véhicules EX/III.</w:t>
      </w:r>
    </w:p>
    <w:p w:rsidR="00AA436C" w:rsidRPr="00AA436C" w:rsidRDefault="00AA436C" w:rsidP="00AA43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436C" w:rsidRPr="00AA436C" w:rsidSect="006110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8B" w:rsidRDefault="00D7748B" w:rsidP="00F95C08">
      <w:pPr>
        <w:spacing w:line="240" w:lineRule="auto"/>
      </w:pPr>
    </w:p>
  </w:endnote>
  <w:endnote w:type="continuationSeparator" w:id="0">
    <w:p w:rsidR="00D7748B" w:rsidRPr="00AC3823" w:rsidRDefault="00D7748B" w:rsidP="00AC3823">
      <w:pPr>
        <w:pStyle w:val="Footer"/>
      </w:pPr>
    </w:p>
  </w:endnote>
  <w:endnote w:type="continuationNotice" w:id="1">
    <w:p w:rsidR="00D7748B" w:rsidRDefault="00D774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CC" w:rsidRPr="006110CC" w:rsidRDefault="006110CC" w:rsidP="006110CC">
    <w:pPr>
      <w:pStyle w:val="Footer"/>
      <w:tabs>
        <w:tab w:val="right" w:pos="9638"/>
      </w:tabs>
    </w:pPr>
    <w:r w:rsidRPr="006110CC">
      <w:rPr>
        <w:b/>
        <w:sz w:val="18"/>
      </w:rPr>
      <w:fldChar w:fldCharType="begin"/>
    </w:r>
    <w:r w:rsidRPr="006110CC">
      <w:rPr>
        <w:b/>
        <w:sz w:val="18"/>
      </w:rPr>
      <w:instrText xml:space="preserve"> PAGE  \* MERGEFORMAT </w:instrText>
    </w:r>
    <w:r w:rsidRPr="006110CC">
      <w:rPr>
        <w:b/>
        <w:sz w:val="18"/>
      </w:rPr>
      <w:fldChar w:fldCharType="separate"/>
    </w:r>
    <w:r w:rsidR="00F26F1C">
      <w:rPr>
        <w:b/>
        <w:noProof/>
        <w:sz w:val="18"/>
      </w:rPr>
      <w:t>2</w:t>
    </w:r>
    <w:r w:rsidRPr="006110CC">
      <w:rPr>
        <w:b/>
        <w:sz w:val="18"/>
      </w:rPr>
      <w:fldChar w:fldCharType="end"/>
    </w:r>
    <w:r>
      <w:rPr>
        <w:b/>
        <w:sz w:val="18"/>
      </w:rPr>
      <w:tab/>
    </w:r>
    <w:r>
      <w:t>GE.17-14593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CC" w:rsidRPr="006110CC" w:rsidRDefault="006110CC" w:rsidP="006110CC">
    <w:pPr>
      <w:pStyle w:val="Footer"/>
      <w:tabs>
        <w:tab w:val="right" w:pos="9638"/>
      </w:tabs>
      <w:rPr>
        <w:b/>
        <w:sz w:val="18"/>
      </w:rPr>
    </w:pPr>
    <w:r>
      <w:t>GE.17-14593</w:t>
    </w:r>
    <w:r>
      <w:tab/>
    </w:r>
    <w:r w:rsidRPr="006110CC">
      <w:rPr>
        <w:b/>
        <w:sz w:val="18"/>
      </w:rPr>
      <w:fldChar w:fldCharType="begin"/>
    </w:r>
    <w:r w:rsidRPr="006110CC">
      <w:rPr>
        <w:b/>
        <w:sz w:val="18"/>
      </w:rPr>
      <w:instrText xml:space="preserve"> PAGE  \* MERGEFORMAT </w:instrText>
    </w:r>
    <w:r w:rsidRPr="006110CC">
      <w:rPr>
        <w:b/>
        <w:sz w:val="18"/>
      </w:rPr>
      <w:fldChar w:fldCharType="separate"/>
    </w:r>
    <w:r w:rsidR="00F26F1C">
      <w:rPr>
        <w:b/>
        <w:noProof/>
        <w:sz w:val="18"/>
      </w:rPr>
      <w:t>3</w:t>
    </w:r>
    <w:r w:rsidRPr="006110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110CC" w:rsidRDefault="006110CC" w:rsidP="006110C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17-14593  (F)    080917    120917</w:t>
    </w:r>
    <w:r>
      <w:rPr>
        <w:sz w:val="20"/>
      </w:rPr>
      <w:br/>
    </w:r>
    <w:r w:rsidRPr="006110CC">
      <w:rPr>
        <w:rFonts w:ascii="C39T30Lfz" w:hAnsi="C39T30Lfz"/>
        <w:sz w:val="56"/>
      </w:rPr>
      <w:t></w:t>
    </w:r>
    <w:r w:rsidRPr="006110CC">
      <w:rPr>
        <w:rFonts w:ascii="C39T30Lfz" w:hAnsi="C39T30Lfz"/>
        <w:sz w:val="56"/>
      </w:rPr>
      <w:t></w:t>
    </w:r>
    <w:r w:rsidRPr="006110CC">
      <w:rPr>
        <w:rFonts w:ascii="C39T30Lfz" w:hAnsi="C39T30Lfz"/>
        <w:sz w:val="56"/>
      </w:rPr>
      <w:t></w:t>
    </w:r>
    <w:r w:rsidRPr="006110CC">
      <w:rPr>
        <w:rFonts w:ascii="C39T30Lfz" w:hAnsi="C39T30Lfz"/>
        <w:sz w:val="56"/>
      </w:rPr>
      <w:t></w:t>
    </w:r>
    <w:r w:rsidRPr="006110CC">
      <w:rPr>
        <w:rFonts w:ascii="C39T30Lfz" w:hAnsi="C39T30Lfz"/>
        <w:sz w:val="56"/>
      </w:rPr>
      <w:t></w:t>
    </w:r>
    <w:r w:rsidRPr="006110CC">
      <w:rPr>
        <w:rFonts w:ascii="C39T30Lfz" w:hAnsi="C39T30Lfz"/>
        <w:sz w:val="56"/>
      </w:rPr>
      <w:t></w:t>
    </w:r>
    <w:r w:rsidRPr="006110CC">
      <w:rPr>
        <w:rFonts w:ascii="C39T30Lfz" w:hAnsi="C39T30Lfz"/>
        <w:sz w:val="56"/>
      </w:rPr>
      <w:t></w:t>
    </w:r>
    <w:r w:rsidRPr="006110CC">
      <w:rPr>
        <w:rFonts w:ascii="C39T30Lfz" w:hAnsi="C39T30Lfz"/>
        <w:sz w:val="56"/>
      </w:rPr>
      <w:t></w:t>
    </w:r>
    <w:r w:rsidRPr="006110CC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7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8B" w:rsidRPr="00AC3823" w:rsidRDefault="00D774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748B" w:rsidRPr="00AC3823" w:rsidRDefault="00D774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748B" w:rsidRPr="00AC3823" w:rsidRDefault="00D7748B">
      <w:pPr>
        <w:spacing w:line="240" w:lineRule="auto"/>
        <w:rPr>
          <w:sz w:val="2"/>
          <w:szCs w:val="2"/>
        </w:rPr>
      </w:pPr>
    </w:p>
  </w:footnote>
  <w:footnote w:id="2">
    <w:p w:rsidR="004E2E4F" w:rsidRPr="004E2E4F" w:rsidRDefault="004E2E4F">
      <w:pPr>
        <w:pStyle w:val="FootnoteText"/>
      </w:pPr>
      <w:r>
        <w:rPr>
          <w:rStyle w:val="FootnoteReference"/>
        </w:rPr>
        <w:tab/>
      </w:r>
      <w:r w:rsidRPr="004E2E4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41EAF">
        <w:rPr>
          <w:lang w:eastAsia="en-GB"/>
        </w:rPr>
        <w:t xml:space="preserve">Conformément au programme de travail du Comité des transports </w:t>
      </w:r>
      <w:r>
        <w:rPr>
          <w:lang w:eastAsia="en-GB"/>
        </w:rPr>
        <w:t>intérieurs pour la période 2016</w:t>
      </w:r>
      <w:r>
        <w:rPr>
          <w:lang w:eastAsia="en-GB"/>
        </w:rPr>
        <w:noBreakHyphen/>
      </w:r>
      <w:r w:rsidRPr="00841EAF">
        <w:rPr>
          <w:lang w:eastAsia="en-GB"/>
        </w:rPr>
        <w:t>2017 (ECE/TRANS/2016/28/Add.1 (9.1))</w:t>
      </w:r>
      <w:r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CC" w:rsidRPr="006110CC" w:rsidRDefault="0021313C">
    <w:pPr>
      <w:pStyle w:val="Header"/>
    </w:pPr>
    <w:fldSimple w:instr=" TITLE  \* MERGEFORMAT ">
      <w:r w:rsidR="00F94E77">
        <w:t>ECE/TRANS/WP.15/2017/20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CC" w:rsidRPr="006110CC" w:rsidRDefault="0021313C" w:rsidP="006110CC">
    <w:pPr>
      <w:pStyle w:val="Header"/>
      <w:jc w:val="right"/>
    </w:pPr>
    <w:fldSimple w:instr=" TITLE  \* MERGEFORMAT ">
      <w:r w:rsidR="00F94E77">
        <w:t>ECE/TRANS/WP.15/2017/20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8B"/>
    <w:rsid w:val="00017F94"/>
    <w:rsid w:val="00023842"/>
    <w:rsid w:val="000334F9"/>
    <w:rsid w:val="00045FEB"/>
    <w:rsid w:val="00074C1B"/>
    <w:rsid w:val="0007796D"/>
    <w:rsid w:val="000B7790"/>
    <w:rsid w:val="00111F2F"/>
    <w:rsid w:val="00113CF8"/>
    <w:rsid w:val="0014365E"/>
    <w:rsid w:val="00143C66"/>
    <w:rsid w:val="00176178"/>
    <w:rsid w:val="001F525A"/>
    <w:rsid w:val="0021313C"/>
    <w:rsid w:val="00223272"/>
    <w:rsid w:val="0022427D"/>
    <w:rsid w:val="0024779E"/>
    <w:rsid w:val="00257168"/>
    <w:rsid w:val="002744B8"/>
    <w:rsid w:val="002832AC"/>
    <w:rsid w:val="002D7C93"/>
    <w:rsid w:val="00305801"/>
    <w:rsid w:val="003916DE"/>
    <w:rsid w:val="00405E20"/>
    <w:rsid w:val="00417E24"/>
    <w:rsid w:val="00441C3B"/>
    <w:rsid w:val="00442E0E"/>
    <w:rsid w:val="00446FE5"/>
    <w:rsid w:val="00452396"/>
    <w:rsid w:val="004837D8"/>
    <w:rsid w:val="004E2E4F"/>
    <w:rsid w:val="004E468C"/>
    <w:rsid w:val="005505B7"/>
    <w:rsid w:val="00573BE5"/>
    <w:rsid w:val="00586ED3"/>
    <w:rsid w:val="00596AA9"/>
    <w:rsid w:val="006110CC"/>
    <w:rsid w:val="006E33E5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10E5"/>
    <w:rsid w:val="00A30353"/>
    <w:rsid w:val="00A66234"/>
    <w:rsid w:val="00AA436C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C3A45"/>
    <w:rsid w:val="00D3439C"/>
    <w:rsid w:val="00D7748B"/>
    <w:rsid w:val="00DB1831"/>
    <w:rsid w:val="00DD3BFD"/>
    <w:rsid w:val="00DF6678"/>
    <w:rsid w:val="00E0299A"/>
    <w:rsid w:val="00E85C74"/>
    <w:rsid w:val="00EA6547"/>
    <w:rsid w:val="00EB58DB"/>
    <w:rsid w:val="00EC6C85"/>
    <w:rsid w:val="00EF2E22"/>
    <w:rsid w:val="00F26F1C"/>
    <w:rsid w:val="00F35BAF"/>
    <w:rsid w:val="00F660DF"/>
    <w:rsid w:val="00F94664"/>
    <w:rsid w:val="00F94E77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984435-EBE8-48F9-89BF-69097BE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E2E4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ECE/TRANS/WP.15/2017/20</vt:lpstr>
      <vt:lpstr>ECE/TRANS/WP.15/2017/20</vt:lpstr>
    </vt:vector>
  </TitlesOfParts>
  <Company>DCM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ECE/TRANS/WP.15/2017/20</dc:title>
  <dc:subject/>
  <dc:creator>Sylvie LAMY</dc:creator>
  <cp:keywords/>
  <cp:lastModifiedBy>Christine Barrio-Champeau</cp:lastModifiedBy>
  <cp:revision>2</cp:revision>
  <cp:lastPrinted>2017-09-12T13:28:00Z</cp:lastPrinted>
  <dcterms:created xsi:type="dcterms:W3CDTF">2017-09-13T08:49:00Z</dcterms:created>
  <dcterms:modified xsi:type="dcterms:W3CDTF">2017-09-13T08:49:00Z</dcterms:modified>
</cp:coreProperties>
</file>