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E7CDB" w:rsidTr="00C97039">
        <w:trPr>
          <w:trHeight w:hRule="exact" w:val="851"/>
        </w:trPr>
        <w:tc>
          <w:tcPr>
            <w:tcW w:w="1276" w:type="dxa"/>
            <w:tcBorders>
              <w:bottom w:val="single" w:sz="4" w:space="0" w:color="auto"/>
            </w:tcBorders>
          </w:tcPr>
          <w:p w:rsidR="00F35BAF" w:rsidRPr="005E7CDB" w:rsidRDefault="00F35BAF" w:rsidP="003F3C4E">
            <w:bookmarkStart w:id="0" w:name="_GoBack"/>
            <w:bookmarkEnd w:id="0"/>
          </w:p>
        </w:tc>
        <w:tc>
          <w:tcPr>
            <w:tcW w:w="2268" w:type="dxa"/>
            <w:tcBorders>
              <w:bottom w:val="single" w:sz="4" w:space="0" w:color="auto"/>
            </w:tcBorders>
            <w:vAlign w:val="bottom"/>
          </w:tcPr>
          <w:p w:rsidR="00F35BAF" w:rsidRPr="005E7CDB" w:rsidRDefault="00F35BAF" w:rsidP="00C97039">
            <w:pPr>
              <w:spacing w:after="80" w:line="300" w:lineRule="exact"/>
              <w:rPr>
                <w:sz w:val="28"/>
              </w:rPr>
            </w:pPr>
            <w:r w:rsidRPr="005E7CDB">
              <w:rPr>
                <w:sz w:val="28"/>
              </w:rPr>
              <w:t>Nations</w:t>
            </w:r>
            <w:r w:rsidR="00F5091F" w:rsidRPr="005E7CDB">
              <w:rPr>
                <w:sz w:val="28"/>
              </w:rPr>
              <w:t xml:space="preserve"> </w:t>
            </w:r>
            <w:r w:rsidRPr="005E7CDB">
              <w:rPr>
                <w:sz w:val="28"/>
              </w:rPr>
              <w:t>Unies</w:t>
            </w:r>
          </w:p>
        </w:tc>
        <w:tc>
          <w:tcPr>
            <w:tcW w:w="6095" w:type="dxa"/>
            <w:gridSpan w:val="2"/>
            <w:tcBorders>
              <w:bottom w:val="single" w:sz="4" w:space="0" w:color="auto"/>
            </w:tcBorders>
            <w:vAlign w:val="bottom"/>
          </w:tcPr>
          <w:p w:rsidR="00F35BAF" w:rsidRPr="005E7CDB" w:rsidRDefault="003F3C4E" w:rsidP="003F3C4E">
            <w:pPr>
              <w:jc w:val="right"/>
            </w:pPr>
            <w:r w:rsidRPr="005E7CDB">
              <w:rPr>
                <w:sz w:val="40"/>
              </w:rPr>
              <w:t>ECE</w:t>
            </w:r>
            <w:r w:rsidRPr="005E7CDB">
              <w:t>/TRANS/WP.15/2017/22</w:t>
            </w:r>
          </w:p>
        </w:tc>
      </w:tr>
      <w:tr w:rsidR="00F35BAF" w:rsidRPr="005E7CDB" w:rsidTr="00C97039">
        <w:trPr>
          <w:trHeight w:hRule="exact" w:val="2835"/>
        </w:trPr>
        <w:tc>
          <w:tcPr>
            <w:tcW w:w="1276" w:type="dxa"/>
            <w:tcBorders>
              <w:top w:val="single" w:sz="4" w:space="0" w:color="auto"/>
              <w:bottom w:val="single" w:sz="12" w:space="0" w:color="auto"/>
            </w:tcBorders>
          </w:tcPr>
          <w:p w:rsidR="00F35BAF" w:rsidRPr="005E7CDB" w:rsidRDefault="00F35BAF" w:rsidP="00C97039">
            <w:pPr>
              <w:spacing w:before="120"/>
              <w:jc w:val="center"/>
            </w:pPr>
            <w:r w:rsidRPr="005E7CDB">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E7CDB" w:rsidRDefault="00F35BAF" w:rsidP="00C97039">
            <w:pPr>
              <w:spacing w:before="120" w:line="420" w:lineRule="exact"/>
              <w:rPr>
                <w:b/>
                <w:sz w:val="40"/>
                <w:szCs w:val="40"/>
              </w:rPr>
            </w:pPr>
            <w:r w:rsidRPr="005E7CDB">
              <w:rPr>
                <w:b/>
                <w:sz w:val="40"/>
                <w:szCs w:val="40"/>
              </w:rPr>
              <w:t>Conseil</w:t>
            </w:r>
            <w:r w:rsidR="00F5091F" w:rsidRPr="005E7CDB">
              <w:rPr>
                <w:b/>
                <w:sz w:val="40"/>
                <w:szCs w:val="40"/>
              </w:rPr>
              <w:t xml:space="preserve"> </w:t>
            </w:r>
            <w:r w:rsidRPr="005E7CDB">
              <w:rPr>
                <w:b/>
                <w:sz w:val="40"/>
                <w:szCs w:val="40"/>
              </w:rPr>
              <w:t>économique</w:t>
            </w:r>
            <w:r w:rsidR="00F5091F" w:rsidRPr="005E7CDB">
              <w:rPr>
                <w:b/>
                <w:sz w:val="40"/>
                <w:szCs w:val="40"/>
              </w:rPr>
              <w:t xml:space="preserve"> </w:t>
            </w:r>
            <w:r w:rsidRPr="005E7CDB">
              <w:rPr>
                <w:b/>
                <w:sz w:val="40"/>
                <w:szCs w:val="40"/>
              </w:rPr>
              <w:t>et</w:t>
            </w:r>
            <w:r w:rsidR="00F5091F" w:rsidRPr="005E7CDB">
              <w:rPr>
                <w:b/>
                <w:sz w:val="40"/>
                <w:szCs w:val="40"/>
              </w:rPr>
              <w:t xml:space="preserve"> </w:t>
            </w:r>
            <w:r w:rsidRPr="005E7CDB">
              <w:rPr>
                <w:b/>
                <w:sz w:val="40"/>
                <w:szCs w:val="40"/>
              </w:rPr>
              <w:t>social</w:t>
            </w:r>
          </w:p>
        </w:tc>
        <w:tc>
          <w:tcPr>
            <w:tcW w:w="2835" w:type="dxa"/>
            <w:tcBorders>
              <w:top w:val="single" w:sz="4" w:space="0" w:color="auto"/>
              <w:bottom w:val="single" w:sz="12" w:space="0" w:color="auto"/>
            </w:tcBorders>
          </w:tcPr>
          <w:p w:rsidR="00F35BAF" w:rsidRPr="005E7CDB" w:rsidRDefault="003F3C4E" w:rsidP="00C97039">
            <w:pPr>
              <w:spacing w:before="240"/>
            </w:pPr>
            <w:r w:rsidRPr="005E7CDB">
              <w:t>Distr.</w:t>
            </w:r>
            <w:r w:rsidR="00F5091F" w:rsidRPr="005E7CDB">
              <w:t xml:space="preserve"> </w:t>
            </w:r>
            <w:r w:rsidRPr="005E7CDB">
              <w:t>générale</w:t>
            </w:r>
          </w:p>
          <w:p w:rsidR="003F3C4E" w:rsidRPr="005E7CDB" w:rsidRDefault="003F3C4E" w:rsidP="003F3C4E">
            <w:pPr>
              <w:spacing w:line="240" w:lineRule="exact"/>
            </w:pPr>
            <w:r w:rsidRPr="005E7CDB">
              <w:t>25</w:t>
            </w:r>
            <w:r w:rsidR="00F5091F" w:rsidRPr="005E7CDB">
              <w:t xml:space="preserve"> </w:t>
            </w:r>
            <w:r w:rsidRPr="005E7CDB">
              <w:t>août</w:t>
            </w:r>
            <w:r w:rsidR="00F5091F" w:rsidRPr="005E7CDB">
              <w:t xml:space="preserve"> </w:t>
            </w:r>
            <w:r w:rsidRPr="005E7CDB">
              <w:t>2017</w:t>
            </w:r>
          </w:p>
          <w:p w:rsidR="003F3C4E" w:rsidRPr="005E7CDB" w:rsidRDefault="003F3C4E" w:rsidP="003F3C4E">
            <w:pPr>
              <w:spacing w:line="240" w:lineRule="exact"/>
            </w:pPr>
            <w:r w:rsidRPr="005E7CDB">
              <w:t>Français</w:t>
            </w:r>
          </w:p>
          <w:p w:rsidR="003F3C4E" w:rsidRPr="005E7CDB" w:rsidRDefault="003F3C4E" w:rsidP="003F3C4E">
            <w:pPr>
              <w:spacing w:line="240" w:lineRule="exact"/>
            </w:pPr>
            <w:r w:rsidRPr="005E7CDB">
              <w:t>Original</w:t>
            </w:r>
            <w:r w:rsidR="00F5091F" w:rsidRPr="005E7CDB">
              <w:t xml:space="preserve"> : </w:t>
            </w:r>
            <w:r w:rsidRPr="005E7CDB">
              <w:t>anglais</w:t>
            </w:r>
          </w:p>
        </w:tc>
      </w:tr>
    </w:tbl>
    <w:p w:rsidR="007F20FA" w:rsidRPr="005E7CDB" w:rsidRDefault="007F20FA" w:rsidP="007F20FA">
      <w:pPr>
        <w:spacing w:before="120"/>
        <w:rPr>
          <w:b/>
          <w:sz w:val="28"/>
          <w:szCs w:val="28"/>
        </w:rPr>
      </w:pPr>
      <w:r w:rsidRPr="005E7CDB">
        <w:rPr>
          <w:b/>
          <w:sz w:val="28"/>
          <w:szCs w:val="28"/>
        </w:rPr>
        <w:t>Commission</w:t>
      </w:r>
      <w:r w:rsidR="00F5091F" w:rsidRPr="005E7CDB">
        <w:rPr>
          <w:b/>
          <w:sz w:val="28"/>
          <w:szCs w:val="28"/>
        </w:rPr>
        <w:t xml:space="preserve"> </w:t>
      </w:r>
      <w:r w:rsidRPr="005E7CDB">
        <w:rPr>
          <w:b/>
          <w:sz w:val="28"/>
          <w:szCs w:val="28"/>
        </w:rPr>
        <w:t>économique</w:t>
      </w:r>
      <w:r w:rsidR="00F5091F" w:rsidRPr="005E7CDB">
        <w:rPr>
          <w:b/>
          <w:sz w:val="28"/>
          <w:szCs w:val="28"/>
        </w:rPr>
        <w:t xml:space="preserve"> </w:t>
      </w:r>
      <w:r w:rsidRPr="005E7CDB">
        <w:rPr>
          <w:b/>
          <w:sz w:val="28"/>
          <w:szCs w:val="28"/>
        </w:rPr>
        <w:t>pour</w:t>
      </w:r>
      <w:r w:rsidR="00F5091F" w:rsidRPr="005E7CDB">
        <w:rPr>
          <w:b/>
          <w:sz w:val="28"/>
          <w:szCs w:val="28"/>
        </w:rPr>
        <w:t xml:space="preserve"> </w:t>
      </w:r>
      <w:r w:rsidRPr="005E7CDB">
        <w:rPr>
          <w:b/>
          <w:sz w:val="28"/>
          <w:szCs w:val="28"/>
        </w:rPr>
        <w:t>l’Europe</w:t>
      </w:r>
    </w:p>
    <w:p w:rsidR="007F20FA" w:rsidRPr="005E7CDB" w:rsidRDefault="007F20FA" w:rsidP="007F20FA">
      <w:pPr>
        <w:spacing w:before="120"/>
        <w:rPr>
          <w:sz w:val="28"/>
          <w:szCs w:val="28"/>
        </w:rPr>
      </w:pPr>
      <w:r w:rsidRPr="005E7CDB">
        <w:rPr>
          <w:sz w:val="28"/>
          <w:szCs w:val="28"/>
        </w:rPr>
        <w:t>Comité</w:t>
      </w:r>
      <w:r w:rsidR="00F5091F" w:rsidRPr="005E7CDB">
        <w:rPr>
          <w:sz w:val="28"/>
          <w:szCs w:val="28"/>
        </w:rPr>
        <w:t xml:space="preserve"> </w:t>
      </w:r>
      <w:r w:rsidRPr="005E7CDB">
        <w:rPr>
          <w:sz w:val="28"/>
          <w:szCs w:val="28"/>
        </w:rPr>
        <w:t>des</w:t>
      </w:r>
      <w:r w:rsidR="00F5091F" w:rsidRPr="005E7CDB">
        <w:rPr>
          <w:sz w:val="28"/>
          <w:szCs w:val="28"/>
        </w:rPr>
        <w:t xml:space="preserve"> </w:t>
      </w:r>
      <w:r w:rsidRPr="005E7CDB">
        <w:rPr>
          <w:sz w:val="28"/>
          <w:szCs w:val="28"/>
        </w:rPr>
        <w:t>transports</w:t>
      </w:r>
      <w:r w:rsidR="00F5091F" w:rsidRPr="005E7CDB">
        <w:rPr>
          <w:sz w:val="28"/>
          <w:szCs w:val="28"/>
        </w:rPr>
        <w:t xml:space="preserve"> </w:t>
      </w:r>
      <w:r w:rsidRPr="005E7CDB">
        <w:rPr>
          <w:sz w:val="28"/>
          <w:szCs w:val="28"/>
        </w:rPr>
        <w:t>intérieurs</w:t>
      </w:r>
    </w:p>
    <w:p w:rsidR="002728BC" w:rsidRPr="005E7CDB" w:rsidRDefault="002728BC" w:rsidP="00612A3E">
      <w:pPr>
        <w:spacing w:before="120"/>
        <w:rPr>
          <w:b/>
          <w:sz w:val="24"/>
          <w:szCs w:val="24"/>
        </w:rPr>
      </w:pPr>
      <w:r w:rsidRPr="005E7CDB">
        <w:rPr>
          <w:b/>
          <w:sz w:val="24"/>
          <w:szCs w:val="24"/>
        </w:rPr>
        <w:t>Groupe</w:t>
      </w:r>
      <w:r w:rsidR="00F5091F" w:rsidRPr="005E7CDB">
        <w:rPr>
          <w:b/>
          <w:sz w:val="24"/>
          <w:szCs w:val="24"/>
        </w:rPr>
        <w:t xml:space="preserve"> </w:t>
      </w:r>
      <w:r w:rsidRPr="005E7CDB">
        <w:rPr>
          <w:b/>
          <w:sz w:val="24"/>
          <w:szCs w:val="24"/>
        </w:rPr>
        <w:t>de</w:t>
      </w:r>
      <w:r w:rsidR="00F5091F" w:rsidRPr="005E7CDB">
        <w:rPr>
          <w:b/>
          <w:sz w:val="24"/>
          <w:szCs w:val="24"/>
        </w:rPr>
        <w:t xml:space="preserve"> </w:t>
      </w:r>
      <w:r w:rsidRPr="005E7CDB">
        <w:rPr>
          <w:b/>
          <w:sz w:val="24"/>
          <w:szCs w:val="24"/>
        </w:rPr>
        <w:t>travail</w:t>
      </w:r>
      <w:r w:rsidR="00F5091F" w:rsidRPr="005E7CDB">
        <w:rPr>
          <w:b/>
          <w:sz w:val="24"/>
          <w:szCs w:val="24"/>
        </w:rPr>
        <w:t xml:space="preserve"> </w:t>
      </w:r>
      <w:r w:rsidRPr="005E7CDB">
        <w:rPr>
          <w:b/>
          <w:sz w:val="24"/>
          <w:szCs w:val="24"/>
        </w:rPr>
        <w:t>des</w:t>
      </w:r>
      <w:r w:rsidR="00F5091F" w:rsidRPr="005E7CDB">
        <w:rPr>
          <w:b/>
          <w:sz w:val="24"/>
          <w:szCs w:val="24"/>
        </w:rPr>
        <w:t xml:space="preserve"> </w:t>
      </w:r>
      <w:r w:rsidRPr="005E7CDB">
        <w:rPr>
          <w:b/>
          <w:sz w:val="24"/>
          <w:szCs w:val="24"/>
        </w:rPr>
        <w:t>transports</w:t>
      </w:r>
      <w:r w:rsidR="00F5091F" w:rsidRPr="005E7CDB">
        <w:rPr>
          <w:b/>
          <w:sz w:val="24"/>
          <w:szCs w:val="24"/>
        </w:rPr>
        <w:t xml:space="preserve"> </w:t>
      </w:r>
      <w:r w:rsidRPr="005E7CDB">
        <w:rPr>
          <w:b/>
          <w:sz w:val="24"/>
          <w:szCs w:val="24"/>
        </w:rPr>
        <w:t>de</w:t>
      </w:r>
      <w:r w:rsidR="00F5091F" w:rsidRPr="005E7CDB">
        <w:rPr>
          <w:b/>
          <w:sz w:val="24"/>
          <w:szCs w:val="24"/>
        </w:rPr>
        <w:t xml:space="preserve"> </w:t>
      </w:r>
      <w:r w:rsidRPr="005E7CDB">
        <w:rPr>
          <w:b/>
          <w:sz w:val="24"/>
          <w:szCs w:val="24"/>
        </w:rPr>
        <w:t>marchandises</w:t>
      </w:r>
      <w:r w:rsidR="00F5091F" w:rsidRPr="005E7CDB">
        <w:rPr>
          <w:b/>
          <w:sz w:val="24"/>
          <w:szCs w:val="24"/>
        </w:rPr>
        <w:t xml:space="preserve"> </w:t>
      </w:r>
      <w:r w:rsidRPr="005E7CDB">
        <w:rPr>
          <w:b/>
          <w:sz w:val="24"/>
          <w:szCs w:val="24"/>
        </w:rPr>
        <w:t>dangereuses</w:t>
      </w:r>
    </w:p>
    <w:p w:rsidR="002728BC" w:rsidRPr="005E7CDB" w:rsidRDefault="002728BC" w:rsidP="00612A3E">
      <w:pPr>
        <w:spacing w:before="120"/>
        <w:rPr>
          <w:rFonts w:eastAsia="SimSun"/>
          <w:b/>
        </w:rPr>
      </w:pPr>
      <w:r w:rsidRPr="005E7CDB">
        <w:rPr>
          <w:b/>
        </w:rPr>
        <w:t>103</w:t>
      </w:r>
      <w:r w:rsidRPr="005E7CDB">
        <w:rPr>
          <w:b/>
          <w:vertAlign w:val="superscript"/>
        </w:rPr>
        <w:t>e</w:t>
      </w:r>
      <w:r w:rsidR="004A062F" w:rsidRPr="005E7CDB">
        <w:rPr>
          <w:b/>
        </w:rPr>
        <w:t> </w:t>
      </w:r>
      <w:r w:rsidRPr="005E7CDB">
        <w:rPr>
          <w:b/>
        </w:rPr>
        <w:t>session</w:t>
      </w:r>
      <w:r w:rsidR="00F5091F" w:rsidRPr="005E7CDB">
        <w:rPr>
          <w:b/>
        </w:rPr>
        <w:t xml:space="preserve"> </w:t>
      </w:r>
    </w:p>
    <w:p w:rsidR="002728BC" w:rsidRPr="005E7CDB" w:rsidRDefault="00083459" w:rsidP="00083459">
      <w:pPr>
        <w:rPr>
          <w:rFonts w:eastAsia="SimSun"/>
        </w:rPr>
      </w:pPr>
      <w:r w:rsidRPr="005E7CDB">
        <w:t>Genève,</w:t>
      </w:r>
      <w:r w:rsidR="00F5091F" w:rsidRPr="005E7CDB">
        <w:t xml:space="preserve"> </w:t>
      </w:r>
      <w:r w:rsidRPr="005E7CDB">
        <w:t>6-</w:t>
      </w:r>
      <w:r w:rsidR="002728BC" w:rsidRPr="005E7CDB">
        <w:t>10</w:t>
      </w:r>
      <w:r w:rsidR="00F5091F" w:rsidRPr="005E7CDB">
        <w:t xml:space="preserve"> </w:t>
      </w:r>
      <w:r w:rsidR="002728BC" w:rsidRPr="005E7CDB">
        <w:t>novembre</w:t>
      </w:r>
      <w:r w:rsidR="00F5091F" w:rsidRPr="005E7CDB">
        <w:t xml:space="preserve"> </w:t>
      </w:r>
      <w:r w:rsidR="002728BC" w:rsidRPr="005E7CDB">
        <w:t>2017</w:t>
      </w:r>
      <w:r w:rsidR="00F5091F" w:rsidRPr="005E7CDB">
        <w:t xml:space="preserve"> </w:t>
      </w:r>
    </w:p>
    <w:p w:rsidR="002728BC" w:rsidRPr="005E7CDB" w:rsidRDefault="002728BC" w:rsidP="00083459">
      <w:r w:rsidRPr="005E7CDB">
        <w:t>Point</w:t>
      </w:r>
      <w:r w:rsidR="00F5091F" w:rsidRPr="005E7CDB">
        <w:t xml:space="preserve"> </w:t>
      </w:r>
      <w:r w:rsidRPr="005E7CDB">
        <w:t>7</w:t>
      </w:r>
      <w:r w:rsidR="00F5091F" w:rsidRPr="005E7CDB">
        <w:t xml:space="preserve"> </w:t>
      </w:r>
      <w:r w:rsidRPr="005E7CDB">
        <w:t>de</w:t>
      </w:r>
      <w:r w:rsidR="00F5091F" w:rsidRPr="005E7CDB">
        <w:t xml:space="preserve"> </w:t>
      </w:r>
      <w:r w:rsidRPr="005E7CDB">
        <w:t>l’ordre</w:t>
      </w:r>
      <w:r w:rsidR="00F5091F" w:rsidRPr="005E7CDB">
        <w:t xml:space="preserve"> </w:t>
      </w:r>
      <w:r w:rsidRPr="005E7CDB">
        <w:t>du</w:t>
      </w:r>
      <w:r w:rsidR="00F5091F" w:rsidRPr="005E7CDB">
        <w:t xml:space="preserve"> </w:t>
      </w:r>
      <w:r w:rsidRPr="005E7CDB">
        <w:t>jour</w:t>
      </w:r>
      <w:r w:rsidR="00F5091F" w:rsidRPr="005E7CDB">
        <w:t xml:space="preserve"> </w:t>
      </w:r>
      <w:r w:rsidRPr="005E7CDB">
        <w:t>provisoire</w:t>
      </w:r>
    </w:p>
    <w:p w:rsidR="002728BC" w:rsidRPr="005E7CDB" w:rsidRDefault="002728BC" w:rsidP="00083459">
      <w:pPr>
        <w:rPr>
          <w:b/>
        </w:rPr>
      </w:pPr>
      <w:r w:rsidRPr="005E7CDB">
        <w:rPr>
          <w:b/>
        </w:rPr>
        <w:t>Programme</w:t>
      </w:r>
      <w:r w:rsidR="00F5091F" w:rsidRPr="005E7CDB">
        <w:rPr>
          <w:b/>
        </w:rPr>
        <w:t xml:space="preserve"> </w:t>
      </w:r>
      <w:r w:rsidRPr="005E7CDB">
        <w:rPr>
          <w:b/>
        </w:rPr>
        <w:t>de</w:t>
      </w:r>
      <w:r w:rsidR="00F5091F" w:rsidRPr="005E7CDB">
        <w:rPr>
          <w:b/>
        </w:rPr>
        <w:t xml:space="preserve"> </w:t>
      </w:r>
      <w:r w:rsidRPr="005E7CDB">
        <w:rPr>
          <w:b/>
        </w:rPr>
        <w:t>travail</w:t>
      </w:r>
    </w:p>
    <w:p w:rsidR="002728BC" w:rsidRPr="005E7CDB" w:rsidRDefault="002728BC" w:rsidP="00F5091F">
      <w:pPr>
        <w:pStyle w:val="HChG"/>
      </w:pPr>
      <w:r w:rsidRPr="005E7CDB">
        <w:tab/>
      </w:r>
      <w:r w:rsidRPr="005E7CDB">
        <w:tab/>
        <w:t>Évaluations</w:t>
      </w:r>
      <w:r w:rsidR="00F5091F" w:rsidRPr="005E7CDB">
        <w:t xml:space="preserve"> </w:t>
      </w:r>
      <w:r w:rsidRPr="005E7CDB">
        <w:t>biennales</w:t>
      </w:r>
    </w:p>
    <w:p w:rsidR="002728BC" w:rsidRPr="005E7CDB" w:rsidRDefault="002728BC" w:rsidP="00F5091F">
      <w:pPr>
        <w:pStyle w:val="H1G"/>
      </w:pPr>
      <w:r w:rsidRPr="005E7CDB">
        <w:tab/>
      </w:r>
      <w:r w:rsidRPr="005E7CDB">
        <w:tab/>
        <w:t>Note</w:t>
      </w:r>
      <w:r w:rsidR="00F5091F" w:rsidRPr="005E7CDB">
        <w:t xml:space="preserve"> </w:t>
      </w:r>
      <w:r w:rsidRPr="005E7CDB">
        <w:t>du</w:t>
      </w:r>
      <w:r w:rsidR="00F5091F" w:rsidRPr="005E7CDB">
        <w:t xml:space="preserve"> </w:t>
      </w:r>
      <w:r w:rsidRPr="005E7CDB">
        <w:t>secrétariat</w:t>
      </w:r>
      <w:r w:rsidRPr="005E7CDB">
        <w:rPr>
          <w:rStyle w:val="FootnoteReference"/>
          <w:b w:val="0"/>
          <w:sz w:val="20"/>
          <w:vertAlign w:val="baseline"/>
        </w:rPr>
        <w:footnoteReference w:customMarkFollows="1" w:id="2"/>
        <w:sym w:font="Symbol" w:char="F02A"/>
      </w:r>
    </w:p>
    <w:p w:rsidR="002728BC" w:rsidRPr="005E7CDB" w:rsidRDefault="002728BC" w:rsidP="00F5091F">
      <w:pPr>
        <w:pStyle w:val="HChG"/>
      </w:pPr>
      <w:r w:rsidRPr="005E7CDB">
        <w:tab/>
      </w:r>
      <w:r w:rsidRPr="005E7CDB">
        <w:tab/>
        <w:t>Introduction</w:t>
      </w:r>
    </w:p>
    <w:p w:rsidR="002728BC" w:rsidRPr="005E7CDB" w:rsidRDefault="002728BC" w:rsidP="00F5091F">
      <w:pPr>
        <w:pStyle w:val="SingleTxtG"/>
      </w:pPr>
      <w:r w:rsidRPr="005E7CDB">
        <w:t>1.</w:t>
      </w:r>
      <w:r w:rsidRPr="005E7CDB">
        <w:tab/>
        <w:t>Au</w:t>
      </w:r>
      <w:r w:rsidR="00F5091F" w:rsidRPr="005E7CDB">
        <w:t xml:space="preserve"> </w:t>
      </w:r>
      <w:r w:rsidRPr="005E7CDB">
        <w:t>cours</w:t>
      </w:r>
      <w:r w:rsidR="00F5091F" w:rsidRPr="005E7CDB">
        <w:t xml:space="preserve"> </w:t>
      </w:r>
      <w:r w:rsidRPr="005E7CDB">
        <w:t>de</w:t>
      </w:r>
      <w:r w:rsidR="00F5091F" w:rsidRPr="005E7CDB">
        <w:t xml:space="preserve"> </w:t>
      </w:r>
      <w:r w:rsidRPr="005E7CDB">
        <w:t>la</w:t>
      </w:r>
      <w:r w:rsidR="00F5091F" w:rsidRPr="005E7CDB">
        <w:t xml:space="preserve"> </w:t>
      </w:r>
      <w:r w:rsidRPr="005E7CDB">
        <w:t>103</w:t>
      </w:r>
      <w:r w:rsidRPr="005E7CDB">
        <w:rPr>
          <w:vertAlign w:val="superscript"/>
        </w:rPr>
        <w:t>e</w:t>
      </w:r>
      <w:r w:rsidR="004A062F" w:rsidRPr="005E7CDB">
        <w:t> </w:t>
      </w:r>
      <w:r w:rsidRPr="005E7CDB">
        <w:t>session,</w:t>
      </w:r>
      <w:r w:rsidR="00F5091F" w:rsidRPr="005E7CDB">
        <w:t xml:space="preserve"> </w:t>
      </w:r>
      <w:r w:rsidRPr="005E7CDB">
        <w:t>le</w:t>
      </w:r>
      <w:r w:rsidR="00F5091F" w:rsidRPr="005E7CDB">
        <w:t xml:space="preserve"> </w:t>
      </w:r>
      <w:r w:rsidRPr="005E7CDB">
        <w:t>secrétariat</w:t>
      </w:r>
      <w:r w:rsidR="00F5091F" w:rsidRPr="005E7CDB">
        <w:t xml:space="preserve"> </w:t>
      </w:r>
      <w:r w:rsidRPr="005E7CDB">
        <w:t>a</w:t>
      </w:r>
      <w:r w:rsidR="00F5091F" w:rsidRPr="005E7CDB">
        <w:t xml:space="preserve"> </w:t>
      </w:r>
      <w:r w:rsidRPr="005E7CDB">
        <w:t>présenté</w:t>
      </w:r>
      <w:r w:rsidR="00F5091F" w:rsidRPr="005E7CDB">
        <w:t xml:space="preserve"> </w:t>
      </w:r>
      <w:r w:rsidRPr="005E7CDB">
        <w:t>un</w:t>
      </w:r>
      <w:r w:rsidR="00F5091F" w:rsidRPr="005E7CDB">
        <w:t xml:space="preserve"> </w:t>
      </w:r>
      <w:r w:rsidRPr="005E7CDB">
        <w:t>projet</w:t>
      </w:r>
      <w:r w:rsidR="00F5091F" w:rsidRPr="005E7CDB">
        <w:t xml:space="preserve"> </w:t>
      </w:r>
      <w:r w:rsidRPr="005E7CDB">
        <w:t>d’ensemble</w:t>
      </w:r>
      <w:r w:rsidR="00F5091F" w:rsidRPr="005E7CDB">
        <w:t xml:space="preserve"> </w:t>
      </w:r>
      <w:r w:rsidRPr="005E7CDB">
        <w:t>de</w:t>
      </w:r>
      <w:r w:rsidR="00F5091F" w:rsidRPr="005E7CDB">
        <w:t xml:space="preserve"> </w:t>
      </w:r>
      <w:r w:rsidRPr="005E7CDB">
        <w:t>l’évaluation</w:t>
      </w:r>
      <w:r w:rsidR="00F5091F" w:rsidRPr="005E7CDB">
        <w:t xml:space="preserve"> </w:t>
      </w:r>
      <w:r w:rsidRPr="005E7CDB">
        <w:t>des</w:t>
      </w:r>
      <w:r w:rsidR="00F5091F" w:rsidRPr="005E7CDB">
        <w:t xml:space="preserve"> </w:t>
      </w:r>
      <w:r w:rsidRPr="005E7CDB">
        <w:t>activités</w:t>
      </w:r>
      <w:r w:rsidR="00F5091F" w:rsidRPr="005E7CDB">
        <w:t xml:space="preserve"> </w:t>
      </w:r>
      <w:r w:rsidRPr="005E7CDB">
        <w:t>du</w:t>
      </w:r>
      <w:r w:rsidR="00F5091F" w:rsidRPr="005E7CDB">
        <w:t xml:space="preserve"> </w:t>
      </w:r>
      <w:r w:rsidRPr="005E7CDB">
        <w:t>Groupe</w:t>
      </w:r>
      <w:r w:rsidR="00F5091F" w:rsidRPr="005E7CDB">
        <w:t xml:space="preserve"> </w:t>
      </w:r>
      <w:r w:rsidRPr="005E7CDB">
        <w:t>de</w:t>
      </w:r>
      <w:r w:rsidR="00F5091F" w:rsidRPr="005E7CDB">
        <w:t xml:space="preserve"> </w:t>
      </w:r>
      <w:r w:rsidRPr="005E7CDB">
        <w:t>travail</w:t>
      </w:r>
      <w:r w:rsidR="00F5091F" w:rsidRPr="005E7CDB">
        <w:t xml:space="preserve"> </w:t>
      </w:r>
      <w:r w:rsidRPr="005E7CDB">
        <w:t>dans</w:t>
      </w:r>
      <w:r w:rsidR="00F5091F" w:rsidRPr="005E7CDB">
        <w:t xml:space="preserve"> </w:t>
      </w:r>
      <w:r w:rsidRPr="005E7CDB">
        <w:t>le</w:t>
      </w:r>
      <w:r w:rsidR="00F5091F" w:rsidRPr="005E7CDB">
        <w:t xml:space="preserve"> </w:t>
      </w:r>
      <w:r w:rsidRPr="005E7CDB">
        <w:t>document</w:t>
      </w:r>
      <w:r w:rsidR="00F5091F" w:rsidRPr="005E7CDB">
        <w:t xml:space="preserve"> </w:t>
      </w:r>
      <w:r w:rsidRPr="005E7CDB">
        <w:t>informel</w:t>
      </w:r>
      <w:r w:rsidR="00F5091F" w:rsidRPr="005E7CDB">
        <w:t xml:space="preserve"> </w:t>
      </w:r>
      <w:r w:rsidRPr="005E7CDB">
        <w:t>INF.8.</w:t>
      </w:r>
      <w:r w:rsidR="00F5091F" w:rsidRPr="005E7CDB">
        <w:t xml:space="preserve"> </w:t>
      </w:r>
    </w:p>
    <w:p w:rsidR="002728BC" w:rsidRPr="005E7CDB" w:rsidRDefault="002728BC" w:rsidP="002728BC">
      <w:pPr>
        <w:pStyle w:val="SingleTxtG"/>
        <w:spacing w:after="240"/>
      </w:pPr>
      <w:r w:rsidRPr="005E7CDB">
        <w:t>2.</w:t>
      </w:r>
      <w:r w:rsidRPr="005E7CDB">
        <w:tab/>
        <w:t>Comme</w:t>
      </w:r>
      <w:r w:rsidR="00F5091F" w:rsidRPr="005E7CDB">
        <w:t xml:space="preserve"> </w:t>
      </w:r>
      <w:r w:rsidRPr="005E7CDB">
        <w:t>demandé</w:t>
      </w:r>
      <w:r w:rsidR="00F5091F" w:rsidRPr="005E7CDB">
        <w:t xml:space="preserve"> </w:t>
      </w:r>
      <w:r w:rsidRPr="005E7CDB">
        <w:t>par</w:t>
      </w:r>
      <w:r w:rsidR="00F5091F" w:rsidRPr="005E7CDB">
        <w:t xml:space="preserve"> </w:t>
      </w:r>
      <w:r w:rsidRPr="005E7CDB">
        <w:t>le</w:t>
      </w:r>
      <w:r w:rsidR="00F5091F" w:rsidRPr="005E7CDB">
        <w:t xml:space="preserve"> </w:t>
      </w:r>
      <w:r w:rsidRPr="005E7CDB">
        <w:t>Groupe</w:t>
      </w:r>
      <w:r w:rsidR="00F5091F" w:rsidRPr="005E7CDB">
        <w:t xml:space="preserve"> </w:t>
      </w:r>
      <w:r w:rsidRPr="005E7CDB">
        <w:t>de</w:t>
      </w:r>
      <w:r w:rsidR="00F5091F" w:rsidRPr="005E7CDB">
        <w:t xml:space="preserve"> </w:t>
      </w:r>
      <w:r w:rsidRPr="005E7CDB">
        <w:t>travail</w:t>
      </w:r>
      <w:r w:rsidR="00F5091F" w:rsidRPr="005E7CDB">
        <w:t xml:space="preserve"> </w:t>
      </w:r>
      <w:r w:rsidRPr="005E7CDB">
        <w:t>(voir</w:t>
      </w:r>
      <w:r w:rsidR="00F5091F" w:rsidRPr="005E7CDB">
        <w:t xml:space="preserve"> </w:t>
      </w:r>
      <w:r w:rsidRPr="005E7CDB">
        <w:t>ECE/TRANS/WP.15/237,</w:t>
      </w:r>
      <w:r w:rsidR="00F5091F" w:rsidRPr="005E7CDB">
        <w:t xml:space="preserve"> </w:t>
      </w:r>
      <w:r w:rsidRPr="005E7CDB">
        <w:t>par</w:t>
      </w:r>
      <w:r w:rsidR="004A062F" w:rsidRPr="005E7CDB">
        <w:t>. </w:t>
      </w:r>
      <w:r w:rsidRPr="005E7CDB">
        <w:t>60),</w:t>
      </w:r>
      <w:r w:rsidR="00F5091F" w:rsidRPr="005E7CDB">
        <w:t xml:space="preserve"> </w:t>
      </w:r>
      <w:r w:rsidRPr="005E7CDB">
        <w:t>une</w:t>
      </w:r>
      <w:r w:rsidR="00F5091F" w:rsidRPr="005E7CDB">
        <w:t xml:space="preserve"> </w:t>
      </w:r>
      <w:r w:rsidRPr="005E7CDB">
        <w:t>version</w:t>
      </w:r>
      <w:r w:rsidR="00F5091F" w:rsidRPr="005E7CDB">
        <w:t xml:space="preserve"> </w:t>
      </w:r>
      <w:r w:rsidRPr="005E7CDB">
        <w:t>révisée</w:t>
      </w:r>
      <w:r w:rsidR="00F5091F" w:rsidRPr="005E7CDB">
        <w:t xml:space="preserve"> </w:t>
      </w:r>
      <w:r w:rsidRPr="005E7CDB">
        <w:t>et</w:t>
      </w:r>
      <w:r w:rsidR="00F5091F" w:rsidRPr="005E7CDB">
        <w:t xml:space="preserve"> </w:t>
      </w:r>
      <w:r w:rsidRPr="005E7CDB">
        <w:t>mise</w:t>
      </w:r>
      <w:r w:rsidR="00F5091F" w:rsidRPr="005E7CDB">
        <w:t xml:space="preserve"> </w:t>
      </w:r>
      <w:r w:rsidRPr="005E7CDB">
        <w:t>à</w:t>
      </w:r>
      <w:r w:rsidR="00F5091F" w:rsidRPr="005E7CDB">
        <w:t xml:space="preserve"> </w:t>
      </w:r>
      <w:r w:rsidRPr="005E7CDB">
        <w:t>jour</w:t>
      </w:r>
      <w:r w:rsidR="00F5091F" w:rsidRPr="005E7CDB">
        <w:t xml:space="preserve"> </w:t>
      </w:r>
      <w:r w:rsidRPr="005E7CDB">
        <w:t>de</w:t>
      </w:r>
      <w:r w:rsidR="00F5091F" w:rsidRPr="005E7CDB">
        <w:t xml:space="preserve"> </w:t>
      </w:r>
      <w:r w:rsidRPr="005E7CDB">
        <w:t>l’évaluation</w:t>
      </w:r>
      <w:r w:rsidR="00F5091F" w:rsidRPr="005E7CDB">
        <w:t xml:space="preserve"> </w:t>
      </w:r>
      <w:r w:rsidRPr="005E7CDB">
        <w:t>biennale</w:t>
      </w:r>
      <w:r w:rsidR="00F5091F" w:rsidRPr="005E7CDB">
        <w:t xml:space="preserve"> </w:t>
      </w:r>
      <w:r w:rsidRPr="005E7CDB">
        <w:t>des</w:t>
      </w:r>
      <w:r w:rsidR="00F5091F" w:rsidRPr="005E7CDB">
        <w:t xml:space="preserve"> </w:t>
      </w:r>
      <w:r w:rsidRPr="005E7CDB">
        <w:t>activités</w:t>
      </w:r>
      <w:r w:rsidR="00F5091F" w:rsidRPr="005E7CDB">
        <w:t xml:space="preserve"> </w:t>
      </w:r>
      <w:r w:rsidRPr="005E7CDB">
        <w:t>du</w:t>
      </w:r>
      <w:r w:rsidR="00F5091F" w:rsidRPr="005E7CDB">
        <w:t xml:space="preserve"> </w:t>
      </w:r>
      <w:r w:rsidRPr="005E7CDB">
        <w:t>Groupe</w:t>
      </w:r>
      <w:r w:rsidR="00F5091F" w:rsidRPr="005E7CDB">
        <w:t xml:space="preserve"> </w:t>
      </w:r>
      <w:r w:rsidRPr="005E7CDB">
        <w:t>de</w:t>
      </w:r>
      <w:r w:rsidR="00F5091F" w:rsidRPr="005E7CDB">
        <w:t xml:space="preserve"> </w:t>
      </w:r>
      <w:r w:rsidRPr="005E7CDB">
        <w:t>travail</w:t>
      </w:r>
      <w:r w:rsidR="00F5091F" w:rsidRPr="005E7CDB">
        <w:t xml:space="preserve"> </w:t>
      </w:r>
      <w:r w:rsidRPr="005E7CDB">
        <w:t>pour</w:t>
      </w:r>
      <w:r w:rsidR="00F5091F" w:rsidRPr="005E7CDB">
        <w:t xml:space="preserve"> </w:t>
      </w:r>
      <w:r w:rsidR="004A062F" w:rsidRPr="005E7CDB">
        <w:t>2016-</w:t>
      </w:r>
      <w:r w:rsidRPr="005E7CDB">
        <w:t>2017</w:t>
      </w:r>
      <w:r w:rsidR="00F5091F" w:rsidRPr="005E7CDB">
        <w:t xml:space="preserve"> </w:t>
      </w:r>
      <w:r w:rsidRPr="005E7CDB">
        <w:t>est</w:t>
      </w:r>
      <w:r w:rsidR="00F5091F" w:rsidRPr="005E7CDB">
        <w:t xml:space="preserve"> </w:t>
      </w:r>
      <w:r w:rsidRPr="005E7CDB">
        <w:t>présentée</w:t>
      </w:r>
      <w:r w:rsidR="00F5091F" w:rsidRPr="005E7CDB">
        <w:t xml:space="preserve"> </w:t>
      </w:r>
      <w:r w:rsidRPr="005E7CDB">
        <w:t>à</w:t>
      </w:r>
      <w:r w:rsidR="00F5091F" w:rsidRPr="005E7CDB">
        <w:t xml:space="preserve"> </w:t>
      </w:r>
      <w:r w:rsidRPr="005E7CDB">
        <w:t>l’annexe</w:t>
      </w:r>
      <w:r w:rsidR="00F5091F" w:rsidRPr="005E7CDB">
        <w:t xml:space="preserve"> </w:t>
      </w:r>
      <w:r w:rsidRPr="005E7CDB">
        <w:t>I</w:t>
      </w:r>
      <w:r w:rsidR="00F5091F" w:rsidRPr="005E7CDB">
        <w:t xml:space="preserve"> </w:t>
      </w:r>
      <w:r w:rsidRPr="005E7CDB">
        <w:t>et</w:t>
      </w:r>
      <w:r w:rsidR="00F5091F" w:rsidRPr="005E7CDB">
        <w:t xml:space="preserve"> </w:t>
      </w:r>
      <w:r w:rsidRPr="005E7CDB">
        <w:t>un</w:t>
      </w:r>
      <w:r w:rsidR="00F5091F" w:rsidRPr="005E7CDB">
        <w:t xml:space="preserve"> </w:t>
      </w:r>
      <w:r w:rsidRPr="005E7CDB">
        <w:t>projet</w:t>
      </w:r>
      <w:r w:rsidR="00F5091F" w:rsidRPr="005E7CDB">
        <w:t xml:space="preserve"> </w:t>
      </w:r>
      <w:r w:rsidRPr="005E7CDB">
        <w:t>de</w:t>
      </w:r>
      <w:r w:rsidR="00F5091F" w:rsidRPr="005E7CDB">
        <w:t xml:space="preserve"> </w:t>
      </w:r>
      <w:r w:rsidRPr="005E7CDB">
        <w:t>plan</w:t>
      </w:r>
      <w:r w:rsidR="00F5091F" w:rsidRPr="005E7CDB">
        <w:t xml:space="preserve"> </w:t>
      </w:r>
      <w:r w:rsidRPr="005E7CDB">
        <w:t>d’évaluation</w:t>
      </w:r>
      <w:r w:rsidR="00F5091F" w:rsidRPr="005E7CDB">
        <w:t xml:space="preserve"> </w:t>
      </w:r>
      <w:r w:rsidRPr="005E7CDB">
        <w:t>biennale</w:t>
      </w:r>
      <w:r w:rsidR="00F5091F" w:rsidRPr="005E7CDB">
        <w:t xml:space="preserve"> </w:t>
      </w:r>
      <w:r w:rsidRPr="005E7CDB">
        <w:t>pour</w:t>
      </w:r>
      <w:r w:rsidR="00F5091F" w:rsidRPr="005E7CDB">
        <w:t xml:space="preserve"> </w:t>
      </w:r>
      <w:r w:rsidRPr="005E7CDB">
        <w:t>la</w:t>
      </w:r>
      <w:r w:rsidR="00F5091F" w:rsidRPr="005E7CDB">
        <w:t xml:space="preserve"> </w:t>
      </w:r>
      <w:r w:rsidRPr="005E7CDB">
        <w:t>période</w:t>
      </w:r>
      <w:r w:rsidR="00F5091F" w:rsidRPr="005E7CDB">
        <w:t xml:space="preserve"> </w:t>
      </w:r>
      <w:r w:rsidRPr="005E7CDB">
        <w:t>2018-2019</w:t>
      </w:r>
      <w:r w:rsidR="00F5091F" w:rsidRPr="005E7CDB">
        <w:t xml:space="preserve"> </w:t>
      </w:r>
      <w:r w:rsidRPr="005E7CDB">
        <w:t>est</w:t>
      </w:r>
      <w:r w:rsidR="00F5091F" w:rsidRPr="005E7CDB">
        <w:t xml:space="preserve"> </w:t>
      </w:r>
      <w:r w:rsidRPr="005E7CDB">
        <w:t>présenté</w:t>
      </w:r>
      <w:r w:rsidR="00F5091F" w:rsidRPr="005E7CDB">
        <w:t xml:space="preserve"> </w:t>
      </w:r>
      <w:r w:rsidRPr="005E7CDB">
        <w:t>à</w:t>
      </w:r>
      <w:r w:rsidR="00F5091F" w:rsidRPr="005E7CDB">
        <w:t xml:space="preserve"> </w:t>
      </w:r>
      <w:r w:rsidRPr="005E7CDB">
        <w:t>l’annexe</w:t>
      </w:r>
      <w:r w:rsidR="00F5091F" w:rsidRPr="005E7CDB">
        <w:t xml:space="preserve"> </w:t>
      </w:r>
      <w:r w:rsidRPr="005E7CDB">
        <w:t>II.</w:t>
      </w:r>
    </w:p>
    <w:p w:rsidR="002728BC" w:rsidRPr="005E7CDB" w:rsidRDefault="002728BC" w:rsidP="003B0092">
      <w:pPr>
        <w:pStyle w:val="HChG"/>
      </w:pPr>
      <w:r w:rsidRPr="005E7CDB">
        <w:br w:type="page"/>
      </w:r>
      <w:r w:rsidRPr="005E7CDB">
        <w:lastRenderedPageBreak/>
        <w:t>Annexe</w:t>
      </w:r>
      <w:r w:rsidR="00F5091F" w:rsidRPr="005E7CDB">
        <w:t xml:space="preserve"> </w:t>
      </w:r>
      <w:r w:rsidRPr="005E7CDB">
        <w:t>I</w:t>
      </w:r>
    </w:p>
    <w:p w:rsidR="002728BC" w:rsidRPr="005E7CDB" w:rsidRDefault="002728BC" w:rsidP="003B0092">
      <w:pPr>
        <w:pStyle w:val="HChG"/>
      </w:pPr>
      <w:r w:rsidRPr="005E7CDB">
        <w:tab/>
      </w:r>
      <w:r w:rsidRPr="005E7CDB">
        <w:tab/>
        <w:t>Évaluation</w:t>
      </w:r>
      <w:r w:rsidR="00F5091F" w:rsidRPr="005E7CDB">
        <w:t xml:space="preserve"> </w:t>
      </w:r>
      <w:r w:rsidRPr="005E7CDB">
        <w:t>des</w:t>
      </w:r>
      <w:r w:rsidR="00F5091F" w:rsidRPr="005E7CDB">
        <w:t xml:space="preserve"> </w:t>
      </w:r>
      <w:r w:rsidRPr="005E7CDB">
        <w:t>résultats</w:t>
      </w:r>
      <w:r w:rsidR="00F5091F" w:rsidRPr="005E7CDB">
        <w:t xml:space="preserve"> </w:t>
      </w:r>
      <w:r w:rsidRPr="005E7CDB">
        <w:t>du</w:t>
      </w:r>
      <w:r w:rsidR="00F5091F" w:rsidRPr="005E7CDB">
        <w:t xml:space="preserve"> </w:t>
      </w:r>
      <w:r w:rsidRPr="005E7CDB">
        <w:t>programme</w:t>
      </w:r>
      <w:r w:rsidR="00F5091F" w:rsidRPr="005E7CDB">
        <w:t xml:space="preserve"> </w:t>
      </w:r>
      <w:r w:rsidRPr="005E7CDB">
        <w:t>pour</w:t>
      </w:r>
      <w:r w:rsidR="00F5091F" w:rsidRPr="005E7CDB">
        <w:t xml:space="preserve"> </w:t>
      </w:r>
      <w:r w:rsidRPr="005E7CDB">
        <w:t>2016-2017</w:t>
      </w:r>
    </w:p>
    <w:p w:rsidR="002728BC" w:rsidRPr="005E7CDB" w:rsidRDefault="002728BC" w:rsidP="00DD77D6">
      <w:pPr>
        <w:pStyle w:val="H1G"/>
      </w:pPr>
      <w:r w:rsidRPr="005E7CDB">
        <w:tab/>
        <w:t>I.</w:t>
      </w:r>
      <w:r w:rsidRPr="005E7CDB">
        <w:tab/>
        <w:t>Groupe</w:t>
      </w:r>
      <w:r w:rsidR="00F5091F" w:rsidRPr="005E7CDB">
        <w:t xml:space="preserve"> </w:t>
      </w:r>
      <w:r w:rsidRPr="005E7CDB">
        <w:t>d’activité</w:t>
      </w:r>
      <w:r w:rsidR="00F5091F" w:rsidRPr="005E7CDB">
        <w:t xml:space="preserve"> </w:t>
      </w:r>
      <w:r w:rsidRPr="005E7CDB">
        <w:t>9.a</w:t>
      </w:r>
      <w:r w:rsidR="00F5091F" w:rsidRPr="005E7CDB">
        <w:t xml:space="preserve"> </w:t>
      </w:r>
      <w:r w:rsidRPr="005E7CDB">
        <w:t>Transport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(CEE)</w:t>
      </w:r>
    </w:p>
    <w:p w:rsidR="002728BC" w:rsidRPr="005E7CDB" w:rsidRDefault="002728BC" w:rsidP="00DD77D6">
      <w:pPr>
        <w:pStyle w:val="H23G"/>
        <w:rPr>
          <w:rFonts w:eastAsia="MS Mincho"/>
        </w:rPr>
      </w:pPr>
      <w:r w:rsidRPr="005E7CDB">
        <w:tab/>
        <w:t>A.</w:t>
      </w:r>
      <w:r w:rsidRPr="005E7CDB">
        <w:tab/>
        <w:t>Réalisation</w:t>
      </w:r>
      <w:r w:rsidR="00F5091F" w:rsidRPr="005E7CDB">
        <w:t xml:space="preserve"> </w:t>
      </w:r>
      <w:r w:rsidRPr="005E7CDB">
        <w:t>escomptée</w:t>
      </w:r>
      <w:r w:rsidR="00F5091F" w:rsidRPr="005E7CDB">
        <w:t xml:space="preserve"> </w:t>
      </w:r>
      <w:r w:rsidRPr="005E7CDB">
        <w:t>(RE</w:t>
      </w:r>
      <w:r w:rsidR="00F5091F" w:rsidRPr="005E7CDB">
        <w:t xml:space="preserve"> </w:t>
      </w:r>
      <w:r w:rsidRPr="005E7CDB">
        <w:t>9.a)</w:t>
      </w:r>
    </w:p>
    <w:p w:rsidR="002728BC" w:rsidRPr="005E7CDB" w:rsidRDefault="002728BC" w:rsidP="009C3578">
      <w:pPr>
        <w:pStyle w:val="SingleTxtG"/>
      </w:pPr>
      <w:r w:rsidRPr="005E7CDB">
        <w:t>1.</w:t>
      </w:r>
      <w:r w:rsidRPr="005E7CDB">
        <w:tab/>
        <w:t>Adoption</w:t>
      </w:r>
      <w:r w:rsidR="00F5091F" w:rsidRPr="005E7CDB">
        <w:t xml:space="preserve"> </w:t>
      </w:r>
      <w:r w:rsidRPr="005E7CDB">
        <w:t>d’amendements</w:t>
      </w:r>
      <w:r w:rsidR="00F5091F" w:rsidRPr="005E7CDB">
        <w:t xml:space="preserve"> </w:t>
      </w:r>
      <w:r w:rsidRPr="005E7CDB">
        <w:t>à</w:t>
      </w:r>
      <w:r w:rsidR="00F5091F" w:rsidRPr="005E7CDB">
        <w:t xml:space="preserve"> </w:t>
      </w:r>
      <w:r w:rsidRPr="005E7CDB">
        <w:t>l’ADR</w:t>
      </w:r>
      <w:r w:rsidR="008A0908" w:rsidRPr="005E7CDB">
        <w:rPr>
          <w:rStyle w:val="FootnoteReference"/>
        </w:rPr>
        <w:footnoteReference w:id="3"/>
      </w:r>
      <w:r w:rsidR="00F5091F" w:rsidRPr="005E7CDB">
        <w:t xml:space="preserve"> </w:t>
      </w:r>
      <w:r w:rsidRPr="005E7CDB">
        <w:t>et,</w:t>
      </w:r>
      <w:r w:rsidR="00F5091F" w:rsidRPr="005E7CDB">
        <w:t xml:space="preserve"> </w:t>
      </w:r>
      <w:r w:rsidRPr="005E7CDB">
        <w:t>à</w:t>
      </w:r>
      <w:r w:rsidR="00F5091F" w:rsidRPr="005E7CDB">
        <w:t xml:space="preserve"> </w:t>
      </w:r>
      <w:r w:rsidRPr="005E7CDB">
        <w:t>l’issue</w:t>
      </w:r>
      <w:r w:rsidR="00F5091F" w:rsidRPr="005E7CDB">
        <w:t xml:space="preserve"> </w:t>
      </w:r>
      <w:r w:rsidRPr="005E7CDB">
        <w:t>d’activités</w:t>
      </w:r>
      <w:r w:rsidR="00F5091F" w:rsidRPr="005E7CDB">
        <w:t xml:space="preserve"> </w:t>
      </w:r>
      <w:r w:rsidRPr="005E7CDB">
        <w:t>communes</w:t>
      </w:r>
      <w:r w:rsidR="00F5091F" w:rsidRPr="005E7CDB">
        <w:t xml:space="preserve"> </w:t>
      </w:r>
      <w:r w:rsidRPr="005E7CDB">
        <w:t>entreprises</w:t>
      </w:r>
      <w:r w:rsidR="00F5091F" w:rsidRPr="005E7CDB">
        <w:t xml:space="preserve"> </w:t>
      </w:r>
      <w:r w:rsidRPr="005E7CDB">
        <w:t>avec</w:t>
      </w:r>
      <w:r w:rsidR="00F5091F" w:rsidRPr="005E7CDB">
        <w:t xml:space="preserve"> </w:t>
      </w:r>
      <w:r w:rsidRPr="005E7CDB">
        <w:t>l’Organisation</w:t>
      </w:r>
      <w:r w:rsidR="00F5091F" w:rsidRPr="005E7CDB">
        <w:t xml:space="preserve"> </w:t>
      </w:r>
      <w:r w:rsidRPr="005E7CDB">
        <w:t>intergouvernementale</w:t>
      </w:r>
      <w:r w:rsidR="00F5091F" w:rsidRPr="005E7CDB">
        <w:t xml:space="preserve"> </w:t>
      </w:r>
      <w:r w:rsidRPr="005E7CDB">
        <w:t>pour</w:t>
      </w:r>
      <w:r w:rsidR="00F5091F" w:rsidRPr="005E7CDB">
        <w:t xml:space="preserve"> </w:t>
      </w:r>
      <w:r w:rsidRPr="005E7CDB">
        <w:t>les</w:t>
      </w:r>
      <w:r w:rsidR="00F5091F" w:rsidRPr="005E7CDB">
        <w:t xml:space="preserve"> </w:t>
      </w:r>
      <w:r w:rsidRPr="005E7CDB">
        <w:t>transports</w:t>
      </w:r>
      <w:r w:rsidR="00F5091F" w:rsidRPr="005E7CDB">
        <w:t xml:space="preserve"> </w:t>
      </w:r>
      <w:r w:rsidRPr="005E7CDB">
        <w:t>internationaux</w:t>
      </w:r>
      <w:r w:rsidR="00F5091F" w:rsidRPr="005E7CDB">
        <w:t xml:space="preserve"> </w:t>
      </w:r>
      <w:r w:rsidRPr="005E7CDB">
        <w:t>ferroviaires</w:t>
      </w:r>
      <w:r w:rsidR="00F5091F" w:rsidRPr="005E7CDB">
        <w:t xml:space="preserve"> </w:t>
      </w:r>
      <w:r w:rsidRPr="005E7CDB">
        <w:t>(OTIF)</w:t>
      </w:r>
      <w:r w:rsidR="00F5091F" w:rsidRPr="005E7CDB">
        <w:t xml:space="preserve"> </w:t>
      </w:r>
      <w:r w:rsidRPr="005E7CDB">
        <w:t>et</w:t>
      </w:r>
      <w:r w:rsidR="00F5091F" w:rsidRPr="005E7CDB">
        <w:t xml:space="preserve"> </w:t>
      </w:r>
      <w:r w:rsidRPr="005E7CDB">
        <w:t>la</w:t>
      </w:r>
      <w:r w:rsidR="00F5091F" w:rsidRPr="005E7CDB">
        <w:t xml:space="preserve"> </w:t>
      </w:r>
      <w:r w:rsidRPr="005E7CDB">
        <w:t>Commission</w:t>
      </w:r>
      <w:r w:rsidR="00F5091F" w:rsidRPr="005E7CDB">
        <w:t xml:space="preserve"> </w:t>
      </w:r>
      <w:r w:rsidRPr="005E7CDB">
        <w:t>centrale</w:t>
      </w:r>
      <w:r w:rsidR="00F5091F" w:rsidRPr="005E7CDB">
        <w:t xml:space="preserve"> </w:t>
      </w:r>
      <w:r w:rsidRPr="005E7CDB">
        <w:t>pour</w:t>
      </w:r>
      <w:r w:rsidR="00F5091F" w:rsidRPr="005E7CDB">
        <w:t xml:space="preserve"> </w:t>
      </w:r>
      <w:r w:rsidRPr="005E7CDB">
        <w:t>la</w:t>
      </w:r>
      <w:r w:rsidR="00F5091F" w:rsidRPr="005E7CDB">
        <w:t xml:space="preserve"> </w:t>
      </w:r>
      <w:r w:rsidRPr="005E7CDB">
        <w:t>navigation</w:t>
      </w:r>
      <w:r w:rsidR="00F5091F" w:rsidRPr="005E7CDB">
        <w:t xml:space="preserve"> </w:t>
      </w:r>
      <w:r w:rsidRPr="005E7CDB">
        <w:t>du</w:t>
      </w:r>
      <w:r w:rsidR="00F5091F" w:rsidRPr="005E7CDB">
        <w:t xml:space="preserve"> </w:t>
      </w:r>
      <w:r w:rsidRPr="005E7CDB">
        <w:t>Rhin</w:t>
      </w:r>
      <w:r w:rsidR="00F5091F" w:rsidRPr="005E7CDB">
        <w:t xml:space="preserve"> </w:t>
      </w:r>
      <w:r w:rsidRPr="005E7CDB">
        <w:t>(CCNR),</w:t>
      </w:r>
      <w:r w:rsidR="00F5091F" w:rsidRPr="005E7CDB">
        <w:t xml:space="preserve"> </w:t>
      </w:r>
      <w:r w:rsidRPr="005E7CDB">
        <w:t>d’amendements</w:t>
      </w:r>
      <w:r w:rsidR="00F5091F" w:rsidRPr="005E7CDB">
        <w:t xml:space="preserve"> </w:t>
      </w:r>
      <w:r w:rsidRPr="005E7CDB">
        <w:t>au</w:t>
      </w:r>
      <w:r w:rsidR="00F5091F" w:rsidRPr="005E7CDB">
        <w:t xml:space="preserve"> </w:t>
      </w:r>
      <w:r w:rsidRPr="005E7CDB">
        <w:t>RID</w:t>
      </w:r>
      <w:r w:rsidR="008A0908" w:rsidRPr="005E7CDB">
        <w:rPr>
          <w:rStyle w:val="FootnoteReference"/>
        </w:rPr>
        <w:footnoteReference w:id="4"/>
      </w:r>
      <w:r w:rsidR="007134EE">
        <w:t xml:space="preserve"> </w:t>
      </w:r>
      <w:r w:rsidRPr="005E7CDB">
        <w:t>et</w:t>
      </w:r>
      <w:r w:rsidR="00F5091F" w:rsidRPr="005E7CDB">
        <w:t xml:space="preserve"> </w:t>
      </w:r>
      <w:r w:rsidRPr="005E7CDB">
        <w:t>à</w:t>
      </w:r>
      <w:r w:rsidR="00F5091F" w:rsidRPr="005E7CDB">
        <w:t xml:space="preserve"> </w:t>
      </w:r>
      <w:r w:rsidRPr="005E7CDB">
        <w:t>l’ADN</w:t>
      </w:r>
      <w:r w:rsidR="008A0908" w:rsidRPr="005E7CDB">
        <w:rPr>
          <w:rStyle w:val="FootnoteReference"/>
        </w:rPr>
        <w:footnoteReference w:id="5"/>
      </w:r>
      <w:r w:rsidR="007134EE">
        <w:t xml:space="preserve"> </w:t>
      </w:r>
      <w:r w:rsidRPr="005E7CDB">
        <w:t>respectivement,</w:t>
      </w:r>
      <w:r w:rsidR="00F5091F" w:rsidRPr="005E7CDB">
        <w:t xml:space="preserve"> </w:t>
      </w:r>
      <w:r w:rsidRPr="005E7CDB">
        <w:t>afin</w:t>
      </w:r>
      <w:r w:rsidR="00F5091F" w:rsidRPr="005E7CDB">
        <w:t xml:space="preserve"> </w:t>
      </w:r>
      <w:r w:rsidRPr="005E7CDB">
        <w:t>de</w:t>
      </w:r>
      <w:r w:rsidR="00F5091F" w:rsidRPr="005E7CDB">
        <w:t xml:space="preserve"> </w:t>
      </w:r>
      <w:r w:rsidRPr="005E7CDB">
        <w:t>conserver</w:t>
      </w:r>
      <w:r w:rsidR="00F5091F" w:rsidRPr="005E7CDB">
        <w:t xml:space="preserve"> </w:t>
      </w:r>
      <w:r w:rsidRPr="005E7CDB">
        <w:t>le</w:t>
      </w:r>
      <w:r w:rsidR="00F5091F" w:rsidRPr="005E7CDB">
        <w:t xml:space="preserve"> </w:t>
      </w:r>
      <w:r w:rsidRPr="005E7CDB">
        <w:t>niveau</w:t>
      </w:r>
      <w:r w:rsidR="00F5091F" w:rsidRPr="005E7CDB">
        <w:t xml:space="preserve"> </w:t>
      </w:r>
      <w:r w:rsidRPr="005E7CDB">
        <w:t>nécessaire</w:t>
      </w:r>
      <w:r w:rsidR="00F5091F" w:rsidRPr="005E7CDB">
        <w:t xml:space="preserve"> </w:t>
      </w:r>
      <w:r w:rsidRPr="005E7CDB">
        <w:t>de</w:t>
      </w:r>
      <w:r w:rsidR="00F5091F" w:rsidRPr="005E7CDB">
        <w:t xml:space="preserve"> </w:t>
      </w:r>
      <w:r w:rsidRPr="005E7CDB">
        <w:t>sûreté,</w:t>
      </w:r>
      <w:r w:rsidR="00F5091F" w:rsidRPr="005E7CDB">
        <w:t xml:space="preserve"> </w:t>
      </w:r>
      <w:r w:rsidRPr="005E7CDB">
        <w:t>de</w:t>
      </w:r>
      <w:r w:rsidR="00F5091F" w:rsidRPr="005E7CDB">
        <w:t xml:space="preserve"> </w:t>
      </w:r>
      <w:r w:rsidRPr="005E7CDB">
        <w:t>sécurité</w:t>
      </w:r>
      <w:r w:rsidR="00F5091F" w:rsidRPr="005E7CDB">
        <w:t xml:space="preserve"> </w:t>
      </w:r>
      <w:r w:rsidRPr="005E7CDB">
        <w:t>et</w:t>
      </w:r>
      <w:r w:rsidR="00F5091F" w:rsidRPr="005E7CDB">
        <w:t xml:space="preserve"> </w:t>
      </w:r>
      <w:r w:rsidRPr="005E7CDB">
        <w:t>de</w:t>
      </w:r>
      <w:r w:rsidR="00F5091F" w:rsidRPr="005E7CDB">
        <w:t xml:space="preserve"> </w:t>
      </w:r>
      <w:r w:rsidRPr="005E7CDB">
        <w:t>protection</w:t>
      </w:r>
      <w:r w:rsidR="00F5091F" w:rsidRPr="005E7CDB">
        <w:t xml:space="preserve"> </w:t>
      </w:r>
      <w:r w:rsidRPr="005E7CDB">
        <w:t>de</w:t>
      </w:r>
      <w:r w:rsidR="00F5091F" w:rsidRPr="005E7CDB">
        <w:t xml:space="preserve"> </w:t>
      </w:r>
      <w:r w:rsidRPr="005E7CDB">
        <w:t>l’environnement</w:t>
      </w:r>
      <w:r w:rsidR="00F5091F" w:rsidRPr="005E7CDB">
        <w:t xml:space="preserve"> </w:t>
      </w:r>
      <w:r w:rsidRPr="005E7CDB">
        <w:t>dans</w:t>
      </w:r>
      <w:r w:rsidR="00F5091F" w:rsidRPr="005E7CDB">
        <w:t xml:space="preserve"> </w:t>
      </w:r>
      <w:r w:rsidRPr="005E7CDB">
        <w:t>un</w:t>
      </w:r>
      <w:r w:rsidR="00F5091F" w:rsidRPr="005E7CDB">
        <w:t xml:space="preserve"> </w:t>
      </w:r>
      <w:r w:rsidRPr="005E7CDB">
        <w:t>dispositif</w:t>
      </w:r>
      <w:r w:rsidR="00F5091F" w:rsidRPr="005E7CDB">
        <w:t xml:space="preserve"> </w:t>
      </w:r>
      <w:r w:rsidRPr="005E7CDB">
        <w:t>réglementaire</w:t>
      </w:r>
      <w:r w:rsidR="00F5091F" w:rsidRPr="005E7CDB">
        <w:t xml:space="preserve"> </w:t>
      </w:r>
      <w:r w:rsidRPr="005E7CDB">
        <w:t>uniforme,</w:t>
      </w:r>
      <w:r w:rsidR="00F5091F" w:rsidRPr="005E7CDB">
        <w:t xml:space="preserve"> </w:t>
      </w:r>
      <w:r w:rsidRPr="005E7CDB">
        <w:t>harmonisé</w:t>
      </w:r>
      <w:r w:rsidR="00F5091F" w:rsidRPr="005E7CDB">
        <w:t xml:space="preserve"> </w:t>
      </w:r>
      <w:r w:rsidRPr="005E7CDB">
        <w:t>et</w:t>
      </w:r>
      <w:r w:rsidR="00F5091F" w:rsidRPr="005E7CDB">
        <w:t xml:space="preserve"> </w:t>
      </w:r>
      <w:r w:rsidRPr="005E7CDB">
        <w:t>cohérent</w:t>
      </w:r>
      <w:r w:rsidR="00F5091F" w:rsidRPr="005E7CDB">
        <w:t xml:space="preserve"> </w:t>
      </w:r>
      <w:r w:rsidRPr="005E7CDB">
        <w:t>applicable</w:t>
      </w:r>
      <w:r w:rsidR="00F5091F" w:rsidRPr="005E7CDB">
        <w:t xml:space="preserve"> </w:t>
      </w:r>
      <w:r w:rsidRPr="005E7CDB">
        <w:t>au</w:t>
      </w:r>
      <w:r w:rsidR="00F5091F" w:rsidRPr="005E7CDB">
        <w:t xml:space="preserve"> </w:t>
      </w:r>
      <w:r w:rsidRPr="005E7CDB">
        <w:t>transport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compte</w:t>
      </w:r>
      <w:r w:rsidR="00F5091F" w:rsidRPr="005E7CDB">
        <w:t xml:space="preserve"> </w:t>
      </w:r>
      <w:r w:rsidRPr="005E7CDB">
        <w:t>tenu</w:t>
      </w:r>
      <w:r w:rsidR="00F5091F" w:rsidRPr="005E7CDB">
        <w:t xml:space="preserve"> </w:t>
      </w:r>
      <w:r w:rsidRPr="005E7CDB">
        <w:t>des</w:t>
      </w:r>
      <w:r w:rsidR="00F5091F" w:rsidRPr="005E7CDB">
        <w:t xml:space="preserve"> </w:t>
      </w:r>
      <w:r w:rsidRPr="005E7CDB">
        <w:t>Recommandations</w:t>
      </w:r>
      <w:r w:rsidR="00F5091F" w:rsidRPr="005E7CDB">
        <w:t xml:space="preserve"> </w:t>
      </w:r>
      <w:r w:rsidRPr="005E7CDB">
        <w:t>de</w:t>
      </w:r>
      <w:r w:rsidR="00F5091F" w:rsidRPr="005E7CDB">
        <w:t xml:space="preserve"> </w:t>
      </w:r>
      <w:r w:rsidRPr="005E7CDB">
        <w:t>l’ONU</w:t>
      </w:r>
      <w:r w:rsidR="00F5091F" w:rsidRPr="005E7CDB">
        <w:t xml:space="preserve"> </w:t>
      </w:r>
      <w:r w:rsidRPr="005E7CDB">
        <w:t>relatives</w:t>
      </w:r>
      <w:r w:rsidR="00F5091F" w:rsidRPr="005E7CDB">
        <w:t xml:space="preserve"> </w:t>
      </w:r>
      <w:r w:rsidRPr="005E7CDB">
        <w:t>au</w:t>
      </w:r>
      <w:r w:rsidR="00F5091F" w:rsidRPr="005E7CDB">
        <w:t xml:space="preserve"> </w:t>
      </w:r>
      <w:r w:rsidRPr="005E7CDB">
        <w:t>transport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 </w:t>
      </w:r>
      <w:r w:rsidRPr="005E7CDB">
        <w:t>mise</w:t>
      </w:r>
      <w:r w:rsidR="00F5091F" w:rsidRPr="005E7CDB">
        <w:t xml:space="preserve"> </w:t>
      </w:r>
      <w:r w:rsidRPr="005E7CDB">
        <w:t>en</w:t>
      </w:r>
      <w:r w:rsidR="00F5091F" w:rsidRPr="005E7CDB">
        <w:t xml:space="preserve"> </w:t>
      </w:r>
      <w:r w:rsidRPr="005E7CDB">
        <w:t>application</w:t>
      </w:r>
      <w:r w:rsidR="00F5091F" w:rsidRPr="005E7CDB">
        <w:t xml:space="preserve"> </w:t>
      </w:r>
      <w:r w:rsidRPr="005E7CDB">
        <w:t>effective</w:t>
      </w:r>
      <w:r w:rsidR="00F5091F" w:rsidRPr="005E7CDB">
        <w:t xml:space="preserve"> </w:t>
      </w:r>
      <w:r w:rsidRPr="005E7CDB">
        <w:t>par</w:t>
      </w:r>
      <w:r w:rsidR="00F5091F" w:rsidRPr="005E7CDB">
        <w:t xml:space="preserve"> </w:t>
      </w:r>
      <w:r w:rsidRPr="005E7CDB">
        <w:t>la</w:t>
      </w:r>
      <w:r w:rsidR="00F5091F" w:rsidRPr="005E7CDB">
        <w:t xml:space="preserve"> </w:t>
      </w:r>
      <w:r w:rsidRPr="005E7CDB">
        <w:t>voie</w:t>
      </w:r>
      <w:r w:rsidR="00F5091F" w:rsidRPr="005E7CDB">
        <w:t xml:space="preserve"> </w:t>
      </w:r>
      <w:r w:rsidRPr="005E7CDB">
        <w:t>de</w:t>
      </w:r>
      <w:r w:rsidR="00F5091F" w:rsidRPr="005E7CDB">
        <w:t xml:space="preserve"> </w:t>
      </w:r>
      <w:r w:rsidRPr="005E7CDB">
        <w:t>la</w:t>
      </w:r>
      <w:r w:rsidR="00F5091F" w:rsidRPr="005E7CDB">
        <w:t xml:space="preserve"> </w:t>
      </w:r>
      <w:r w:rsidRPr="005E7CDB">
        <w:t>législation</w:t>
      </w:r>
      <w:r w:rsidR="00F5091F" w:rsidRPr="005E7CDB">
        <w:t xml:space="preserve"> </w:t>
      </w:r>
      <w:r w:rsidRPr="005E7CDB">
        <w:t>internationale</w:t>
      </w:r>
      <w:r w:rsidR="00F5091F" w:rsidRPr="005E7CDB">
        <w:t xml:space="preserve"> </w:t>
      </w:r>
      <w:r w:rsidRPr="005E7CDB">
        <w:t>et</w:t>
      </w:r>
      <w:r w:rsidR="00F5091F" w:rsidRPr="005E7CDB">
        <w:t xml:space="preserve"> </w:t>
      </w:r>
      <w:r w:rsidRPr="005E7CDB">
        <w:t>nationale</w:t>
      </w:r>
      <w:r w:rsidR="008A0908">
        <w:t>.</w:t>
      </w:r>
    </w:p>
    <w:p w:rsidR="002728BC" w:rsidRPr="005E7CDB" w:rsidRDefault="002728BC" w:rsidP="00DD77D6">
      <w:pPr>
        <w:pStyle w:val="H23G"/>
        <w:rPr>
          <w:rFonts w:eastAsia="MS Mincho"/>
        </w:rPr>
      </w:pPr>
      <w:r w:rsidRPr="005E7CDB">
        <w:tab/>
        <w:t>B.</w:t>
      </w:r>
      <w:r w:rsidRPr="005E7CDB">
        <w:tab/>
        <w:t>Indicateurs</w:t>
      </w:r>
      <w:r w:rsidR="00F5091F" w:rsidRPr="005E7CDB">
        <w:t xml:space="preserve"> </w:t>
      </w:r>
      <w:r w:rsidRPr="005E7CDB">
        <w:t>de</w:t>
      </w:r>
      <w:r w:rsidR="00F5091F" w:rsidRPr="005E7CDB">
        <w:t xml:space="preserve"> </w:t>
      </w:r>
      <w:r w:rsidRPr="005E7CDB">
        <w:t>succès</w:t>
      </w:r>
    </w:p>
    <w:p w:rsidR="002728BC" w:rsidRPr="005E7CDB" w:rsidRDefault="002728BC" w:rsidP="009C3578">
      <w:pPr>
        <w:pStyle w:val="H4G"/>
      </w:pPr>
      <w:r w:rsidRPr="005E7CDB">
        <w:tab/>
        <w:t>1.</w:t>
      </w:r>
      <w:r w:rsidRPr="005E7CDB">
        <w:tab/>
        <w:t>Amendements</w:t>
      </w:r>
      <w:r w:rsidR="00F5091F" w:rsidRPr="005E7CDB">
        <w:t xml:space="preserve"> </w:t>
      </w:r>
      <w:r w:rsidRPr="005E7CDB">
        <w:t>à</w:t>
      </w:r>
      <w:r w:rsidR="00F5091F" w:rsidRPr="005E7CDB">
        <w:t xml:space="preserve"> </w:t>
      </w:r>
      <w:r w:rsidRPr="005E7CDB">
        <w:t>l’Accord</w:t>
      </w:r>
      <w:r w:rsidR="00F5091F" w:rsidRPr="005E7CDB">
        <w:t xml:space="preserve"> </w:t>
      </w:r>
      <w:r w:rsidRPr="005E7CDB">
        <w:t>ADR,</w:t>
      </w:r>
      <w:r w:rsidR="00F5091F" w:rsidRPr="005E7CDB">
        <w:t xml:space="preserve"> </w:t>
      </w:r>
      <w:r w:rsidRPr="005E7CDB">
        <w:t>au</w:t>
      </w:r>
      <w:r w:rsidR="00F5091F" w:rsidRPr="005E7CDB">
        <w:t xml:space="preserve"> </w:t>
      </w:r>
      <w:r w:rsidRPr="005E7CDB">
        <w:t>Règlement</w:t>
      </w:r>
      <w:r w:rsidR="00F5091F" w:rsidRPr="005E7CDB">
        <w:t xml:space="preserve"> </w:t>
      </w:r>
      <w:r w:rsidRPr="005E7CDB">
        <w:t>RID</w:t>
      </w:r>
      <w:r w:rsidR="00F5091F" w:rsidRPr="005E7CDB">
        <w:t xml:space="preserve"> </w:t>
      </w:r>
      <w:r w:rsidRPr="005E7CDB">
        <w:t>et</w:t>
      </w:r>
      <w:r w:rsidR="00F5091F" w:rsidRPr="005E7CDB">
        <w:t xml:space="preserve"> </w:t>
      </w:r>
      <w:r w:rsidRPr="005E7CDB">
        <w:t>à</w:t>
      </w:r>
      <w:r w:rsidR="00F5091F" w:rsidRPr="005E7CDB">
        <w:t xml:space="preserve"> </w:t>
      </w:r>
      <w:r w:rsidRPr="005E7CDB">
        <w:t>l’Accord</w:t>
      </w:r>
      <w:r w:rsidR="00F5091F" w:rsidRPr="005E7CDB">
        <w:t xml:space="preserve"> </w:t>
      </w:r>
      <w:r w:rsidRPr="005E7CDB">
        <w:t>ADN</w:t>
      </w:r>
      <w:r w:rsidR="00F5091F" w:rsidRPr="005E7CDB">
        <w:t xml:space="preserve"> </w:t>
      </w:r>
      <w:r w:rsidRPr="005E7CDB">
        <w:t>adoptés</w:t>
      </w:r>
      <w:r w:rsidR="00F5091F" w:rsidRPr="005E7CDB">
        <w:t xml:space="preserve"> </w:t>
      </w:r>
      <w:r w:rsidRPr="005E7CDB">
        <w:t>en</w:t>
      </w:r>
      <w:r w:rsidR="00F5091F" w:rsidRPr="005E7CDB">
        <w:t xml:space="preserve"> </w:t>
      </w:r>
      <w:r w:rsidRPr="005E7CDB">
        <w:t>2015</w:t>
      </w:r>
      <w:r w:rsidR="00F5091F" w:rsidRPr="005E7CDB">
        <w:t xml:space="preserve"> </w:t>
      </w:r>
      <w:r w:rsidRPr="005E7CDB">
        <w:t>et</w:t>
      </w:r>
      <w:r w:rsidR="00F5091F" w:rsidRPr="005E7CDB">
        <w:t xml:space="preserve"> </w:t>
      </w:r>
      <w:r w:rsidRPr="005E7CDB">
        <w:t>2016,</w:t>
      </w:r>
      <w:r w:rsidR="00F5091F" w:rsidRPr="005E7CDB">
        <w:t xml:space="preserve"> </w:t>
      </w:r>
      <w:r w:rsidRPr="005E7CDB">
        <w:t>entrés</w:t>
      </w:r>
      <w:r w:rsidR="00F5091F" w:rsidRPr="005E7CDB">
        <w:t xml:space="preserve"> </w:t>
      </w:r>
      <w:r w:rsidRPr="005E7CDB">
        <w:t>en</w:t>
      </w:r>
      <w:r w:rsidR="00F5091F" w:rsidRPr="005E7CDB">
        <w:t xml:space="preserve"> </w:t>
      </w:r>
      <w:r w:rsidRPr="005E7CDB">
        <w:t>vigueur</w:t>
      </w:r>
      <w:r w:rsidR="00F5091F" w:rsidRPr="005E7CDB">
        <w:t xml:space="preserve"> </w:t>
      </w:r>
      <w:r w:rsidRPr="005E7CDB">
        <w:t>le</w:t>
      </w:r>
      <w:r w:rsidR="00F5091F" w:rsidRPr="005E7CDB">
        <w:t xml:space="preserve"> </w:t>
      </w:r>
      <w:r w:rsidRPr="005E7CDB">
        <w:t>1</w:t>
      </w:r>
      <w:r w:rsidRPr="005E7CDB">
        <w:rPr>
          <w:vertAlign w:val="superscript"/>
        </w:rPr>
        <w:t>er</w:t>
      </w:r>
      <w:r w:rsidR="009C3578" w:rsidRPr="005E7CDB">
        <w:t> </w:t>
      </w:r>
      <w:r w:rsidRPr="005E7CDB">
        <w:t>janvier</w:t>
      </w:r>
      <w:r w:rsidR="00F5091F" w:rsidRPr="005E7CDB">
        <w:t xml:space="preserve"> </w:t>
      </w:r>
      <w:r w:rsidRPr="005E7CDB">
        <w:t>2017</w:t>
      </w:r>
      <w:r w:rsidR="00F5091F" w:rsidRPr="005E7CDB">
        <w:t xml:space="preserve"> </w:t>
      </w:r>
      <w:r w:rsidRPr="005E7CDB">
        <w:t>pour</w:t>
      </w:r>
      <w:r w:rsidR="00F5091F" w:rsidRPr="005E7CDB">
        <w:t xml:space="preserve"> </w:t>
      </w:r>
      <w:r w:rsidRPr="005E7CDB">
        <w:t>le</w:t>
      </w:r>
      <w:r w:rsidR="00F5091F" w:rsidRPr="005E7CDB">
        <w:t xml:space="preserve"> </w:t>
      </w:r>
      <w:r w:rsidRPr="005E7CDB">
        <w:t>transport</w:t>
      </w:r>
      <w:r w:rsidR="00F5091F" w:rsidRPr="005E7CDB">
        <w:t xml:space="preserve"> </w:t>
      </w:r>
      <w:r w:rsidRPr="005E7CDB">
        <w:t>international</w:t>
      </w:r>
      <w:r w:rsidR="00F5091F" w:rsidRPr="005E7CDB">
        <w:t xml:space="preserve"> </w:t>
      </w:r>
      <w:r w:rsidRPr="005E7CDB">
        <w:t>et</w:t>
      </w:r>
      <w:r w:rsidR="00F5091F" w:rsidRPr="005E7CDB">
        <w:t xml:space="preserve"> </w:t>
      </w:r>
      <w:r w:rsidRPr="005E7CDB">
        <w:t>applicables</w:t>
      </w:r>
      <w:r w:rsidR="00F5091F" w:rsidRPr="005E7CDB">
        <w:t xml:space="preserve"> </w:t>
      </w:r>
      <w:r w:rsidRPr="005E7CDB">
        <w:t>à</w:t>
      </w:r>
      <w:r w:rsidR="00F5091F" w:rsidRPr="005E7CDB">
        <w:t xml:space="preserve"> </w:t>
      </w:r>
      <w:r w:rsidRPr="005E7CDB">
        <w:t>compter</w:t>
      </w:r>
      <w:r w:rsidR="00F5091F" w:rsidRPr="005E7CDB">
        <w:t xml:space="preserve"> </w:t>
      </w:r>
      <w:r w:rsidRPr="005E7CDB">
        <w:t>du</w:t>
      </w:r>
      <w:r w:rsidR="00F5091F" w:rsidRPr="005E7CDB">
        <w:t xml:space="preserve"> </w:t>
      </w:r>
      <w:r w:rsidRPr="005E7CDB">
        <w:t>1</w:t>
      </w:r>
      <w:r w:rsidRPr="005E7CDB">
        <w:rPr>
          <w:vertAlign w:val="superscript"/>
        </w:rPr>
        <w:t>er</w:t>
      </w:r>
      <w:r w:rsidR="009C3578" w:rsidRPr="005E7CDB">
        <w:t> </w:t>
      </w:r>
      <w:r w:rsidRPr="005E7CDB">
        <w:t>juillet</w:t>
      </w:r>
      <w:r w:rsidR="00F5091F" w:rsidRPr="005E7CDB">
        <w:t xml:space="preserve"> </w:t>
      </w:r>
      <w:r w:rsidRPr="005E7CDB">
        <w:t>2017</w:t>
      </w:r>
      <w:r w:rsidR="00F5091F" w:rsidRPr="005E7CDB">
        <w:t xml:space="preserve"> </w:t>
      </w:r>
      <w:r w:rsidRPr="005E7CDB">
        <w:t>pour</w:t>
      </w:r>
      <w:r w:rsidR="00F5091F" w:rsidRPr="005E7CDB">
        <w:t xml:space="preserve"> </w:t>
      </w:r>
      <w:r w:rsidRPr="005E7CDB">
        <w:t>la</w:t>
      </w:r>
      <w:r w:rsidR="00F5091F" w:rsidRPr="005E7CDB">
        <w:t xml:space="preserve"> </w:t>
      </w:r>
      <w:r w:rsidRPr="005E7CDB">
        <w:t>circulation</w:t>
      </w:r>
      <w:r w:rsidR="00F5091F" w:rsidRPr="005E7CDB">
        <w:t xml:space="preserve"> </w:t>
      </w:r>
      <w:r w:rsidRPr="005E7CDB">
        <w:t>intérieure</w:t>
      </w:r>
      <w:r w:rsidR="00F5091F" w:rsidRPr="005E7CDB">
        <w:t xml:space="preserve"> </w:t>
      </w:r>
      <w:r w:rsidRPr="005E7CDB">
        <w:t>dans</w:t>
      </w:r>
      <w:r w:rsidR="00F5091F" w:rsidRPr="005E7CDB">
        <w:t xml:space="preserve"> </w:t>
      </w:r>
      <w:r w:rsidRPr="005E7CDB">
        <w:t>tous</w:t>
      </w:r>
      <w:r w:rsidR="00F5091F" w:rsidRPr="005E7CDB">
        <w:t xml:space="preserve"> </w:t>
      </w:r>
      <w:r w:rsidRPr="005E7CDB">
        <w:t>les</w:t>
      </w:r>
      <w:r w:rsidR="00F5091F" w:rsidRPr="005E7CDB">
        <w:t xml:space="preserve"> </w:t>
      </w:r>
      <w:r w:rsidRPr="005E7CDB">
        <w:t>pays</w:t>
      </w:r>
      <w:r w:rsidR="00F5091F" w:rsidRPr="005E7CDB">
        <w:t xml:space="preserve"> </w:t>
      </w:r>
      <w:r w:rsidRPr="005E7CDB">
        <w:t>membres</w:t>
      </w:r>
      <w:r w:rsidR="00F5091F" w:rsidRPr="005E7CDB">
        <w:t xml:space="preserve"> </w:t>
      </w:r>
      <w:r w:rsidRPr="005E7CDB">
        <w:t>de</w:t>
      </w:r>
      <w:r w:rsidR="00F5091F" w:rsidRPr="005E7CDB">
        <w:t xml:space="preserve"> </w:t>
      </w:r>
      <w:r w:rsidRPr="005E7CDB">
        <w:t>l’Union</w:t>
      </w:r>
      <w:r w:rsidR="00F5091F" w:rsidRPr="005E7CDB">
        <w:t xml:space="preserve"> </w:t>
      </w:r>
      <w:r w:rsidRPr="005E7CDB">
        <w:t>européenne</w:t>
      </w:r>
      <w:r w:rsidR="00F5091F" w:rsidRPr="005E7CDB">
        <w:t xml:space="preserve"> </w:t>
      </w:r>
      <w:r w:rsidRPr="005E7CDB">
        <w:t>et</w:t>
      </w:r>
      <w:r w:rsidR="00F5091F" w:rsidRPr="005E7CDB">
        <w:t xml:space="preserve"> </w:t>
      </w:r>
      <w:r w:rsidRPr="005E7CDB">
        <w:t>de</w:t>
      </w:r>
      <w:r w:rsidR="00F5091F" w:rsidRPr="005E7CDB">
        <w:t xml:space="preserve"> </w:t>
      </w:r>
      <w:r w:rsidRPr="005E7CDB">
        <w:t>l’Espace</w:t>
      </w:r>
      <w:r w:rsidR="00F5091F" w:rsidRPr="005E7CDB">
        <w:t xml:space="preserve"> </w:t>
      </w:r>
      <w:r w:rsidRPr="005E7CDB">
        <w:t>économique</w:t>
      </w:r>
      <w:r w:rsidR="00F5091F" w:rsidRPr="005E7CDB">
        <w:t xml:space="preserve"> </w:t>
      </w:r>
      <w:r w:rsidRPr="005E7CDB">
        <w:t>européen</w:t>
      </w:r>
      <w:r w:rsidR="00F5091F" w:rsidRPr="005E7CDB">
        <w:t xml:space="preserve"> </w:t>
      </w:r>
      <w:r w:rsidRPr="005E7CDB">
        <w:t>(EEE),</w:t>
      </w:r>
      <w:r w:rsidR="00F5091F" w:rsidRPr="005E7CDB">
        <w:t xml:space="preserve"> </w:t>
      </w:r>
      <w:r w:rsidRPr="005E7CDB">
        <w:t>correspondant</w:t>
      </w:r>
      <w:r w:rsidR="00F5091F" w:rsidRPr="005E7CDB">
        <w:t xml:space="preserve"> </w:t>
      </w:r>
      <w:r w:rsidRPr="005E7CDB">
        <w:t>notamment</w:t>
      </w:r>
      <w:r w:rsidR="00F5091F" w:rsidRPr="005E7CDB">
        <w:t xml:space="preserve"> </w:t>
      </w:r>
      <w:r w:rsidRPr="005E7CDB">
        <w:t>à</w:t>
      </w:r>
      <w:r w:rsidR="00F5091F" w:rsidRPr="005E7CDB">
        <w:t xml:space="preserve"> </w:t>
      </w:r>
      <w:r w:rsidRPr="005E7CDB">
        <w:t>la</w:t>
      </w:r>
      <w:r w:rsidR="00F5091F" w:rsidRPr="005E7CDB">
        <w:t xml:space="preserve"> </w:t>
      </w:r>
      <w:r w:rsidRPr="005E7CDB">
        <w:t>dix-neuvième</w:t>
      </w:r>
      <w:r w:rsidR="00F5091F" w:rsidRPr="005E7CDB">
        <w:t xml:space="preserve"> </w:t>
      </w:r>
      <w:r w:rsidRPr="005E7CDB">
        <w:t>édition</w:t>
      </w:r>
      <w:r w:rsidR="00F5091F" w:rsidRPr="005E7CDB">
        <w:t xml:space="preserve"> </w:t>
      </w:r>
      <w:r w:rsidRPr="005E7CDB">
        <w:t>révisée</w:t>
      </w:r>
      <w:r w:rsidR="00F5091F" w:rsidRPr="005E7CDB">
        <w:t xml:space="preserve"> </w:t>
      </w:r>
      <w:r w:rsidRPr="005E7CDB">
        <w:t>des</w:t>
      </w:r>
      <w:r w:rsidR="00F5091F" w:rsidRPr="005E7CDB">
        <w:t xml:space="preserve"> </w:t>
      </w:r>
      <w:r w:rsidRPr="005E7CDB">
        <w:t>Recommandations</w:t>
      </w:r>
      <w:r w:rsidR="00F5091F" w:rsidRPr="005E7CDB">
        <w:t xml:space="preserve"> </w:t>
      </w:r>
      <w:r w:rsidRPr="005E7CDB">
        <w:t>de</w:t>
      </w:r>
      <w:r w:rsidR="00F5091F" w:rsidRPr="005E7CDB">
        <w:t xml:space="preserve"> </w:t>
      </w:r>
      <w:r w:rsidRPr="005E7CDB">
        <w:t>l’Organisation</w:t>
      </w:r>
      <w:r w:rsidR="00F5091F" w:rsidRPr="005E7CDB">
        <w:t xml:space="preserve"> </w:t>
      </w:r>
      <w:r w:rsidRPr="005E7CDB">
        <w:t>des</w:t>
      </w:r>
      <w:r w:rsidR="00F5091F" w:rsidRPr="005E7CDB">
        <w:t xml:space="preserve"> </w:t>
      </w:r>
      <w:r w:rsidRPr="005E7CDB">
        <w:t>Nations</w:t>
      </w:r>
      <w:r w:rsidR="00F5091F" w:rsidRPr="005E7CDB">
        <w:t xml:space="preserve"> </w:t>
      </w:r>
      <w:r w:rsidRPr="005E7CDB">
        <w:t>Unies</w:t>
      </w:r>
      <w:r w:rsidR="00F5091F" w:rsidRPr="005E7CDB">
        <w:t xml:space="preserve"> </w:t>
      </w:r>
      <w:r w:rsidRPr="005E7CDB">
        <w:t>relatives</w:t>
      </w:r>
      <w:r w:rsidR="00F5091F" w:rsidRPr="005E7CDB">
        <w:t xml:space="preserve"> </w:t>
      </w:r>
      <w:r w:rsidRPr="005E7CDB">
        <w:t>au</w:t>
      </w:r>
      <w:r w:rsidR="00F5091F" w:rsidRPr="005E7CDB">
        <w:t xml:space="preserve"> </w:t>
      </w:r>
      <w:r w:rsidRPr="005E7CDB">
        <w:t>transport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(Règlement</w:t>
      </w:r>
      <w:r w:rsidR="00F5091F" w:rsidRPr="005E7CDB">
        <w:t xml:space="preserve"> </w:t>
      </w:r>
      <w:r w:rsidRPr="005E7CDB">
        <w:t>type)</w:t>
      </w:r>
      <w:r w:rsidR="00F5091F" w:rsidRPr="005E7CDB">
        <w:t xml:space="preserve"> </w:t>
      </w:r>
      <w:r w:rsidR="00065D3A" w:rsidRPr="005E7CDB">
        <w:t>(</w:t>
      </w:r>
      <w:r w:rsidRPr="005E7CDB">
        <w:t>IS</w:t>
      </w:r>
      <w:r w:rsidR="00F5091F" w:rsidRPr="005E7CDB">
        <w:t xml:space="preserve"> </w:t>
      </w:r>
      <w:r w:rsidRPr="005E7CDB">
        <w:t>9.a</w:t>
      </w:r>
      <w:r w:rsidR="00F5091F" w:rsidRPr="005E7CDB">
        <w:t xml:space="preserve"> </w:t>
      </w:r>
      <w:r w:rsidRPr="005E7CDB">
        <w:t>a)</w:t>
      </w:r>
      <w:r w:rsidR="00065D3A" w:rsidRPr="005E7CDB">
        <w:t>)</w:t>
      </w:r>
    </w:p>
    <w:p w:rsidR="002728BC" w:rsidRPr="005E7CDB" w:rsidRDefault="002728BC" w:rsidP="009C3578">
      <w:pPr>
        <w:pStyle w:val="H4G"/>
      </w:pPr>
      <w:r w:rsidRPr="005E7CDB">
        <w:tab/>
      </w:r>
      <w:r w:rsidRPr="005E7CDB">
        <w:tab/>
        <w:t>Mesure</w:t>
      </w:r>
      <w:r w:rsidR="00F5091F" w:rsidRPr="005E7CDB">
        <w:t xml:space="preserve"> </w:t>
      </w:r>
      <w:r w:rsidRPr="005E7CDB">
        <w:t>des</w:t>
      </w:r>
      <w:r w:rsidR="00F5091F" w:rsidRPr="005E7CDB">
        <w:t xml:space="preserve"> </w:t>
      </w:r>
      <w:r w:rsidRPr="005E7CDB">
        <w:t>résultats</w:t>
      </w:r>
      <w:r w:rsidR="00065D3A" w:rsidRPr="005E7CDB">
        <w:t> </w:t>
      </w:r>
      <w:r w:rsidR="00065D3A" w:rsidRPr="00BC22B4">
        <w:rPr>
          <w:i w:val="0"/>
        </w:rPr>
        <w:t>:</w:t>
      </w:r>
    </w:p>
    <w:p w:rsidR="002728BC" w:rsidRPr="005E7CDB" w:rsidRDefault="002728BC" w:rsidP="009C3578">
      <w:pPr>
        <w:pStyle w:val="SingleTxtG"/>
      </w:pPr>
      <w:r w:rsidRPr="005E7CDB">
        <w:t>Référence</w:t>
      </w:r>
      <w:r w:rsidR="00F5091F" w:rsidRPr="005E7CDB">
        <w:t xml:space="preserve"> </w:t>
      </w:r>
      <w:r w:rsidRPr="005E7CDB">
        <w:t>2014-2015</w:t>
      </w:r>
      <w:r w:rsidR="00F5091F" w:rsidRPr="005E7CDB">
        <w:t xml:space="preserve"> : </w:t>
      </w:r>
      <w:r w:rsidRPr="005E7CDB">
        <w:t>1</w:t>
      </w:r>
      <w:r w:rsidR="00F5091F" w:rsidRPr="005E7CDB">
        <w:t xml:space="preserve"> </w:t>
      </w:r>
      <w:r w:rsidRPr="005E7CDB">
        <w:t>série</w:t>
      </w:r>
      <w:r w:rsidR="00F5091F" w:rsidRPr="005E7CDB">
        <w:t xml:space="preserve"> </w:t>
      </w:r>
      <w:r w:rsidRPr="005E7CDB">
        <w:t>d’amendements</w:t>
      </w:r>
      <w:r w:rsidR="00F5091F" w:rsidRPr="005E7CDB">
        <w:t xml:space="preserve"> </w:t>
      </w:r>
      <w:r w:rsidRPr="005E7CDB">
        <w:t>à</w:t>
      </w:r>
      <w:r w:rsidR="00F5091F" w:rsidRPr="005E7CDB">
        <w:t xml:space="preserve"> </w:t>
      </w:r>
      <w:r w:rsidRPr="005E7CDB">
        <w:t>l’ADR,</w:t>
      </w:r>
      <w:r w:rsidR="00F5091F" w:rsidRPr="005E7CDB">
        <w:t xml:space="preserve"> </w:t>
      </w:r>
      <w:r w:rsidRPr="005E7CDB">
        <w:t>au</w:t>
      </w:r>
      <w:r w:rsidR="00F5091F" w:rsidRPr="005E7CDB">
        <w:t xml:space="preserve"> </w:t>
      </w:r>
      <w:r w:rsidRPr="005E7CDB">
        <w:t>RID</w:t>
      </w:r>
      <w:r w:rsidR="00F5091F" w:rsidRPr="005E7CDB">
        <w:t xml:space="preserve"> </w:t>
      </w:r>
      <w:r w:rsidRPr="005E7CDB">
        <w:t>et</w:t>
      </w:r>
      <w:r w:rsidR="00F5091F" w:rsidRPr="005E7CDB">
        <w:t xml:space="preserve"> </w:t>
      </w:r>
      <w:r w:rsidRPr="005E7CDB">
        <w:t>à</w:t>
      </w:r>
      <w:r w:rsidR="00F5091F" w:rsidRPr="005E7CDB">
        <w:t xml:space="preserve"> </w:t>
      </w:r>
      <w:r w:rsidRPr="005E7CDB">
        <w:t>l’ADN</w:t>
      </w:r>
    </w:p>
    <w:p w:rsidR="002728BC" w:rsidRPr="005E7CDB" w:rsidRDefault="002728BC" w:rsidP="009C3578">
      <w:pPr>
        <w:pStyle w:val="SingleTxtG"/>
      </w:pPr>
      <w:r w:rsidRPr="005E7CDB">
        <w:t>Objectif</w:t>
      </w:r>
      <w:r w:rsidR="00F5091F" w:rsidRPr="005E7CDB">
        <w:t xml:space="preserve"> </w:t>
      </w:r>
      <w:r w:rsidRPr="005E7CDB">
        <w:t>2016</w:t>
      </w:r>
      <w:r w:rsidR="009C3578" w:rsidRPr="005E7CDB">
        <w:t>-</w:t>
      </w:r>
      <w:r w:rsidRPr="005E7CDB">
        <w:t>2017</w:t>
      </w:r>
      <w:r w:rsidR="00F5091F" w:rsidRPr="005E7CDB">
        <w:t xml:space="preserve"> : </w:t>
      </w:r>
      <w:r w:rsidRPr="005E7CDB">
        <w:t>1</w:t>
      </w:r>
      <w:r w:rsidR="00F5091F" w:rsidRPr="005E7CDB">
        <w:t xml:space="preserve"> </w:t>
      </w:r>
      <w:r w:rsidRPr="005E7CDB">
        <w:t>série</w:t>
      </w:r>
      <w:r w:rsidR="00F5091F" w:rsidRPr="005E7CDB">
        <w:t xml:space="preserve"> </w:t>
      </w:r>
      <w:r w:rsidRPr="005E7CDB">
        <w:t>d’amendements</w:t>
      </w:r>
      <w:r w:rsidR="00F5091F" w:rsidRPr="005E7CDB">
        <w:t xml:space="preserve"> </w:t>
      </w:r>
      <w:r w:rsidRPr="005E7CDB">
        <w:t>pour</w:t>
      </w:r>
      <w:r w:rsidR="00F5091F" w:rsidRPr="005E7CDB">
        <w:t xml:space="preserve"> </w:t>
      </w:r>
      <w:r w:rsidRPr="005E7CDB">
        <w:t>chaque</w:t>
      </w:r>
      <w:r w:rsidR="00F5091F" w:rsidRPr="005E7CDB">
        <w:t xml:space="preserve"> </w:t>
      </w:r>
      <w:r w:rsidRPr="005E7CDB">
        <w:t>instrument</w:t>
      </w:r>
      <w:r w:rsidR="00F5091F" w:rsidRPr="005E7CDB">
        <w:t xml:space="preserve"> </w:t>
      </w:r>
      <w:r w:rsidRPr="005E7CDB">
        <w:t>juridique</w:t>
      </w:r>
    </w:p>
    <w:p w:rsidR="002728BC" w:rsidRPr="005B213D" w:rsidRDefault="002728BC" w:rsidP="0030789F">
      <w:pPr>
        <w:pStyle w:val="SingleTxtG"/>
        <w:rPr>
          <w:b/>
        </w:rPr>
      </w:pPr>
      <w:r w:rsidRPr="005B213D">
        <w:rPr>
          <w:b/>
        </w:rPr>
        <w:t>Résultat</w:t>
      </w:r>
      <w:r w:rsidR="00F5091F" w:rsidRPr="005B213D">
        <w:rPr>
          <w:b/>
        </w:rPr>
        <w:t xml:space="preserve"> </w:t>
      </w:r>
      <w:r w:rsidRPr="005B213D">
        <w:rPr>
          <w:b/>
        </w:rPr>
        <w:t>obtenu</w:t>
      </w:r>
      <w:r w:rsidR="00F5091F" w:rsidRPr="005B213D">
        <w:rPr>
          <w:b/>
        </w:rPr>
        <w:t xml:space="preserve"> </w:t>
      </w:r>
      <w:r w:rsidRPr="005B213D">
        <w:rPr>
          <w:b/>
        </w:rPr>
        <w:t>en</w:t>
      </w:r>
      <w:r w:rsidR="00F5091F" w:rsidRPr="005B213D">
        <w:rPr>
          <w:b/>
        </w:rPr>
        <w:t xml:space="preserve"> </w:t>
      </w:r>
      <w:r w:rsidRPr="005B213D">
        <w:rPr>
          <w:b/>
        </w:rPr>
        <w:t>2016</w:t>
      </w:r>
      <w:r w:rsidR="0030789F" w:rsidRPr="005B213D">
        <w:rPr>
          <w:b/>
        </w:rPr>
        <w:t>-</w:t>
      </w:r>
      <w:r w:rsidRPr="005B213D">
        <w:rPr>
          <w:b/>
        </w:rPr>
        <w:t>2017</w:t>
      </w:r>
      <w:r w:rsidR="00F5091F" w:rsidRPr="005B213D">
        <w:rPr>
          <w:b/>
        </w:rPr>
        <w:t xml:space="preserve"> : </w:t>
      </w:r>
      <w:r w:rsidRPr="005B213D">
        <w:rPr>
          <w:b/>
        </w:rPr>
        <w:t>1</w:t>
      </w:r>
      <w:r w:rsidR="00F5091F" w:rsidRPr="005B213D">
        <w:rPr>
          <w:b/>
        </w:rPr>
        <w:t xml:space="preserve"> </w:t>
      </w:r>
      <w:r w:rsidRPr="005B213D">
        <w:rPr>
          <w:b/>
        </w:rPr>
        <w:t>série</w:t>
      </w:r>
      <w:r w:rsidR="00F5091F" w:rsidRPr="005B213D">
        <w:rPr>
          <w:b/>
        </w:rPr>
        <w:t xml:space="preserve"> </w:t>
      </w:r>
      <w:r w:rsidRPr="005B213D">
        <w:rPr>
          <w:b/>
        </w:rPr>
        <w:t>d’amendements</w:t>
      </w:r>
      <w:r w:rsidR="00F5091F" w:rsidRPr="005B213D">
        <w:rPr>
          <w:b/>
        </w:rPr>
        <w:t xml:space="preserve"> </w:t>
      </w:r>
      <w:r w:rsidRPr="005B213D">
        <w:rPr>
          <w:b/>
        </w:rPr>
        <w:t>pour</w:t>
      </w:r>
      <w:r w:rsidR="00F5091F" w:rsidRPr="005B213D">
        <w:rPr>
          <w:b/>
        </w:rPr>
        <w:t xml:space="preserve"> </w:t>
      </w:r>
      <w:r w:rsidRPr="005B213D">
        <w:rPr>
          <w:b/>
        </w:rPr>
        <w:t>chaque</w:t>
      </w:r>
      <w:r w:rsidR="00F5091F" w:rsidRPr="005B213D">
        <w:rPr>
          <w:b/>
        </w:rPr>
        <w:t xml:space="preserve"> </w:t>
      </w:r>
      <w:r w:rsidRPr="005B213D">
        <w:rPr>
          <w:b/>
        </w:rPr>
        <w:t>instrument</w:t>
      </w:r>
      <w:r w:rsidR="00F5091F" w:rsidRPr="005B213D">
        <w:rPr>
          <w:b/>
        </w:rPr>
        <w:t xml:space="preserve"> </w:t>
      </w:r>
      <w:r w:rsidRPr="005B213D">
        <w:rPr>
          <w:b/>
        </w:rPr>
        <w:t>juridique</w:t>
      </w:r>
      <w:r w:rsidR="00F5091F" w:rsidRPr="005B213D">
        <w:rPr>
          <w:b/>
        </w:rPr>
        <w:t xml:space="preserve"> </w:t>
      </w:r>
      <w:r w:rsidRPr="005B213D">
        <w:rPr>
          <w:b/>
        </w:rPr>
        <w:t>(Notifications</w:t>
      </w:r>
      <w:r w:rsidR="00F5091F" w:rsidRPr="005B213D">
        <w:rPr>
          <w:b/>
        </w:rPr>
        <w:t xml:space="preserve"> </w:t>
      </w:r>
      <w:r w:rsidRPr="005B213D">
        <w:rPr>
          <w:b/>
        </w:rPr>
        <w:t>dépositaires</w:t>
      </w:r>
      <w:r w:rsidR="00F5091F" w:rsidRPr="005B213D">
        <w:rPr>
          <w:b/>
        </w:rPr>
        <w:t xml:space="preserve"> </w:t>
      </w:r>
      <w:r w:rsidRPr="005B213D">
        <w:rPr>
          <w:b/>
        </w:rPr>
        <w:t>de</w:t>
      </w:r>
      <w:r w:rsidR="00F5091F" w:rsidRPr="005B213D">
        <w:rPr>
          <w:b/>
        </w:rPr>
        <w:t xml:space="preserve"> </w:t>
      </w:r>
      <w:r w:rsidRPr="005B213D">
        <w:rPr>
          <w:b/>
        </w:rPr>
        <w:t>l’ONU</w:t>
      </w:r>
      <w:r w:rsidR="00F5091F" w:rsidRPr="005B213D">
        <w:rPr>
          <w:b/>
        </w:rPr>
        <w:t xml:space="preserve"> </w:t>
      </w:r>
      <w:r w:rsidRPr="005B213D">
        <w:rPr>
          <w:b/>
        </w:rPr>
        <w:t>C.N.443.2016.TREATIES.XI.B.14</w:t>
      </w:r>
      <w:r w:rsidR="00F5091F" w:rsidRPr="005B213D">
        <w:rPr>
          <w:b/>
        </w:rPr>
        <w:t xml:space="preserve"> </w:t>
      </w:r>
      <w:r w:rsidRPr="005B213D">
        <w:rPr>
          <w:b/>
        </w:rPr>
        <w:t>et</w:t>
      </w:r>
      <w:r w:rsidR="00F5091F" w:rsidRPr="005B213D">
        <w:rPr>
          <w:b/>
        </w:rPr>
        <w:t xml:space="preserve"> </w:t>
      </w:r>
      <w:r w:rsidRPr="005B213D">
        <w:rPr>
          <w:b/>
        </w:rPr>
        <w:t>C.N.744.2016.TREATIES.XI.B.14</w:t>
      </w:r>
      <w:r w:rsidR="00F5091F" w:rsidRPr="005B213D">
        <w:rPr>
          <w:b/>
        </w:rPr>
        <w:t xml:space="preserve"> ; </w:t>
      </w:r>
      <w:r w:rsidRPr="005B213D">
        <w:rPr>
          <w:b/>
        </w:rPr>
        <w:t>C.N.444.2016.TREATIES-XI.D.6</w:t>
      </w:r>
      <w:r w:rsidR="00D815C0" w:rsidRPr="005B213D">
        <w:rPr>
          <w:b/>
        </w:rPr>
        <w:t>/</w:t>
      </w:r>
      <w:r w:rsidRPr="005B213D">
        <w:rPr>
          <w:b/>
        </w:rPr>
        <w:t>C.N.743.2016.</w:t>
      </w:r>
      <w:r w:rsidR="00D815C0" w:rsidRPr="005B213D">
        <w:rPr>
          <w:b/>
        </w:rPr>
        <w:t xml:space="preserve"> </w:t>
      </w:r>
      <w:r w:rsidRPr="005B213D">
        <w:rPr>
          <w:b/>
        </w:rPr>
        <w:t>TREATIES-XI.D</w:t>
      </w:r>
      <w:r w:rsidR="00C2623B" w:rsidRPr="005B213D">
        <w:rPr>
          <w:b/>
        </w:rPr>
        <w:t>.</w:t>
      </w:r>
      <w:r w:rsidRPr="005B213D">
        <w:rPr>
          <w:b/>
        </w:rPr>
        <w:t>6</w:t>
      </w:r>
      <w:r w:rsidR="00F5091F" w:rsidRPr="005B213D">
        <w:rPr>
          <w:b/>
        </w:rPr>
        <w:t xml:space="preserve"> </w:t>
      </w:r>
      <w:r w:rsidRPr="005B213D">
        <w:rPr>
          <w:b/>
        </w:rPr>
        <w:t>et</w:t>
      </w:r>
      <w:r w:rsidR="00F5091F" w:rsidRPr="005B213D">
        <w:rPr>
          <w:b/>
        </w:rPr>
        <w:t xml:space="preserve"> </w:t>
      </w:r>
      <w:r w:rsidRPr="005B213D">
        <w:rPr>
          <w:b/>
        </w:rPr>
        <w:t>C.N.607.2016.TREATIES-XI.D.6</w:t>
      </w:r>
      <w:r w:rsidR="00D815C0" w:rsidRPr="005B213D">
        <w:rPr>
          <w:b/>
        </w:rPr>
        <w:t>/</w:t>
      </w:r>
      <w:r w:rsidRPr="005B213D">
        <w:rPr>
          <w:b/>
        </w:rPr>
        <w:t>C.N.897.2016.TREATIES-XI.</w:t>
      </w:r>
      <w:r w:rsidR="00D815C0" w:rsidRPr="005B213D">
        <w:rPr>
          <w:b/>
        </w:rPr>
        <w:t xml:space="preserve"> </w:t>
      </w:r>
      <w:r w:rsidRPr="005B213D">
        <w:rPr>
          <w:b/>
        </w:rPr>
        <w:t>D.6</w:t>
      </w:r>
      <w:r w:rsidR="00F5091F" w:rsidRPr="005B213D">
        <w:rPr>
          <w:b/>
        </w:rPr>
        <w:t xml:space="preserve"> ; </w:t>
      </w:r>
      <w:r w:rsidRPr="005B213D">
        <w:rPr>
          <w:b/>
        </w:rPr>
        <w:t>Notifications</w:t>
      </w:r>
      <w:r w:rsidR="00F5091F" w:rsidRPr="005B213D">
        <w:rPr>
          <w:b/>
        </w:rPr>
        <w:t xml:space="preserve"> </w:t>
      </w:r>
      <w:r w:rsidRPr="005B213D">
        <w:rPr>
          <w:b/>
        </w:rPr>
        <w:t>de</w:t>
      </w:r>
      <w:r w:rsidR="00F5091F" w:rsidRPr="005B213D">
        <w:rPr>
          <w:b/>
        </w:rPr>
        <w:t xml:space="preserve"> </w:t>
      </w:r>
      <w:r w:rsidRPr="005B213D">
        <w:rPr>
          <w:b/>
        </w:rPr>
        <w:t>l’OTIF</w:t>
      </w:r>
      <w:r w:rsidR="00F5091F" w:rsidRPr="005B213D">
        <w:rPr>
          <w:b/>
        </w:rPr>
        <w:t xml:space="preserve"> </w:t>
      </w:r>
      <w:r w:rsidRPr="005B213D">
        <w:rPr>
          <w:b/>
        </w:rPr>
        <w:t>RID-16003-CE54,</w:t>
      </w:r>
      <w:r w:rsidR="00F5091F" w:rsidRPr="005B213D">
        <w:rPr>
          <w:b/>
        </w:rPr>
        <w:t xml:space="preserve"> </w:t>
      </w:r>
      <w:r w:rsidRPr="005B213D">
        <w:rPr>
          <w:b/>
        </w:rPr>
        <w:t>OTIF/RID/NOT/2017</w:t>
      </w:r>
      <w:r w:rsidR="00F5091F" w:rsidRPr="005B213D">
        <w:rPr>
          <w:b/>
        </w:rPr>
        <w:t xml:space="preserve"> </w:t>
      </w:r>
      <w:r w:rsidRPr="005B213D">
        <w:rPr>
          <w:b/>
        </w:rPr>
        <w:t>et</w:t>
      </w:r>
      <w:r w:rsidR="00F5091F" w:rsidRPr="005B213D">
        <w:rPr>
          <w:b/>
        </w:rPr>
        <w:t xml:space="preserve"> </w:t>
      </w:r>
      <w:r w:rsidRPr="005B213D">
        <w:rPr>
          <w:b/>
        </w:rPr>
        <w:t>RID-16009-CE</w:t>
      </w:r>
      <w:r w:rsidR="00E4729F" w:rsidRPr="005B213D">
        <w:rPr>
          <w:b/>
        </w:rPr>
        <w:t>54)</w:t>
      </w:r>
    </w:p>
    <w:p w:rsidR="002728BC" w:rsidRPr="005E7CDB" w:rsidRDefault="002728BC" w:rsidP="00DC2D6A">
      <w:pPr>
        <w:pStyle w:val="H4G"/>
      </w:pPr>
      <w:r w:rsidRPr="005E7CDB">
        <w:tab/>
        <w:t>2.</w:t>
      </w:r>
      <w:r w:rsidRPr="005E7CDB">
        <w:tab/>
        <w:t>Publication</w:t>
      </w:r>
      <w:r w:rsidR="00F5091F" w:rsidRPr="005E7CDB">
        <w:t xml:space="preserve"> </w:t>
      </w:r>
      <w:r w:rsidRPr="005E7CDB">
        <w:t>des</w:t>
      </w:r>
      <w:r w:rsidR="00F5091F" w:rsidRPr="005E7CDB">
        <w:t xml:space="preserve"> </w:t>
      </w:r>
      <w:r w:rsidRPr="005E7CDB">
        <w:t>éditions</w:t>
      </w:r>
      <w:r w:rsidR="00F5091F" w:rsidRPr="005E7CDB">
        <w:t xml:space="preserve"> </w:t>
      </w:r>
      <w:r w:rsidRPr="005E7CDB">
        <w:t>2017</w:t>
      </w:r>
      <w:r w:rsidR="00F5091F" w:rsidRPr="005E7CDB">
        <w:t xml:space="preserve"> </w:t>
      </w:r>
      <w:r w:rsidRPr="005E7CDB">
        <w:t>complètes</w:t>
      </w:r>
      <w:r w:rsidR="00F5091F" w:rsidRPr="005E7CDB">
        <w:t xml:space="preserve"> </w:t>
      </w:r>
      <w:r w:rsidRPr="005E7CDB">
        <w:t>et</w:t>
      </w:r>
      <w:r w:rsidR="00F5091F" w:rsidRPr="005E7CDB">
        <w:t xml:space="preserve"> </w:t>
      </w:r>
      <w:r w:rsidRPr="005E7CDB">
        <w:t>révisées</w:t>
      </w:r>
      <w:r w:rsidR="00F5091F" w:rsidRPr="005E7CDB">
        <w:t xml:space="preserve"> </w:t>
      </w:r>
      <w:r w:rsidRPr="005E7CDB">
        <w:t>de</w:t>
      </w:r>
      <w:r w:rsidR="00F5091F" w:rsidRPr="005E7CDB">
        <w:t xml:space="preserve"> </w:t>
      </w:r>
      <w:r w:rsidRPr="005E7CDB">
        <w:t>l’ADR</w:t>
      </w:r>
      <w:r w:rsidR="00F5091F" w:rsidRPr="005E7CDB">
        <w:t xml:space="preserve"> </w:t>
      </w:r>
      <w:r w:rsidRPr="005E7CDB">
        <w:t>et</w:t>
      </w:r>
      <w:r w:rsidR="00F5091F" w:rsidRPr="005E7CDB">
        <w:t xml:space="preserve"> </w:t>
      </w:r>
      <w:r w:rsidRPr="005E7CDB">
        <w:t>de</w:t>
      </w:r>
      <w:r w:rsidR="00F5091F" w:rsidRPr="005E7CDB">
        <w:t xml:space="preserve"> </w:t>
      </w:r>
      <w:r w:rsidRPr="005E7CDB">
        <w:t>l’ADN</w:t>
      </w:r>
      <w:r w:rsidR="00F5091F" w:rsidRPr="005E7CDB">
        <w:t xml:space="preserve"> </w:t>
      </w:r>
      <w:r w:rsidRPr="005E7CDB">
        <w:t>avant</w:t>
      </w:r>
      <w:r w:rsidR="00F5091F" w:rsidRPr="005E7CDB">
        <w:t xml:space="preserve"> </w:t>
      </w:r>
      <w:r w:rsidRPr="005E7CDB">
        <w:t>la</w:t>
      </w:r>
      <w:r w:rsidR="00F5091F" w:rsidRPr="005E7CDB">
        <w:t xml:space="preserve"> </w:t>
      </w:r>
      <w:r w:rsidRPr="005E7CDB">
        <w:t>fin</w:t>
      </w:r>
      <w:r w:rsidR="00F5091F" w:rsidRPr="005E7CDB">
        <w:t xml:space="preserve"> </w:t>
      </w:r>
      <w:r w:rsidRPr="005E7CDB">
        <w:t>2016</w:t>
      </w:r>
      <w:r w:rsidR="00F5091F" w:rsidRPr="005E7CDB">
        <w:t xml:space="preserve"> </w:t>
      </w:r>
      <w:r w:rsidR="00065D3A" w:rsidRPr="005E7CDB">
        <w:t>(</w:t>
      </w:r>
      <w:r w:rsidRPr="005E7CDB">
        <w:t>IS</w:t>
      </w:r>
      <w:r w:rsidR="00F5091F" w:rsidRPr="005E7CDB">
        <w:t xml:space="preserve"> </w:t>
      </w:r>
      <w:r w:rsidRPr="005E7CDB">
        <w:t>9.a</w:t>
      </w:r>
      <w:r w:rsidR="00F5091F" w:rsidRPr="005E7CDB">
        <w:t xml:space="preserve"> </w:t>
      </w:r>
      <w:r w:rsidRPr="005E7CDB">
        <w:t>b)</w:t>
      </w:r>
      <w:r w:rsidR="00065D3A" w:rsidRPr="005E7CDB">
        <w:t>)</w:t>
      </w:r>
      <w:r w:rsidR="00F5091F" w:rsidRPr="005E7CDB">
        <w:t xml:space="preserve"> </w:t>
      </w:r>
    </w:p>
    <w:p w:rsidR="002728BC" w:rsidRPr="005E7CDB" w:rsidRDefault="002728BC" w:rsidP="00DC2D6A">
      <w:pPr>
        <w:pStyle w:val="H4G"/>
      </w:pPr>
      <w:r w:rsidRPr="005E7CDB">
        <w:tab/>
      </w:r>
      <w:r w:rsidRPr="005E7CDB">
        <w:tab/>
        <w:t>Mesure</w:t>
      </w:r>
      <w:r w:rsidR="00F5091F" w:rsidRPr="005E7CDB">
        <w:t xml:space="preserve"> </w:t>
      </w:r>
      <w:r w:rsidRPr="005E7CDB">
        <w:t>des</w:t>
      </w:r>
      <w:r w:rsidR="00F5091F" w:rsidRPr="005E7CDB">
        <w:t xml:space="preserve"> </w:t>
      </w:r>
      <w:r w:rsidRPr="005E7CDB">
        <w:t>résultats</w:t>
      </w:r>
      <w:r w:rsidR="00E4729F" w:rsidRPr="005E7CDB">
        <w:t> </w:t>
      </w:r>
      <w:r w:rsidR="00E4729F" w:rsidRPr="00BC22B4">
        <w:rPr>
          <w:i w:val="0"/>
        </w:rPr>
        <w:t>:</w:t>
      </w:r>
    </w:p>
    <w:p w:rsidR="002728BC" w:rsidRPr="005E7CDB" w:rsidRDefault="002728BC" w:rsidP="002728BC">
      <w:pPr>
        <w:pStyle w:val="SingleTxtG"/>
      </w:pPr>
      <w:r w:rsidRPr="005E7CDB">
        <w:t>Référence</w:t>
      </w:r>
      <w:r w:rsidR="00F5091F" w:rsidRPr="005E7CDB">
        <w:t xml:space="preserve"> </w:t>
      </w:r>
      <w:r w:rsidRPr="005E7CDB">
        <w:t>2014-2015</w:t>
      </w:r>
      <w:r w:rsidR="00F5091F" w:rsidRPr="005E7CDB">
        <w:t xml:space="preserve"> : </w:t>
      </w:r>
      <w:r w:rsidRPr="005E7CDB">
        <w:t>1</w:t>
      </w:r>
      <w:r w:rsidR="00F5091F" w:rsidRPr="005E7CDB">
        <w:t xml:space="preserve"> </w:t>
      </w:r>
      <w:r w:rsidRPr="005E7CDB">
        <w:t>ADR</w:t>
      </w:r>
      <w:r w:rsidR="00F5091F" w:rsidRPr="005E7CDB">
        <w:t xml:space="preserve"> </w:t>
      </w:r>
      <w:r w:rsidRPr="005E7CDB">
        <w:t>et</w:t>
      </w:r>
      <w:r w:rsidR="00F5091F" w:rsidRPr="005E7CDB">
        <w:t xml:space="preserve"> </w:t>
      </w:r>
      <w:r w:rsidRPr="005E7CDB">
        <w:t>1</w:t>
      </w:r>
      <w:r w:rsidR="00F5091F" w:rsidRPr="005E7CDB">
        <w:t xml:space="preserve"> </w:t>
      </w:r>
      <w:r w:rsidRPr="005E7CDB">
        <w:t>ADN</w:t>
      </w:r>
    </w:p>
    <w:p w:rsidR="002728BC" w:rsidRPr="005E7CDB" w:rsidRDefault="002728BC" w:rsidP="002728BC">
      <w:pPr>
        <w:pStyle w:val="SingleTxtG"/>
      </w:pPr>
      <w:r w:rsidRPr="005E7CDB">
        <w:t>Objectif</w:t>
      </w:r>
      <w:r w:rsidR="00F5091F" w:rsidRPr="005E7CDB">
        <w:t xml:space="preserve"> </w:t>
      </w:r>
      <w:r w:rsidRPr="005E7CDB">
        <w:t>2016-2017</w:t>
      </w:r>
      <w:r w:rsidR="00F5091F" w:rsidRPr="005E7CDB">
        <w:t xml:space="preserve"> : </w:t>
      </w:r>
      <w:r w:rsidRPr="005E7CDB">
        <w:t>1</w:t>
      </w:r>
      <w:r w:rsidR="00F5091F" w:rsidRPr="005E7CDB">
        <w:t xml:space="preserve"> </w:t>
      </w:r>
      <w:r w:rsidRPr="005E7CDB">
        <w:t>ADR</w:t>
      </w:r>
      <w:r w:rsidR="00F5091F" w:rsidRPr="005E7CDB">
        <w:t xml:space="preserve"> </w:t>
      </w:r>
      <w:r w:rsidRPr="005E7CDB">
        <w:t>et</w:t>
      </w:r>
      <w:r w:rsidR="00F5091F" w:rsidRPr="005E7CDB">
        <w:t xml:space="preserve"> </w:t>
      </w:r>
      <w:r w:rsidRPr="005E7CDB">
        <w:t>1</w:t>
      </w:r>
      <w:r w:rsidR="00F5091F" w:rsidRPr="005E7CDB">
        <w:t xml:space="preserve"> </w:t>
      </w:r>
      <w:r w:rsidRPr="005E7CDB">
        <w:t>ADN</w:t>
      </w:r>
    </w:p>
    <w:p w:rsidR="002728BC" w:rsidRPr="005E7CDB" w:rsidRDefault="002728BC" w:rsidP="002728BC">
      <w:pPr>
        <w:pStyle w:val="SingleTxtG"/>
        <w:rPr>
          <w:b/>
          <w:spacing w:val="-2"/>
        </w:rPr>
      </w:pPr>
      <w:r w:rsidRPr="005E7CDB">
        <w:rPr>
          <w:b/>
          <w:spacing w:val="-2"/>
        </w:rPr>
        <w:t>Résultats</w:t>
      </w:r>
      <w:r w:rsidR="00F5091F" w:rsidRPr="005E7CDB">
        <w:rPr>
          <w:b/>
          <w:spacing w:val="-2"/>
        </w:rPr>
        <w:t xml:space="preserve"> </w:t>
      </w:r>
      <w:r w:rsidRPr="005E7CDB">
        <w:rPr>
          <w:b/>
          <w:spacing w:val="-2"/>
        </w:rPr>
        <w:t>effectifs</w:t>
      </w:r>
      <w:r w:rsidR="00F5091F" w:rsidRPr="005E7CDB">
        <w:rPr>
          <w:b/>
          <w:spacing w:val="-2"/>
        </w:rPr>
        <w:t xml:space="preserve"> </w:t>
      </w:r>
      <w:r w:rsidRPr="005E7CDB">
        <w:rPr>
          <w:b/>
          <w:spacing w:val="-2"/>
        </w:rPr>
        <w:t>2016-2017</w:t>
      </w:r>
      <w:r w:rsidR="00F5091F" w:rsidRPr="005E7CDB">
        <w:rPr>
          <w:b/>
          <w:spacing w:val="-2"/>
        </w:rPr>
        <w:t xml:space="preserve"> : </w:t>
      </w:r>
      <w:r w:rsidRPr="005E7CDB">
        <w:rPr>
          <w:b/>
          <w:spacing w:val="-2"/>
        </w:rPr>
        <w:t>1</w:t>
      </w:r>
      <w:r w:rsidR="00F5091F" w:rsidRPr="005E7CDB">
        <w:rPr>
          <w:b/>
          <w:spacing w:val="-2"/>
        </w:rPr>
        <w:t xml:space="preserve"> </w:t>
      </w:r>
      <w:r w:rsidRPr="005E7CDB">
        <w:rPr>
          <w:b/>
          <w:spacing w:val="-2"/>
        </w:rPr>
        <w:t>ADR</w:t>
      </w:r>
      <w:r w:rsidR="00F5091F" w:rsidRPr="005E7CDB">
        <w:rPr>
          <w:b/>
          <w:spacing w:val="-2"/>
        </w:rPr>
        <w:t xml:space="preserve"> </w:t>
      </w:r>
      <w:r w:rsidRPr="005E7CDB">
        <w:rPr>
          <w:b/>
          <w:spacing w:val="-2"/>
        </w:rPr>
        <w:t>(ECE/TRANS/257,</w:t>
      </w:r>
      <w:r w:rsidR="00F5091F" w:rsidRPr="005E7CDB">
        <w:rPr>
          <w:b/>
          <w:spacing w:val="-2"/>
        </w:rPr>
        <w:t xml:space="preserve"> </w:t>
      </w:r>
      <w:r w:rsidRPr="005E7CDB">
        <w:rPr>
          <w:b/>
          <w:spacing w:val="-2"/>
        </w:rPr>
        <w:t>vol.</w:t>
      </w:r>
      <w:r w:rsidR="00F5091F" w:rsidRPr="005E7CDB">
        <w:rPr>
          <w:b/>
          <w:spacing w:val="-2"/>
        </w:rPr>
        <w:t xml:space="preserve"> </w:t>
      </w:r>
      <w:r w:rsidRPr="005E7CDB">
        <w:rPr>
          <w:b/>
          <w:spacing w:val="-2"/>
        </w:rPr>
        <w:t>I</w:t>
      </w:r>
      <w:r w:rsidR="00F5091F" w:rsidRPr="005E7CDB">
        <w:rPr>
          <w:b/>
          <w:spacing w:val="-2"/>
        </w:rPr>
        <w:t xml:space="preserve"> </w:t>
      </w:r>
      <w:r w:rsidRPr="005E7CDB">
        <w:rPr>
          <w:b/>
          <w:spacing w:val="-2"/>
        </w:rPr>
        <w:t>et</w:t>
      </w:r>
      <w:r w:rsidR="00F5091F" w:rsidRPr="005E7CDB">
        <w:rPr>
          <w:b/>
          <w:spacing w:val="-2"/>
        </w:rPr>
        <w:t xml:space="preserve"> </w:t>
      </w:r>
      <w:r w:rsidRPr="005E7CDB">
        <w:rPr>
          <w:b/>
          <w:spacing w:val="-2"/>
        </w:rPr>
        <w:t>II,</w:t>
      </w:r>
      <w:r w:rsidR="00F5091F" w:rsidRPr="005E7CDB">
        <w:rPr>
          <w:b/>
          <w:spacing w:val="-2"/>
        </w:rPr>
        <w:t xml:space="preserve"> </w:t>
      </w:r>
      <w:r w:rsidRPr="005E7CDB">
        <w:rPr>
          <w:b/>
          <w:spacing w:val="-2"/>
        </w:rPr>
        <w:t>numéro</w:t>
      </w:r>
      <w:r w:rsidR="00F5091F" w:rsidRPr="005E7CDB">
        <w:rPr>
          <w:b/>
          <w:spacing w:val="-2"/>
        </w:rPr>
        <w:t xml:space="preserve"> </w:t>
      </w:r>
      <w:r w:rsidRPr="005E7CDB">
        <w:rPr>
          <w:b/>
          <w:spacing w:val="-2"/>
        </w:rPr>
        <w:t>de</w:t>
      </w:r>
      <w:r w:rsidR="00F5091F" w:rsidRPr="005E7CDB">
        <w:rPr>
          <w:b/>
          <w:spacing w:val="-2"/>
        </w:rPr>
        <w:t xml:space="preserve"> </w:t>
      </w:r>
      <w:r w:rsidRPr="005E7CDB">
        <w:rPr>
          <w:b/>
          <w:spacing w:val="-2"/>
        </w:rPr>
        <w:t>vente</w:t>
      </w:r>
      <w:r w:rsidR="00F5091F" w:rsidRPr="005E7CDB">
        <w:rPr>
          <w:b/>
          <w:spacing w:val="-2"/>
        </w:rPr>
        <w:t xml:space="preserve"> : </w:t>
      </w:r>
      <w:r w:rsidRPr="005E7CDB">
        <w:rPr>
          <w:b/>
          <w:spacing w:val="-2"/>
        </w:rPr>
        <w:t>E.16.VIII.1),</w:t>
      </w:r>
      <w:r w:rsidR="00F5091F" w:rsidRPr="005E7CDB">
        <w:rPr>
          <w:b/>
          <w:spacing w:val="-2"/>
        </w:rPr>
        <w:t xml:space="preserve"> </w:t>
      </w:r>
      <w:r w:rsidRPr="005E7CDB">
        <w:rPr>
          <w:b/>
          <w:spacing w:val="-2"/>
        </w:rPr>
        <w:t>1</w:t>
      </w:r>
      <w:r w:rsidR="00F5091F" w:rsidRPr="005E7CDB">
        <w:rPr>
          <w:b/>
          <w:spacing w:val="-2"/>
        </w:rPr>
        <w:t xml:space="preserve"> </w:t>
      </w:r>
      <w:r w:rsidRPr="005E7CDB">
        <w:rPr>
          <w:b/>
          <w:spacing w:val="-2"/>
        </w:rPr>
        <w:t>ADN</w:t>
      </w:r>
      <w:r w:rsidR="00F5091F" w:rsidRPr="005E7CDB">
        <w:rPr>
          <w:b/>
          <w:spacing w:val="-2"/>
        </w:rPr>
        <w:t xml:space="preserve"> </w:t>
      </w:r>
      <w:r w:rsidRPr="005E7CDB">
        <w:rPr>
          <w:b/>
          <w:spacing w:val="-2"/>
        </w:rPr>
        <w:t>(ECE/TRANS/258,</w:t>
      </w:r>
      <w:r w:rsidR="00F5091F" w:rsidRPr="005E7CDB">
        <w:rPr>
          <w:b/>
          <w:spacing w:val="-2"/>
        </w:rPr>
        <w:t xml:space="preserve"> </w:t>
      </w:r>
      <w:r w:rsidRPr="005E7CDB">
        <w:rPr>
          <w:b/>
          <w:spacing w:val="-2"/>
        </w:rPr>
        <w:t>vol.</w:t>
      </w:r>
      <w:r w:rsidR="00F5091F" w:rsidRPr="005E7CDB">
        <w:rPr>
          <w:b/>
          <w:spacing w:val="-2"/>
        </w:rPr>
        <w:t xml:space="preserve"> </w:t>
      </w:r>
      <w:r w:rsidRPr="005E7CDB">
        <w:rPr>
          <w:b/>
          <w:spacing w:val="-2"/>
        </w:rPr>
        <w:t>I</w:t>
      </w:r>
      <w:r w:rsidR="00F5091F" w:rsidRPr="005E7CDB">
        <w:rPr>
          <w:b/>
          <w:spacing w:val="-2"/>
        </w:rPr>
        <w:t xml:space="preserve"> </w:t>
      </w:r>
      <w:r w:rsidRPr="005E7CDB">
        <w:rPr>
          <w:b/>
          <w:spacing w:val="-2"/>
        </w:rPr>
        <w:t>et</w:t>
      </w:r>
      <w:r w:rsidR="00F5091F" w:rsidRPr="005E7CDB">
        <w:rPr>
          <w:b/>
          <w:spacing w:val="-2"/>
        </w:rPr>
        <w:t xml:space="preserve"> </w:t>
      </w:r>
      <w:r w:rsidRPr="005E7CDB">
        <w:rPr>
          <w:b/>
          <w:spacing w:val="-2"/>
        </w:rPr>
        <w:t>II,</w:t>
      </w:r>
      <w:r w:rsidR="00F5091F" w:rsidRPr="005E7CDB">
        <w:rPr>
          <w:b/>
          <w:spacing w:val="-2"/>
        </w:rPr>
        <w:t xml:space="preserve"> </w:t>
      </w:r>
      <w:r w:rsidRPr="005E7CDB">
        <w:rPr>
          <w:b/>
          <w:spacing w:val="-2"/>
        </w:rPr>
        <w:t>numéro</w:t>
      </w:r>
      <w:r w:rsidR="00F5091F" w:rsidRPr="005E7CDB">
        <w:rPr>
          <w:b/>
          <w:spacing w:val="-2"/>
        </w:rPr>
        <w:t xml:space="preserve"> </w:t>
      </w:r>
      <w:r w:rsidRPr="005E7CDB">
        <w:rPr>
          <w:b/>
          <w:spacing w:val="-2"/>
        </w:rPr>
        <w:t>de</w:t>
      </w:r>
      <w:r w:rsidR="00F5091F" w:rsidRPr="005E7CDB">
        <w:rPr>
          <w:b/>
          <w:spacing w:val="-2"/>
        </w:rPr>
        <w:t xml:space="preserve"> </w:t>
      </w:r>
      <w:r w:rsidRPr="005E7CDB">
        <w:rPr>
          <w:b/>
          <w:spacing w:val="-2"/>
        </w:rPr>
        <w:t>vente</w:t>
      </w:r>
      <w:r w:rsidR="00F5091F" w:rsidRPr="005E7CDB">
        <w:rPr>
          <w:b/>
          <w:spacing w:val="-2"/>
        </w:rPr>
        <w:t xml:space="preserve"> : </w:t>
      </w:r>
      <w:r w:rsidRPr="005E7CDB">
        <w:rPr>
          <w:b/>
          <w:spacing w:val="-2"/>
        </w:rPr>
        <w:t>E.16.VIII.3)</w:t>
      </w:r>
    </w:p>
    <w:p w:rsidR="002728BC" w:rsidRPr="005E7CDB" w:rsidRDefault="002728BC" w:rsidP="00DC2D6A">
      <w:pPr>
        <w:pStyle w:val="H23G"/>
      </w:pPr>
      <w:r w:rsidRPr="005E7CDB">
        <w:lastRenderedPageBreak/>
        <w:tab/>
        <w:t>C.</w:t>
      </w:r>
      <w:r w:rsidRPr="005E7CDB">
        <w:tab/>
        <w:t>Évaluation</w:t>
      </w:r>
      <w:r w:rsidR="00F5091F" w:rsidRPr="005E7CDB">
        <w:t xml:space="preserve"> </w:t>
      </w:r>
      <w:r w:rsidRPr="005E7CDB">
        <w:t>des</w:t>
      </w:r>
      <w:r w:rsidR="00F5091F" w:rsidRPr="005E7CDB">
        <w:t xml:space="preserve"> </w:t>
      </w:r>
      <w:r w:rsidRPr="005E7CDB">
        <w:t>résultats</w:t>
      </w:r>
    </w:p>
    <w:p w:rsidR="002728BC" w:rsidRPr="005E7CDB" w:rsidRDefault="002728BC" w:rsidP="005D30A7">
      <w:pPr>
        <w:pStyle w:val="SingleTxtG"/>
        <w:keepLines/>
      </w:pPr>
      <w:r w:rsidRPr="005E7CDB">
        <w:t>2.</w:t>
      </w:r>
      <w:r w:rsidRPr="005E7CDB">
        <w:tab/>
        <w:t>Face</w:t>
      </w:r>
      <w:r w:rsidR="00F5091F" w:rsidRPr="005E7CDB">
        <w:t xml:space="preserve"> </w:t>
      </w:r>
      <w:r w:rsidRPr="005E7CDB">
        <w:t>à</w:t>
      </w:r>
      <w:r w:rsidR="00F5091F" w:rsidRPr="005E7CDB">
        <w:t xml:space="preserve"> </w:t>
      </w:r>
      <w:r w:rsidRPr="005E7CDB">
        <w:t>la</w:t>
      </w:r>
      <w:r w:rsidR="00F5091F" w:rsidRPr="005E7CDB">
        <w:t xml:space="preserve"> </w:t>
      </w:r>
      <w:r w:rsidRPr="005E7CDB">
        <w:t>nécessité</w:t>
      </w:r>
      <w:r w:rsidR="00F5091F" w:rsidRPr="005E7CDB">
        <w:t xml:space="preserve"> </w:t>
      </w:r>
      <w:r w:rsidRPr="005E7CDB">
        <w:t>de</w:t>
      </w:r>
      <w:r w:rsidR="00F5091F" w:rsidRPr="005E7CDB">
        <w:t xml:space="preserve"> </w:t>
      </w:r>
      <w:r w:rsidRPr="005E7CDB">
        <w:t>faciliter</w:t>
      </w:r>
      <w:r w:rsidR="00F5091F" w:rsidRPr="005E7CDB">
        <w:t xml:space="preserve"> </w:t>
      </w:r>
      <w:r w:rsidRPr="005E7CDB">
        <w:t>la</w:t>
      </w:r>
      <w:r w:rsidR="00F5091F" w:rsidRPr="005E7CDB">
        <w:t xml:space="preserve"> </w:t>
      </w:r>
      <w:r w:rsidRPr="005E7CDB">
        <w:t>circulation</w:t>
      </w:r>
      <w:r w:rsidR="00F5091F" w:rsidRPr="005E7CDB">
        <w:t xml:space="preserve"> </w:t>
      </w:r>
      <w:r w:rsidRPr="005E7CDB">
        <w:t>internationale</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et</w:t>
      </w:r>
      <w:r w:rsidR="00F5091F" w:rsidRPr="005E7CDB">
        <w:t xml:space="preserve"> </w:t>
      </w:r>
      <w:r w:rsidRPr="005E7CDB">
        <w:t>de</w:t>
      </w:r>
      <w:r w:rsidR="00F5091F" w:rsidRPr="005E7CDB">
        <w:t xml:space="preserve"> </w:t>
      </w:r>
      <w:r w:rsidRPr="005E7CDB">
        <w:t>renforcer</w:t>
      </w:r>
      <w:r w:rsidR="00F5091F" w:rsidRPr="005E7CDB">
        <w:t xml:space="preserve"> </w:t>
      </w:r>
      <w:r w:rsidRPr="005E7CDB">
        <w:t>la</w:t>
      </w:r>
      <w:r w:rsidR="00F5091F" w:rsidRPr="005E7CDB">
        <w:t xml:space="preserve"> </w:t>
      </w:r>
      <w:r w:rsidRPr="005E7CDB">
        <w:t>sûreté</w:t>
      </w:r>
      <w:r w:rsidR="00F5091F" w:rsidRPr="005E7CDB">
        <w:t xml:space="preserve"> </w:t>
      </w:r>
      <w:r w:rsidRPr="005E7CDB">
        <w:t>et</w:t>
      </w:r>
      <w:r w:rsidR="00F5091F" w:rsidRPr="005E7CDB">
        <w:t xml:space="preserve"> </w:t>
      </w:r>
      <w:r w:rsidRPr="005E7CDB">
        <w:t>la</w:t>
      </w:r>
      <w:r w:rsidR="00F5091F" w:rsidRPr="005E7CDB">
        <w:t xml:space="preserve"> </w:t>
      </w:r>
      <w:r w:rsidRPr="005E7CDB">
        <w:t>sécurité</w:t>
      </w:r>
      <w:r w:rsidR="00F5091F" w:rsidRPr="005E7CDB">
        <w:t xml:space="preserve"> </w:t>
      </w:r>
      <w:r w:rsidRPr="005E7CDB">
        <w:t>des</w:t>
      </w:r>
      <w:r w:rsidR="00F5091F" w:rsidRPr="005E7CDB">
        <w:t xml:space="preserve"> </w:t>
      </w:r>
      <w:r w:rsidRPr="005E7CDB">
        <w:t>transports,</w:t>
      </w:r>
      <w:r w:rsidR="00F5091F" w:rsidRPr="005E7CDB">
        <w:t xml:space="preserve"> </w:t>
      </w:r>
      <w:r w:rsidRPr="005E7CDB">
        <w:t>les</w:t>
      </w:r>
      <w:r w:rsidR="00F5091F" w:rsidRPr="005E7CDB">
        <w:t xml:space="preserve"> </w:t>
      </w:r>
      <w:r w:rsidRPr="005E7CDB">
        <w:t>Parties</w:t>
      </w:r>
      <w:r w:rsidR="00F5091F" w:rsidRPr="005E7CDB">
        <w:t xml:space="preserve"> </w:t>
      </w:r>
      <w:r w:rsidRPr="005E7CDB">
        <w:t>contractantes</w:t>
      </w:r>
      <w:r w:rsidR="00F5091F" w:rsidRPr="005E7CDB">
        <w:t xml:space="preserve"> </w:t>
      </w:r>
      <w:r w:rsidRPr="005E7CDB">
        <w:t>ont</w:t>
      </w:r>
      <w:r w:rsidR="00F5091F" w:rsidRPr="005E7CDB">
        <w:t xml:space="preserve"> </w:t>
      </w:r>
      <w:r w:rsidRPr="005E7CDB">
        <w:t>continué</w:t>
      </w:r>
      <w:r w:rsidR="00F5091F" w:rsidRPr="005E7CDB">
        <w:t xml:space="preserve"> </w:t>
      </w:r>
      <w:r w:rsidRPr="005E7CDB">
        <w:t>de</w:t>
      </w:r>
      <w:r w:rsidR="00F5091F" w:rsidRPr="005E7CDB">
        <w:t xml:space="preserve"> </w:t>
      </w:r>
      <w:r w:rsidRPr="005E7CDB">
        <w:t>mettre</w:t>
      </w:r>
      <w:r w:rsidR="00F5091F" w:rsidRPr="005E7CDB">
        <w:t xml:space="preserve"> </w:t>
      </w:r>
      <w:r w:rsidRPr="005E7CDB">
        <w:t>à</w:t>
      </w:r>
      <w:r w:rsidR="00F5091F" w:rsidRPr="005E7CDB">
        <w:t xml:space="preserve"> </w:t>
      </w:r>
      <w:r w:rsidRPr="005E7CDB">
        <w:t>jour</w:t>
      </w:r>
      <w:r w:rsidR="00F5091F" w:rsidRPr="005E7CDB">
        <w:t xml:space="preserve"> </w:t>
      </w:r>
      <w:r w:rsidRPr="005E7CDB">
        <w:t>l’ADR,</w:t>
      </w:r>
      <w:r w:rsidR="00F5091F" w:rsidRPr="005E7CDB">
        <w:t xml:space="preserve"> </w:t>
      </w:r>
      <w:r w:rsidRPr="005E7CDB">
        <w:t>le</w:t>
      </w:r>
      <w:r w:rsidR="00F5091F" w:rsidRPr="005E7CDB">
        <w:t xml:space="preserve"> </w:t>
      </w:r>
      <w:r w:rsidRPr="005E7CDB">
        <w:t>RID</w:t>
      </w:r>
      <w:r w:rsidR="00F5091F" w:rsidRPr="005E7CDB">
        <w:t xml:space="preserve"> </w:t>
      </w:r>
      <w:r w:rsidRPr="005E7CDB">
        <w:t>et</w:t>
      </w:r>
      <w:r w:rsidR="00F5091F" w:rsidRPr="005E7CDB">
        <w:t xml:space="preserve"> </w:t>
      </w:r>
      <w:r w:rsidRPr="005E7CDB">
        <w:t>l’ADN</w:t>
      </w:r>
      <w:r w:rsidR="00F5091F" w:rsidRPr="005E7CDB">
        <w:t xml:space="preserve"> </w:t>
      </w:r>
      <w:r w:rsidRPr="005E7CDB">
        <w:t>en</w:t>
      </w:r>
      <w:r w:rsidR="00F5091F" w:rsidRPr="005E7CDB">
        <w:t xml:space="preserve"> </w:t>
      </w:r>
      <w:r w:rsidRPr="005E7CDB">
        <w:t>tenant</w:t>
      </w:r>
      <w:r w:rsidR="00F5091F" w:rsidRPr="005E7CDB">
        <w:t xml:space="preserve"> </w:t>
      </w:r>
      <w:r w:rsidRPr="005E7CDB">
        <w:t>compte</w:t>
      </w:r>
      <w:r w:rsidR="00F5091F" w:rsidRPr="005E7CDB">
        <w:t xml:space="preserve"> </w:t>
      </w:r>
      <w:r w:rsidRPr="005E7CDB">
        <w:t>de</w:t>
      </w:r>
      <w:r w:rsidR="00F5091F" w:rsidRPr="005E7CDB">
        <w:t xml:space="preserve"> </w:t>
      </w:r>
      <w:r w:rsidRPr="005E7CDB">
        <w:t>l’évolution</w:t>
      </w:r>
      <w:r w:rsidR="00F5091F" w:rsidRPr="005E7CDB">
        <w:t xml:space="preserve"> </w:t>
      </w:r>
      <w:r w:rsidRPr="005E7CDB">
        <w:t>des</w:t>
      </w:r>
      <w:r w:rsidR="00F5091F" w:rsidRPr="005E7CDB">
        <w:t xml:space="preserve"> </w:t>
      </w:r>
      <w:r w:rsidRPr="005E7CDB">
        <w:t>techniques,</w:t>
      </w:r>
      <w:r w:rsidR="00F5091F" w:rsidRPr="005E7CDB">
        <w:t xml:space="preserve"> </w:t>
      </w:r>
      <w:r w:rsidRPr="005E7CDB">
        <w:t>des</w:t>
      </w:r>
      <w:r w:rsidR="00F5091F" w:rsidRPr="005E7CDB">
        <w:t xml:space="preserve"> </w:t>
      </w:r>
      <w:r w:rsidRPr="005E7CDB">
        <w:t>nouvelles</w:t>
      </w:r>
      <w:r w:rsidR="00F5091F" w:rsidRPr="005E7CDB">
        <w:t xml:space="preserve"> </w:t>
      </w:r>
      <w:r w:rsidRPr="005E7CDB">
        <w:t>exigences</w:t>
      </w:r>
      <w:r w:rsidR="00F5091F" w:rsidRPr="005E7CDB">
        <w:t xml:space="preserve"> </w:t>
      </w:r>
      <w:r w:rsidRPr="005E7CDB">
        <w:t>et</w:t>
      </w:r>
      <w:r w:rsidR="00F5091F" w:rsidRPr="005E7CDB">
        <w:t xml:space="preserve"> </w:t>
      </w:r>
      <w:r w:rsidRPr="005E7CDB">
        <w:t>des</w:t>
      </w:r>
      <w:r w:rsidR="00F5091F" w:rsidRPr="005E7CDB">
        <w:t xml:space="preserve"> </w:t>
      </w:r>
      <w:r w:rsidRPr="005E7CDB">
        <w:t>nouveaux</w:t>
      </w:r>
      <w:r w:rsidR="00F5091F" w:rsidRPr="005E7CDB">
        <w:t xml:space="preserve"> </w:t>
      </w:r>
      <w:r w:rsidRPr="005E7CDB">
        <w:t>besoins</w:t>
      </w:r>
      <w:r w:rsidR="00F5091F" w:rsidRPr="005E7CDB">
        <w:t xml:space="preserve"> </w:t>
      </w:r>
      <w:r w:rsidRPr="005E7CDB">
        <w:t>dans</w:t>
      </w:r>
      <w:r w:rsidR="00F5091F" w:rsidRPr="005E7CDB">
        <w:t xml:space="preserve"> </w:t>
      </w:r>
      <w:r w:rsidRPr="005E7CDB">
        <w:t>le</w:t>
      </w:r>
      <w:r w:rsidR="00F5091F" w:rsidRPr="005E7CDB">
        <w:t xml:space="preserve"> </w:t>
      </w:r>
      <w:r w:rsidRPr="005E7CDB">
        <w:t>secteur</w:t>
      </w:r>
      <w:r w:rsidR="00F5091F" w:rsidRPr="005E7CDB">
        <w:t xml:space="preserve"> </w:t>
      </w:r>
      <w:r w:rsidRPr="005E7CDB">
        <w:t>des</w:t>
      </w:r>
      <w:r w:rsidR="00F5091F" w:rsidRPr="005E7CDB">
        <w:t xml:space="preserve"> </w:t>
      </w:r>
      <w:r w:rsidRPr="005E7CDB">
        <w:t>transports.</w:t>
      </w:r>
      <w:r w:rsidR="00F5091F" w:rsidRPr="005E7CDB">
        <w:t xml:space="preserve"> </w:t>
      </w:r>
      <w:r w:rsidRPr="005E7CDB">
        <w:t>Afin</w:t>
      </w:r>
      <w:r w:rsidR="00F5091F" w:rsidRPr="005E7CDB">
        <w:t xml:space="preserve"> </w:t>
      </w:r>
      <w:r w:rsidRPr="005E7CDB">
        <w:t>d’assurer</w:t>
      </w:r>
      <w:r w:rsidR="00F5091F" w:rsidRPr="005E7CDB">
        <w:t xml:space="preserve"> </w:t>
      </w:r>
      <w:r w:rsidRPr="005E7CDB">
        <w:t>l’harmonisation</w:t>
      </w:r>
      <w:r w:rsidR="00F5091F" w:rsidRPr="005E7CDB">
        <w:t xml:space="preserve"> </w:t>
      </w:r>
      <w:r w:rsidRPr="005E7CDB">
        <w:t>entre</w:t>
      </w:r>
      <w:r w:rsidR="00F5091F" w:rsidRPr="005E7CDB">
        <w:t xml:space="preserve"> </w:t>
      </w:r>
      <w:r w:rsidRPr="005E7CDB">
        <w:t>les</w:t>
      </w:r>
      <w:r w:rsidR="00F5091F" w:rsidRPr="005E7CDB">
        <w:t xml:space="preserve"> </w:t>
      </w:r>
      <w:r w:rsidRPr="005E7CDB">
        <w:t>modes</w:t>
      </w:r>
      <w:r w:rsidR="00F5091F" w:rsidRPr="005E7CDB">
        <w:t xml:space="preserve"> </w:t>
      </w:r>
      <w:r w:rsidRPr="005E7CDB">
        <w:t>de</w:t>
      </w:r>
      <w:r w:rsidR="00F5091F" w:rsidRPr="005E7CDB">
        <w:t xml:space="preserve"> </w:t>
      </w:r>
      <w:r w:rsidRPr="005E7CDB">
        <w:t>transport,</w:t>
      </w:r>
      <w:r w:rsidR="00F5091F" w:rsidRPr="005E7CDB">
        <w:t xml:space="preserve"> </w:t>
      </w:r>
      <w:r w:rsidRPr="005E7CDB">
        <w:t>elles</w:t>
      </w:r>
      <w:r w:rsidR="00F5091F" w:rsidRPr="005E7CDB">
        <w:t xml:space="preserve"> </w:t>
      </w:r>
      <w:r w:rsidRPr="005E7CDB">
        <w:t>ont</w:t>
      </w:r>
      <w:r w:rsidR="00F5091F" w:rsidRPr="005E7CDB">
        <w:t xml:space="preserve"> </w:t>
      </w:r>
      <w:r w:rsidRPr="005E7CDB">
        <w:t>adopté</w:t>
      </w:r>
      <w:r w:rsidR="00F5091F" w:rsidRPr="005E7CDB">
        <w:t xml:space="preserve"> </w:t>
      </w:r>
      <w:r w:rsidRPr="005E7CDB">
        <w:t>des</w:t>
      </w:r>
      <w:r w:rsidR="00F5091F" w:rsidRPr="005E7CDB">
        <w:t xml:space="preserve"> </w:t>
      </w:r>
      <w:r w:rsidRPr="005E7CDB">
        <w:t>amendements</w:t>
      </w:r>
      <w:r w:rsidR="00F5091F" w:rsidRPr="005E7CDB">
        <w:t xml:space="preserve"> </w:t>
      </w:r>
      <w:r w:rsidRPr="005E7CDB">
        <w:t>en</w:t>
      </w:r>
      <w:r w:rsidR="00F5091F" w:rsidRPr="005E7CDB">
        <w:t xml:space="preserve"> </w:t>
      </w:r>
      <w:r w:rsidRPr="005E7CDB">
        <w:t>vue</w:t>
      </w:r>
      <w:r w:rsidR="00F5091F" w:rsidRPr="005E7CDB">
        <w:t xml:space="preserve"> </w:t>
      </w:r>
      <w:r w:rsidRPr="005E7CDB">
        <w:t>de</w:t>
      </w:r>
      <w:r w:rsidR="00F5091F" w:rsidRPr="005E7CDB">
        <w:t xml:space="preserve"> </w:t>
      </w:r>
      <w:r w:rsidRPr="005E7CDB">
        <w:t>transposer</w:t>
      </w:r>
      <w:r w:rsidR="00F5091F" w:rsidRPr="005E7CDB">
        <w:t xml:space="preserve"> </w:t>
      </w:r>
      <w:r w:rsidRPr="005E7CDB">
        <w:t>la</w:t>
      </w:r>
      <w:r w:rsidR="00F5091F" w:rsidRPr="005E7CDB">
        <w:t xml:space="preserve"> </w:t>
      </w:r>
      <w:r w:rsidRPr="005E7CDB">
        <w:t>dix-neuvième</w:t>
      </w:r>
      <w:r w:rsidR="00F5091F" w:rsidRPr="005E7CDB">
        <w:t xml:space="preserve"> </w:t>
      </w:r>
      <w:r w:rsidRPr="005E7CDB">
        <w:t>édition</w:t>
      </w:r>
      <w:r w:rsidR="00F5091F" w:rsidRPr="005E7CDB">
        <w:t xml:space="preserve"> </w:t>
      </w:r>
      <w:r w:rsidRPr="005E7CDB">
        <w:t>révisée</w:t>
      </w:r>
      <w:r w:rsidR="00F5091F" w:rsidRPr="005E7CDB">
        <w:t xml:space="preserve"> </w:t>
      </w:r>
      <w:r w:rsidRPr="005E7CDB">
        <w:t>du</w:t>
      </w:r>
      <w:r w:rsidR="00F5091F" w:rsidRPr="005E7CDB">
        <w:t xml:space="preserve"> </w:t>
      </w:r>
      <w:r w:rsidRPr="005E7CDB">
        <w:t>Règlement</w:t>
      </w:r>
      <w:r w:rsidR="00F5091F" w:rsidRPr="005E7CDB">
        <w:t xml:space="preserve"> </w:t>
      </w:r>
      <w:r w:rsidRPr="005E7CDB">
        <w:t>type</w:t>
      </w:r>
      <w:r w:rsidR="00F5091F" w:rsidRPr="005E7CDB">
        <w:t xml:space="preserve"> </w:t>
      </w:r>
      <w:r w:rsidRPr="005E7CDB">
        <w:t>de</w:t>
      </w:r>
      <w:r w:rsidR="00F5091F" w:rsidRPr="005E7CDB">
        <w:t xml:space="preserve"> </w:t>
      </w:r>
      <w:r w:rsidRPr="005E7CDB">
        <w:t>l’ONU</w:t>
      </w:r>
      <w:r w:rsidR="00F5091F" w:rsidRPr="005E7CDB">
        <w:t xml:space="preserve"> </w:t>
      </w:r>
      <w:r w:rsidRPr="005E7CDB">
        <w:t>(2015)</w:t>
      </w:r>
      <w:r w:rsidR="00F5091F" w:rsidRPr="005E7CDB">
        <w:t xml:space="preserve"> </w:t>
      </w:r>
      <w:r w:rsidRPr="005E7CDB">
        <w:t>sans</w:t>
      </w:r>
      <w:r w:rsidR="00F5091F" w:rsidRPr="005E7CDB">
        <w:t xml:space="preserve"> </w:t>
      </w:r>
      <w:r w:rsidRPr="005E7CDB">
        <w:t>rouvrir</w:t>
      </w:r>
      <w:r w:rsidR="00F5091F" w:rsidRPr="005E7CDB">
        <w:t xml:space="preserve"> </w:t>
      </w:r>
      <w:r w:rsidRPr="005E7CDB">
        <w:t>des</w:t>
      </w:r>
      <w:r w:rsidR="00F5091F" w:rsidRPr="005E7CDB">
        <w:t xml:space="preserve"> </w:t>
      </w:r>
      <w:r w:rsidRPr="005E7CDB">
        <w:t>débats</w:t>
      </w:r>
      <w:r w:rsidR="00F5091F" w:rsidRPr="005E7CDB">
        <w:t xml:space="preserve"> </w:t>
      </w:r>
      <w:r w:rsidRPr="005E7CDB">
        <w:t>techniques</w:t>
      </w:r>
      <w:r w:rsidR="00F5091F" w:rsidRPr="005E7CDB">
        <w:t xml:space="preserve"> </w:t>
      </w:r>
      <w:r w:rsidRPr="005E7CDB">
        <w:t>(s’agissant</w:t>
      </w:r>
      <w:r w:rsidR="00F5091F" w:rsidRPr="005E7CDB">
        <w:t xml:space="preserve"> </w:t>
      </w:r>
      <w:r w:rsidRPr="005E7CDB">
        <w:t>par</w:t>
      </w:r>
      <w:r w:rsidR="00F5091F" w:rsidRPr="005E7CDB">
        <w:t xml:space="preserve"> </w:t>
      </w:r>
      <w:r w:rsidRPr="005E7CDB">
        <w:t>exemple</w:t>
      </w:r>
      <w:r w:rsidR="00F5091F" w:rsidRPr="005E7CDB">
        <w:t xml:space="preserve"> </w:t>
      </w:r>
      <w:r w:rsidRPr="005E7CDB">
        <w:t>du</w:t>
      </w:r>
      <w:r w:rsidR="00F5091F" w:rsidRPr="005E7CDB">
        <w:t xml:space="preserve"> </w:t>
      </w:r>
      <w:r w:rsidRPr="005E7CDB">
        <w:t>transport</w:t>
      </w:r>
      <w:r w:rsidR="00F5091F" w:rsidRPr="005E7CDB">
        <w:t xml:space="preserve"> </w:t>
      </w:r>
      <w:r w:rsidRPr="005E7CDB">
        <w:t>des</w:t>
      </w:r>
      <w:r w:rsidR="00F5091F" w:rsidRPr="005E7CDB">
        <w:t xml:space="preserve"> </w:t>
      </w:r>
      <w:r w:rsidRPr="005E7CDB">
        <w:t>liquides</w:t>
      </w:r>
      <w:r w:rsidR="00F5091F" w:rsidRPr="005E7CDB">
        <w:t xml:space="preserve"> </w:t>
      </w:r>
      <w:r w:rsidRPr="005E7CDB">
        <w:t>visqueux,</w:t>
      </w:r>
      <w:r w:rsidR="00F5091F" w:rsidRPr="005E7CDB">
        <w:t xml:space="preserve"> </w:t>
      </w:r>
      <w:r w:rsidRPr="005E7CDB">
        <w:t>des</w:t>
      </w:r>
      <w:r w:rsidR="00F5091F" w:rsidRPr="005E7CDB">
        <w:t xml:space="preserve"> </w:t>
      </w:r>
      <w:r w:rsidRPr="005E7CDB">
        <w:t>gaz,</w:t>
      </w:r>
      <w:r w:rsidR="00F5091F" w:rsidRPr="005E7CDB">
        <w:t xml:space="preserve"> </w:t>
      </w:r>
      <w:r w:rsidRPr="005E7CDB">
        <w:t>des</w:t>
      </w:r>
      <w:r w:rsidR="00F5091F" w:rsidRPr="005E7CDB">
        <w:t xml:space="preserve"> </w:t>
      </w:r>
      <w:r w:rsidRPr="005E7CDB">
        <w:t>matières</w:t>
      </w:r>
      <w:r w:rsidR="00F5091F" w:rsidRPr="005E7CDB">
        <w:t xml:space="preserve"> </w:t>
      </w:r>
      <w:r w:rsidRPr="005E7CDB">
        <w:t>qui</w:t>
      </w:r>
      <w:r w:rsidR="00F5091F" w:rsidRPr="005E7CDB">
        <w:t xml:space="preserve"> </w:t>
      </w:r>
      <w:r w:rsidRPr="005E7CDB">
        <w:t>polymérisent,</w:t>
      </w:r>
      <w:r w:rsidR="00F5091F" w:rsidRPr="005E7CDB">
        <w:t xml:space="preserve"> </w:t>
      </w:r>
      <w:r w:rsidRPr="005E7CDB">
        <w:t>des</w:t>
      </w:r>
      <w:r w:rsidR="00F5091F" w:rsidRPr="005E7CDB">
        <w:t xml:space="preserve"> </w:t>
      </w:r>
      <w:r w:rsidRPr="005E7CDB">
        <w:t>moteurs</w:t>
      </w:r>
      <w:r w:rsidR="00F5091F" w:rsidRPr="005E7CDB">
        <w:t xml:space="preserve"> </w:t>
      </w:r>
      <w:r w:rsidRPr="005E7CDB">
        <w:t>à</w:t>
      </w:r>
      <w:r w:rsidR="00F5091F" w:rsidRPr="005E7CDB">
        <w:t xml:space="preserve"> </w:t>
      </w:r>
      <w:r w:rsidRPr="005E7CDB">
        <w:t>combustion</w:t>
      </w:r>
      <w:r w:rsidR="00F5091F" w:rsidRPr="005E7CDB">
        <w:t xml:space="preserve"> </w:t>
      </w:r>
      <w:r w:rsidRPr="005E7CDB">
        <w:t>interne</w:t>
      </w:r>
      <w:r w:rsidR="00F5091F" w:rsidRPr="005E7CDB">
        <w:t xml:space="preserve"> </w:t>
      </w:r>
      <w:r w:rsidRPr="005E7CDB">
        <w:t>ou</w:t>
      </w:r>
      <w:r w:rsidR="00F5091F" w:rsidRPr="005E7CDB">
        <w:t xml:space="preserve"> </w:t>
      </w:r>
      <w:r w:rsidRPr="005E7CDB">
        <w:t>des</w:t>
      </w:r>
      <w:r w:rsidR="00F5091F" w:rsidRPr="005E7CDB">
        <w:t xml:space="preserve"> </w:t>
      </w:r>
      <w:r w:rsidRPr="005E7CDB">
        <w:t>machines</w:t>
      </w:r>
      <w:r w:rsidR="00F5091F" w:rsidRPr="005E7CDB">
        <w:t xml:space="preserve"> </w:t>
      </w:r>
      <w:r w:rsidRPr="005E7CDB">
        <w:t>alimentées</w:t>
      </w:r>
      <w:r w:rsidR="00F5091F" w:rsidRPr="005E7CDB">
        <w:t xml:space="preserve"> </w:t>
      </w:r>
      <w:r w:rsidRPr="005E7CDB">
        <w:t>par</w:t>
      </w:r>
      <w:r w:rsidR="00F5091F" w:rsidRPr="005E7CDB">
        <w:t xml:space="preserve"> </w:t>
      </w:r>
      <w:r w:rsidRPr="005E7CDB">
        <w:t>des</w:t>
      </w:r>
      <w:r w:rsidR="00F5091F" w:rsidRPr="005E7CDB">
        <w:t xml:space="preserve"> </w:t>
      </w:r>
      <w:r w:rsidRPr="005E7CDB">
        <w:t>liquides</w:t>
      </w:r>
      <w:r w:rsidR="00F5091F" w:rsidRPr="005E7CDB">
        <w:t xml:space="preserve"> </w:t>
      </w:r>
      <w:r w:rsidRPr="005E7CDB">
        <w:t>ou</w:t>
      </w:r>
      <w:r w:rsidR="00F5091F" w:rsidRPr="005E7CDB">
        <w:t xml:space="preserve"> </w:t>
      </w:r>
      <w:r w:rsidRPr="005E7CDB">
        <w:t>des</w:t>
      </w:r>
      <w:r w:rsidR="00F5091F" w:rsidRPr="005E7CDB">
        <w:t xml:space="preserve"> </w:t>
      </w:r>
      <w:r w:rsidRPr="005E7CDB">
        <w:t>gaz</w:t>
      </w:r>
      <w:r w:rsidR="00F5091F" w:rsidRPr="005E7CDB">
        <w:t xml:space="preserve"> </w:t>
      </w:r>
      <w:r w:rsidRPr="005E7CDB">
        <w:t>inflammables,</w:t>
      </w:r>
      <w:r w:rsidR="00F5091F" w:rsidRPr="005E7CDB">
        <w:t xml:space="preserve"> </w:t>
      </w:r>
      <w:r w:rsidRPr="005E7CDB">
        <w:t>des</w:t>
      </w:r>
      <w:r w:rsidR="00F5091F" w:rsidRPr="005E7CDB">
        <w:t xml:space="preserve"> </w:t>
      </w:r>
      <w:r w:rsidRPr="005E7CDB">
        <w:t>véhicules</w:t>
      </w:r>
      <w:r w:rsidR="00F5091F" w:rsidRPr="005E7CDB">
        <w:t xml:space="preserve"> </w:t>
      </w:r>
      <w:r w:rsidRPr="005E7CDB">
        <w:t>électriques,</w:t>
      </w:r>
      <w:r w:rsidR="00F5091F" w:rsidRPr="005E7CDB">
        <w:t xml:space="preserve"> </w:t>
      </w:r>
      <w:r w:rsidRPr="005E7CDB">
        <w:t>des</w:t>
      </w:r>
      <w:r w:rsidR="00F5091F" w:rsidRPr="005E7CDB">
        <w:t xml:space="preserve"> </w:t>
      </w:r>
      <w:r w:rsidRPr="005E7CDB">
        <w:t>batteries</w:t>
      </w:r>
      <w:r w:rsidR="00F5091F" w:rsidRPr="005E7CDB">
        <w:t xml:space="preserve"> </w:t>
      </w:r>
      <w:r w:rsidRPr="005E7CDB">
        <w:t>au</w:t>
      </w:r>
      <w:r w:rsidR="00F5091F" w:rsidRPr="005E7CDB">
        <w:t xml:space="preserve"> </w:t>
      </w:r>
      <w:r w:rsidRPr="005E7CDB">
        <w:t>lithium</w:t>
      </w:r>
      <w:r w:rsidR="00F5091F" w:rsidRPr="005E7CDB">
        <w:t xml:space="preserve"> </w:t>
      </w:r>
      <w:r w:rsidRPr="005E7CDB">
        <w:t>et</w:t>
      </w:r>
      <w:r w:rsidR="00F5091F" w:rsidRPr="005E7CDB">
        <w:t xml:space="preserve"> </w:t>
      </w:r>
      <w:r w:rsidRPr="005E7CDB">
        <w:t>des</w:t>
      </w:r>
      <w:r w:rsidR="00F5091F" w:rsidRPr="005E7CDB">
        <w:t xml:space="preserve"> </w:t>
      </w:r>
      <w:r w:rsidRPr="005E7CDB">
        <w:t>systèmes</w:t>
      </w:r>
      <w:r w:rsidR="00F5091F" w:rsidRPr="005E7CDB">
        <w:t xml:space="preserve"> </w:t>
      </w:r>
      <w:r w:rsidRPr="005E7CDB">
        <w:t>de</w:t>
      </w:r>
      <w:r w:rsidR="00F5091F" w:rsidRPr="005E7CDB">
        <w:t xml:space="preserve"> </w:t>
      </w:r>
      <w:r w:rsidRPr="005E7CDB">
        <w:t>dosage</w:t>
      </w:r>
      <w:r w:rsidR="00F5091F" w:rsidRPr="005E7CDB">
        <w:t xml:space="preserve"> </w:t>
      </w:r>
      <w:r w:rsidRPr="005E7CDB">
        <w:t>d’ammoniac).</w:t>
      </w:r>
      <w:r w:rsidR="00F5091F" w:rsidRPr="005E7CDB">
        <w:t xml:space="preserve"> </w:t>
      </w:r>
      <w:r w:rsidRPr="005E7CDB">
        <w:t>Leurs</w:t>
      </w:r>
      <w:r w:rsidR="00F5091F" w:rsidRPr="005E7CDB">
        <w:t xml:space="preserve"> </w:t>
      </w:r>
      <w:r w:rsidRPr="005E7CDB">
        <w:t>travaux</w:t>
      </w:r>
      <w:r w:rsidR="00F5091F" w:rsidRPr="005E7CDB">
        <w:t xml:space="preserve"> </w:t>
      </w:r>
      <w:r w:rsidRPr="005E7CDB">
        <w:t>ont</w:t>
      </w:r>
      <w:r w:rsidR="00F5091F" w:rsidRPr="005E7CDB">
        <w:t xml:space="preserve"> </w:t>
      </w:r>
      <w:r w:rsidRPr="005E7CDB">
        <w:t>été</w:t>
      </w:r>
      <w:r w:rsidR="00F5091F" w:rsidRPr="005E7CDB">
        <w:t xml:space="preserve"> </w:t>
      </w:r>
      <w:r w:rsidRPr="005E7CDB">
        <w:t>axés</w:t>
      </w:r>
      <w:r w:rsidR="00F5091F" w:rsidRPr="005E7CDB">
        <w:t xml:space="preserve"> </w:t>
      </w:r>
      <w:r w:rsidRPr="005E7CDB">
        <w:t>sur</w:t>
      </w:r>
      <w:r w:rsidR="00F5091F" w:rsidRPr="005E7CDB">
        <w:t xml:space="preserve"> </w:t>
      </w:r>
      <w:r w:rsidRPr="005E7CDB">
        <w:t>des</w:t>
      </w:r>
      <w:r w:rsidR="00F5091F" w:rsidRPr="005E7CDB">
        <w:t xml:space="preserve"> </w:t>
      </w:r>
      <w:r w:rsidRPr="005E7CDB">
        <w:t>questions</w:t>
      </w:r>
      <w:r w:rsidR="00F5091F" w:rsidRPr="005E7CDB">
        <w:t xml:space="preserve"> </w:t>
      </w:r>
      <w:r w:rsidRPr="005E7CDB">
        <w:t>spécifiques</w:t>
      </w:r>
      <w:r w:rsidR="00F5091F" w:rsidRPr="005E7CDB">
        <w:t xml:space="preserve"> </w:t>
      </w:r>
      <w:r w:rsidRPr="005E7CDB">
        <w:t>à</w:t>
      </w:r>
      <w:r w:rsidR="00F5091F" w:rsidRPr="005E7CDB">
        <w:t xml:space="preserve"> </w:t>
      </w:r>
      <w:r w:rsidRPr="005E7CDB">
        <w:t>différents</w:t>
      </w:r>
      <w:r w:rsidR="00F5091F" w:rsidRPr="005E7CDB">
        <w:t xml:space="preserve"> </w:t>
      </w:r>
      <w:r w:rsidRPr="005E7CDB">
        <w:t>modes</w:t>
      </w:r>
      <w:r w:rsidR="00F5091F" w:rsidRPr="005E7CDB">
        <w:t xml:space="preserve"> </w:t>
      </w:r>
      <w:r w:rsidRPr="005E7CDB">
        <w:t>de</w:t>
      </w:r>
      <w:r w:rsidR="00F5091F" w:rsidRPr="005E7CDB">
        <w:t xml:space="preserve"> </w:t>
      </w:r>
      <w:r w:rsidRPr="005E7CDB">
        <w:t>transport.</w:t>
      </w:r>
    </w:p>
    <w:p w:rsidR="002728BC" w:rsidRPr="005E7CDB" w:rsidRDefault="002728BC" w:rsidP="00DC2D6A">
      <w:pPr>
        <w:pStyle w:val="SingleTxtG"/>
      </w:pPr>
      <w:r w:rsidRPr="005E7CDB">
        <w:t>3.</w:t>
      </w:r>
      <w:r w:rsidRPr="005E7CDB">
        <w:tab/>
        <w:t>Pour</w:t>
      </w:r>
      <w:r w:rsidR="00F5091F" w:rsidRPr="005E7CDB">
        <w:t xml:space="preserve"> </w:t>
      </w:r>
      <w:r w:rsidRPr="005E7CDB">
        <w:t>les</w:t>
      </w:r>
      <w:r w:rsidR="00F5091F" w:rsidRPr="005E7CDB">
        <w:t xml:space="preserve"> </w:t>
      </w:r>
      <w:r w:rsidRPr="005E7CDB">
        <w:t>transports</w:t>
      </w:r>
      <w:r w:rsidR="00F5091F" w:rsidRPr="005E7CDB">
        <w:t xml:space="preserve"> </w:t>
      </w:r>
      <w:r w:rsidRPr="005E7CDB">
        <w:t>routiers,</w:t>
      </w:r>
      <w:r w:rsidR="00F5091F" w:rsidRPr="005E7CDB">
        <w:t xml:space="preserve"> </w:t>
      </w:r>
      <w:r w:rsidRPr="005E7CDB">
        <w:t>le</w:t>
      </w:r>
      <w:r w:rsidR="00F5091F" w:rsidRPr="005E7CDB">
        <w:t xml:space="preserve"> </w:t>
      </w:r>
      <w:r w:rsidRPr="005E7CDB">
        <w:t>Groupe</w:t>
      </w:r>
      <w:r w:rsidR="00F5091F" w:rsidRPr="005E7CDB">
        <w:t xml:space="preserve"> </w:t>
      </w:r>
      <w:r w:rsidRPr="005E7CDB">
        <w:t>de</w:t>
      </w:r>
      <w:r w:rsidR="00F5091F" w:rsidRPr="005E7CDB">
        <w:t xml:space="preserve"> </w:t>
      </w:r>
      <w:r w:rsidRPr="005E7CDB">
        <w:t>travail</w:t>
      </w:r>
      <w:r w:rsidR="00F5091F" w:rsidRPr="005E7CDB">
        <w:t xml:space="preserve"> </w:t>
      </w:r>
      <w:r w:rsidRPr="005E7CDB">
        <w:t>des</w:t>
      </w:r>
      <w:r w:rsidR="00F5091F" w:rsidRPr="005E7CDB">
        <w:t xml:space="preserve"> </w:t>
      </w:r>
      <w:r w:rsidRPr="005E7CDB">
        <w:t>transports</w:t>
      </w:r>
      <w:r w:rsidR="00F5091F" w:rsidRPr="005E7CDB">
        <w:t xml:space="preserve"> </w:t>
      </w:r>
      <w:r w:rsidRPr="005E7CDB">
        <w:t>de</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a</w:t>
      </w:r>
      <w:r w:rsidR="00F5091F" w:rsidRPr="005E7CDB">
        <w:t xml:space="preserve"> </w:t>
      </w:r>
      <w:r w:rsidRPr="005E7CDB">
        <w:t>adopté</w:t>
      </w:r>
      <w:r w:rsidR="00F5091F" w:rsidRPr="005E7CDB">
        <w:t xml:space="preserve"> </w:t>
      </w:r>
      <w:r w:rsidRPr="005E7CDB">
        <w:t>des</w:t>
      </w:r>
      <w:r w:rsidR="00F5091F" w:rsidRPr="005E7CDB">
        <w:t xml:space="preserve"> </w:t>
      </w:r>
      <w:r w:rsidRPr="005E7CDB">
        <w:t>prescriptions</w:t>
      </w:r>
      <w:r w:rsidR="00F5091F" w:rsidRPr="005E7CDB">
        <w:t xml:space="preserve"> </w:t>
      </w:r>
      <w:r w:rsidRPr="005E7CDB">
        <w:t>nouvelles</w:t>
      </w:r>
      <w:r w:rsidR="00F5091F" w:rsidRPr="005E7CDB">
        <w:t xml:space="preserve"> </w:t>
      </w:r>
      <w:r w:rsidRPr="005E7CDB">
        <w:t>et</w:t>
      </w:r>
      <w:r w:rsidR="00F5091F" w:rsidRPr="005E7CDB">
        <w:t xml:space="preserve"> </w:t>
      </w:r>
      <w:r w:rsidRPr="005E7CDB">
        <w:t>révisées</w:t>
      </w:r>
      <w:r w:rsidR="00F5091F" w:rsidRPr="005E7CDB">
        <w:t xml:space="preserve"> </w:t>
      </w:r>
      <w:r w:rsidRPr="005E7CDB">
        <w:t>pour</w:t>
      </w:r>
      <w:r w:rsidR="00F5091F" w:rsidRPr="005E7CDB">
        <w:t xml:space="preserve"> </w:t>
      </w:r>
      <w:r w:rsidRPr="005E7CDB">
        <w:t>la</w:t>
      </w:r>
      <w:r w:rsidR="00F5091F" w:rsidRPr="005E7CDB">
        <w:t xml:space="preserve"> </w:t>
      </w:r>
      <w:r w:rsidRPr="005E7CDB">
        <w:t>construction</w:t>
      </w:r>
      <w:r w:rsidR="00F5091F" w:rsidRPr="005E7CDB">
        <w:t xml:space="preserve"> </w:t>
      </w:r>
      <w:r w:rsidRPr="005E7CDB">
        <w:t>de</w:t>
      </w:r>
      <w:r w:rsidR="00F5091F" w:rsidRPr="005E7CDB">
        <w:t xml:space="preserve"> </w:t>
      </w:r>
      <w:r w:rsidRPr="005E7CDB">
        <w:t>véhicules</w:t>
      </w:r>
      <w:r w:rsidR="00F5091F" w:rsidRPr="005E7CDB">
        <w:t xml:space="preserve"> ; </w:t>
      </w:r>
      <w:r w:rsidRPr="005E7CDB">
        <w:t>les</w:t>
      </w:r>
      <w:r w:rsidR="00F5091F" w:rsidRPr="005E7CDB">
        <w:t xml:space="preserve"> </w:t>
      </w:r>
      <w:r w:rsidRPr="005E7CDB">
        <w:t>examens</w:t>
      </w:r>
      <w:r w:rsidR="00F5091F" w:rsidRPr="005E7CDB">
        <w:t xml:space="preserve"> </w:t>
      </w:r>
      <w:r w:rsidRPr="005E7CDB">
        <w:t>pour</w:t>
      </w:r>
      <w:r w:rsidR="00F5091F" w:rsidRPr="005E7CDB">
        <w:t xml:space="preserve"> </w:t>
      </w:r>
      <w:r w:rsidRPr="005E7CDB">
        <w:t>les</w:t>
      </w:r>
      <w:r w:rsidR="00F5091F" w:rsidRPr="005E7CDB">
        <w:t xml:space="preserve"> </w:t>
      </w:r>
      <w:r w:rsidRPr="005E7CDB">
        <w:t>conseillers</w:t>
      </w:r>
      <w:r w:rsidR="00F5091F" w:rsidRPr="005E7CDB">
        <w:t xml:space="preserve"> </w:t>
      </w:r>
      <w:r w:rsidRPr="005E7CDB">
        <w:t>à</w:t>
      </w:r>
      <w:r w:rsidR="00F5091F" w:rsidRPr="005E7CDB">
        <w:t xml:space="preserve"> </w:t>
      </w:r>
      <w:r w:rsidRPr="005E7CDB">
        <w:t>la</w:t>
      </w:r>
      <w:r w:rsidR="00F5091F" w:rsidRPr="005E7CDB">
        <w:t xml:space="preserve"> </w:t>
      </w:r>
      <w:r w:rsidRPr="005E7CDB">
        <w:t>sécurité</w:t>
      </w:r>
      <w:r w:rsidR="00F5091F" w:rsidRPr="005E7CDB">
        <w:t xml:space="preserve"> </w:t>
      </w:r>
      <w:r w:rsidRPr="005E7CDB">
        <w:t>et</w:t>
      </w:r>
      <w:r w:rsidR="00F5091F" w:rsidRPr="005E7CDB">
        <w:t xml:space="preserve"> </w:t>
      </w:r>
      <w:r w:rsidRPr="005E7CDB">
        <w:t>les</w:t>
      </w:r>
      <w:r w:rsidR="00F5091F" w:rsidRPr="005E7CDB">
        <w:t xml:space="preserve"> </w:t>
      </w:r>
      <w:r w:rsidRPr="005E7CDB">
        <w:t>conducteurs</w:t>
      </w:r>
      <w:r w:rsidR="00F5091F" w:rsidRPr="005E7CDB">
        <w:t xml:space="preserve"> </w:t>
      </w:r>
      <w:r w:rsidRPr="005E7CDB">
        <w:t>de</w:t>
      </w:r>
      <w:r w:rsidR="00F5091F" w:rsidRPr="005E7CDB">
        <w:t xml:space="preserve"> </w:t>
      </w:r>
      <w:r w:rsidRPr="005E7CDB">
        <w:t>véhicules</w:t>
      </w:r>
      <w:r w:rsidR="00F5091F" w:rsidRPr="005E7CDB">
        <w:t xml:space="preserve"> </w:t>
      </w:r>
      <w:r w:rsidRPr="005E7CDB">
        <w:t>transportant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et</w:t>
      </w:r>
      <w:r w:rsidR="00F5091F" w:rsidRPr="005E7CDB">
        <w:t xml:space="preserve"> </w:t>
      </w:r>
      <w:r w:rsidRPr="005E7CDB">
        <w:t>le</w:t>
      </w:r>
      <w:r w:rsidR="00F5091F" w:rsidRPr="005E7CDB">
        <w:t xml:space="preserve"> </w:t>
      </w:r>
      <w:r w:rsidRPr="005E7CDB">
        <w:t>contenu</w:t>
      </w:r>
      <w:r w:rsidR="00F5091F" w:rsidRPr="005E7CDB">
        <w:t xml:space="preserve"> </w:t>
      </w:r>
      <w:r w:rsidRPr="005E7CDB">
        <w:t>des</w:t>
      </w:r>
      <w:r w:rsidR="00F5091F" w:rsidRPr="005E7CDB">
        <w:t xml:space="preserve"> </w:t>
      </w:r>
      <w:r w:rsidRPr="005E7CDB">
        <w:t>consignes</w:t>
      </w:r>
      <w:r w:rsidR="00F5091F" w:rsidRPr="005E7CDB">
        <w:t xml:space="preserve"> </w:t>
      </w:r>
      <w:r w:rsidRPr="005E7CDB">
        <w:t>écrites</w:t>
      </w:r>
      <w:r w:rsidR="00F5091F" w:rsidRPr="005E7CDB">
        <w:t xml:space="preserve"> </w:t>
      </w:r>
      <w:r w:rsidRPr="005E7CDB">
        <w:t>devant</w:t>
      </w:r>
      <w:r w:rsidR="00F5091F" w:rsidRPr="005E7CDB">
        <w:t xml:space="preserve"> </w:t>
      </w:r>
      <w:r w:rsidRPr="005E7CDB">
        <w:t>être</w:t>
      </w:r>
      <w:r w:rsidR="00F5091F" w:rsidRPr="005E7CDB">
        <w:t xml:space="preserve"> </w:t>
      </w:r>
      <w:r w:rsidRPr="005E7CDB">
        <w:t>transportées</w:t>
      </w:r>
      <w:r w:rsidR="00F5091F" w:rsidRPr="005E7CDB">
        <w:t xml:space="preserve"> </w:t>
      </w:r>
      <w:r w:rsidRPr="005E7CDB">
        <w:t>dans</w:t>
      </w:r>
      <w:r w:rsidR="00F5091F" w:rsidRPr="005E7CDB">
        <w:t xml:space="preserve"> </w:t>
      </w:r>
      <w:r w:rsidRPr="005E7CDB">
        <w:t>le</w:t>
      </w:r>
      <w:r w:rsidR="00F5091F" w:rsidRPr="005E7CDB">
        <w:t xml:space="preserve"> </w:t>
      </w:r>
      <w:r w:rsidRPr="005E7CDB">
        <w:t>véhicule.</w:t>
      </w:r>
      <w:r w:rsidR="00F5091F" w:rsidRPr="005E7CDB">
        <w:t xml:space="preserve"> </w:t>
      </w:r>
      <w:r w:rsidRPr="005E7CDB">
        <w:t>Les</w:t>
      </w:r>
      <w:r w:rsidR="00F5091F" w:rsidRPr="005E7CDB">
        <w:t xml:space="preserve"> </w:t>
      </w:r>
      <w:r w:rsidRPr="005E7CDB">
        <w:t>amendements</w:t>
      </w:r>
      <w:r w:rsidR="00F5091F" w:rsidRPr="005E7CDB">
        <w:t xml:space="preserve"> </w:t>
      </w:r>
      <w:r w:rsidRPr="005E7CDB">
        <w:t>à</w:t>
      </w:r>
      <w:r w:rsidR="00F5091F" w:rsidRPr="005E7CDB">
        <w:t xml:space="preserve"> </w:t>
      </w:r>
      <w:r w:rsidRPr="005E7CDB">
        <w:t>l’ADR</w:t>
      </w:r>
      <w:r w:rsidR="00F5091F" w:rsidRPr="005E7CDB">
        <w:t xml:space="preserve"> </w:t>
      </w:r>
      <w:r w:rsidRPr="005E7CDB">
        <w:t>et</w:t>
      </w:r>
      <w:r w:rsidR="00F5091F" w:rsidRPr="005E7CDB">
        <w:t xml:space="preserve"> </w:t>
      </w:r>
      <w:r w:rsidRPr="005E7CDB">
        <w:t>au</w:t>
      </w:r>
      <w:r w:rsidR="00F5091F" w:rsidRPr="005E7CDB">
        <w:t xml:space="preserve"> </w:t>
      </w:r>
      <w:r w:rsidRPr="005E7CDB">
        <w:t>RID</w:t>
      </w:r>
      <w:r w:rsidR="00F5091F" w:rsidRPr="005E7CDB">
        <w:t xml:space="preserve"> </w:t>
      </w:r>
      <w:r w:rsidRPr="005E7CDB">
        <w:t>sont</w:t>
      </w:r>
      <w:r w:rsidR="00F5091F" w:rsidRPr="005E7CDB">
        <w:t xml:space="preserve"> </w:t>
      </w:r>
      <w:r w:rsidRPr="005E7CDB">
        <w:t>entrés</w:t>
      </w:r>
      <w:r w:rsidR="00F5091F" w:rsidRPr="005E7CDB">
        <w:t xml:space="preserve"> </w:t>
      </w:r>
      <w:r w:rsidRPr="005E7CDB">
        <w:t>en</w:t>
      </w:r>
      <w:r w:rsidR="00F5091F" w:rsidRPr="005E7CDB">
        <w:t xml:space="preserve"> </w:t>
      </w:r>
      <w:r w:rsidRPr="005E7CDB">
        <w:t>vigueur</w:t>
      </w:r>
      <w:r w:rsidR="00F5091F" w:rsidRPr="005E7CDB">
        <w:t xml:space="preserve"> </w:t>
      </w:r>
      <w:r w:rsidRPr="005E7CDB">
        <w:t>le</w:t>
      </w:r>
      <w:r w:rsidR="00F5091F" w:rsidRPr="005E7CDB">
        <w:t xml:space="preserve"> </w:t>
      </w:r>
      <w:r w:rsidRPr="005E7CDB">
        <w:t>1</w:t>
      </w:r>
      <w:r w:rsidRPr="005E7CDB">
        <w:rPr>
          <w:vertAlign w:val="superscript"/>
        </w:rPr>
        <w:t>er</w:t>
      </w:r>
      <w:r w:rsidR="00DC2D6A" w:rsidRPr="005E7CDB">
        <w:t> </w:t>
      </w:r>
      <w:r w:rsidRPr="005E7CDB">
        <w:t>janvier</w:t>
      </w:r>
      <w:r w:rsidR="00F5091F" w:rsidRPr="005E7CDB">
        <w:t xml:space="preserve"> </w:t>
      </w:r>
      <w:r w:rsidRPr="005E7CDB">
        <w:t>2017.</w:t>
      </w:r>
    </w:p>
    <w:p w:rsidR="002728BC" w:rsidRPr="005E7CDB" w:rsidRDefault="002728BC" w:rsidP="00DC2D6A">
      <w:pPr>
        <w:pStyle w:val="SingleTxtG"/>
      </w:pPr>
      <w:r w:rsidRPr="005E7CDB">
        <w:t>4.</w:t>
      </w:r>
      <w:r w:rsidRPr="005E7CDB">
        <w:tab/>
        <w:t>Les</w:t>
      </w:r>
      <w:r w:rsidR="00F5091F" w:rsidRPr="005E7CDB">
        <w:t xml:space="preserve"> </w:t>
      </w:r>
      <w:r w:rsidRPr="005E7CDB">
        <w:t>amendements</w:t>
      </w:r>
      <w:r w:rsidR="00F5091F" w:rsidRPr="005E7CDB">
        <w:t xml:space="preserve"> </w:t>
      </w:r>
      <w:r w:rsidRPr="005E7CDB">
        <w:t>correspondants</w:t>
      </w:r>
      <w:r w:rsidR="00F5091F" w:rsidRPr="005E7CDB">
        <w:t xml:space="preserve"> </w:t>
      </w:r>
      <w:r w:rsidRPr="005E7CDB">
        <w:t>à</w:t>
      </w:r>
      <w:r w:rsidR="00F5091F" w:rsidRPr="005E7CDB">
        <w:t xml:space="preserve"> </w:t>
      </w:r>
      <w:r w:rsidRPr="005E7CDB">
        <w:t>l’ADN</w:t>
      </w:r>
      <w:r w:rsidR="00F5091F" w:rsidRPr="005E7CDB">
        <w:t xml:space="preserve"> </w:t>
      </w:r>
      <w:r w:rsidRPr="005E7CDB">
        <w:t>ont</w:t>
      </w:r>
      <w:r w:rsidR="00F5091F" w:rsidRPr="005E7CDB">
        <w:t xml:space="preserve"> </w:t>
      </w:r>
      <w:r w:rsidRPr="005E7CDB">
        <w:t>été</w:t>
      </w:r>
      <w:r w:rsidR="00F5091F" w:rsidRPr="005E7CDB">
        <w:t xml:space="preserve"> </w:t>
      </w:r>
      <w:r w:rsidRPr="005E7CDB">
        <w:t>élaborés</w:t>
      </w:r>
      <w:r w:rsidR="00F5091F" w:rsidRPr="005E7CDB">
        <w:t xml:space="preserve"> </w:t>
      </w:r>
      <w:r w:rsidRPr="005E7CDB">
        <w:t>par</w:t>
      </w:r>
      <w:r w:rsidR="00F5091F" w:rsidRPr="005E7CDB">
        <w:t xml:space="preserve"> </w:t>
      </w:r>
      <w:r w:rsidRPr="005E7CDB">
        <w:t>le</w:t>
      </w:r>
      <w:r w:rsidR="00F5091F" w:rsidRPr="005E7CDB">
        <w:t xml:space="preserve"> </w:t>
      </w:r>
      <w:r w:rsidRPr="005E7CDB">
        <w:t>Comité</w:t>
      </w:r>
      <w:r w:rsidR="00F5091F" w:rsidRPr="005E7CDB">
        <w:t xml:space="preserve"> </w:t>
      </w:r>
      <w:r w:rsidRPr="005E7CDB">
        <w:t>de</w:t>
      </w:r>
      <w:r w:rsidR="00F5091F" w:rsidRPr="005E7CDB">
        <w:t xml:space="preserve"> </w:t>
      </w:r>
      <w:r w:rsidRPr="005E7CDB">
        <w:t>sécurité</w:t>
      </w:r>
      <w:r w:rsidR="00F5091F" w:rsidRPr="005E7CDB">
        <w:t xml:space="preserve"> </w:t>
      </w:r>
      <w:r w:rsidRPr="005E7CDB">
        <w:t>de</w:t>
      </w:r>
      <w:r w:rsidR="00F5091F" w:rsidRPr="005E7CDB">
        <w:t xml:space="preserve"> </w:t>
      </w:r>
      <w:r w:rsidRPr="005E7CDB">
        <w:t>l’ADN</w:t>
      </w:r>
      <w:r w:rsidR="00F5091F" w:rsidRPr="005E7CDB">
        <w:t xml:space="preserve"> </w:t>
      </w:r>
      <w:r w:rsidRPr="005E7CDB">
        <w:t>et</w:t>
      </w:r>
      <w:r w:rsidR="00F5091F" w:rsidRPr="005E7CDB">
        <w:t xml:space="preserve"> </w:t>
      </w:r>
      <w:r w:rsidRPr="005E7CDB">
        <w:t>adoptés</w:t>
      </w:r>
      <w:r w:rsidR="00F5091F" w:rsidRPr="005E7CDB">
        <w:t xml:space="preserve"> </w:t>
      </w:r>
      <w:r w:rsidRPr="005E7CDB">
        <w:t>par</w:t>
      </w:r>
      <w:r w:rsidR="00F5091F" w:rsidRPr="005E7CDB">
        <w:t xml:space="preserve"> </w:t>
      </w:r>
      <w:r w:rsidRPr="005E7CDB">
        <w:t>le</w:t>
      </w:r>
      <w:r w:rsidR="00F5091F" w:rsidRPr="005E7CDB">
        <w:t xml:space="preserve"> </w:t>
      </w:r>
      <w:r w:rsidRPr="005E7CDB">
        <w:t>Comité</w:t>
      </w:r>
      <w:r w:rsidR="00F5091F" w:rsidRPr="005E7CDB">
        <w:t xml:space="preserve"> </w:t>
      </w:r>
      <w:r w:rsidRPr="005E7CDB">
        <w:t>d’administration</w:t>
      </w:r>
      <w:r w:rsidR="00F5091F" w:rsidRPr="005E7CDB">
        <w:t xml:space="preserve"> </w:t>
      </w:r>
      <w:r w:rsidRPr="005E7CDB">
        <w:t>de</w:t>
      </w:r>
      <w:r w:rsidR="00F5091F" w:rsidRPr="005E7CDB">
        <w:t xml:space="preserve"> </w:t>
      </w:r>
      <w:r w:rsidRPr="005E7CDB">
        <w:t>l’ADN,</w:t>
      </w:r>
      <w:r w:rsidR="00F5091F" w:rsidRPr="005E7CDB">
        <w:t xml:space="preserve"> </w:t>
      </w:r>
      <w:r w:rsidRPr="005E7CDB">
        <w:t>avec</w:t>
      </w:r>
      <w:r w:rsidR="00F5091F" w:rsidRPr="005E7CDB">
        <w:t xml:space="preserve"> </w:t>
      </w:r>
      <w:r w:rsidRPr="005E7CDB">
        <w:t>d’autres</w:t>
      </w:r>
      <w:r w:rsidR="00F5091F" w:rsidRPr="005E7CDB">
        <w:t xml:space="preserve"> </w:t>
      </w:r>
      <w:r w:rsidRPr="005E7CDB">
        <w:t>amendements</w:t>
      </w:r>
      <w:r w:rsidR="00F5091F" w:rsidRPr="005E7CDB">
        <w:t xml:space="preserve"> </w:t>
      </w:r>
      <w:r w:rsidRPr="005E7CDB">
        <w:t>visant</w:t>
      </w:r>
      <w:r w:rsidR="00F5091F" w:rsidRPr="005E7CDB">
        <w:t xml:space="preserve"> </w:t>
      </w:r>
      <w:r w:rsidRPr="005E7CDB">
        <w:t>la</w:t>
      </w:r>
      <w:r w:rsidR="00F5091F" w:rsidRPr="005E7CDB">
        <w:t xml:space="preserve"> </w:t>
      </w:r>
      <w:r w:rsidRPr="005E7CDB">
        <w:t>navigation</w:t>
      </w:r>
      <w:r w:rsidR="00F5091F" w:rsidRPr="005E7CDB">
        <w:t xml:space="preserve"> </w:t>
      </w:r>
      <w:r w:rsidRPr="005E7CDB">
        <w:t>intérieure,</w:t>
      </w:r>
      <w:r w:rsidR="00F5091F" w:rsidRPr="005E7CDB">
        <w:t xml:space="preserve"> </w:t>
      </w:r>
      <w:r w:rsidRPr="005E7CDB">
        <w:t>et</w:t>
      </w:r>
      <w:r w:rsidR="00F5091F" w:rsidRPr="005E7CDB">
        <w:t xml:space="preserve"> </w:t>
      </w:r>
      <w:r w:rsidRPr="005E7CDB">
        <w:t>sont</w:t>
      </w:r>
      <w:r w:rsidR="00F5091F" w:rsidRPr="005E7CDB">
        <w:t xml:space="preserve"> </w:t>
      </w:r>
      <w:r w:rsidRPr="005E7CDB">
        <w:t>également</w:t>
      </w:r>
      <w:r w:rsidR="00F5091F" w:rsidRPr="005E7CDB">
        <w:t xml:space="preserve"> </w:t>
      </w:r>
      <w:r w:rsidRPr="005E7CDB">
        <w:t>entrés</w:t>
      </w:r>
      <w:r w:rsidR="00F5091F" w:rsidRPr="005E7CDB">
        <w:t xml:space="preserve"> </w:t>
      </w:r>
      <w:r w:rsidRPr="005E7CDB">
        <w:t>en</w:t>
      </w:r>
      <w:r w:rsidR="00F5091F" w:rsidRPr="005E7CDB">
        <w:t xml:space="preserve"> </w:t>
      </w:r>
      <w:r w:rsidRPr="005E7CDB">
        <w:t>vigueur</w:t>
      </w:r>
      <w:r w:rsidR="00F5091F" w:rsidRPr="005E7CDB">
        <w:t xml:space="preserve"> </w:t>
      </w:r>
      <w:r w:rsidRPr="005E7CDB">
        <w:t>le</w:t>
      </w:r>
      <w:r w:rsidR="00F5091F" w:rsidRPr="005E7CDB">
        <w:t xml:space="preserve"> </w:t>
      </w:r>
      <w:r w:rsidRPr="005E7CDB">
        <w:t>1</w:t>
      </w:r>
      <w:r w:rsidRPr="005E7CDB">
        <w:rPr>
          <w:vertAlign w:val="superscript"/>
        </w:rPr>
        <w:t>er</w:t>
      </w:r>
      <w:r w:rsidR="00DC2D6A" w:rsidRPr="005E7CDB">
        <w:t> </w:t>
      </w:r>
      <w:r w:rsidRPr="005E7CDB">
        <w:t>janvier</w:t>
      </w:r>
      <w:r w:rsidR="00F5091F" w:rsidRPr="005E7CDB">
        <w:t xml:space="preserve"> </w:t>
      </w:r>
      <w:r w:rsidRPr="005E7CDB">
        <w:t>2017.</w:t>
      </w:r>
    </w:p>
    <w:p w:rsidR="002728BC" w:rsidRPr="005E7CDB" w:rsidRDefault="002728BC" w:rsidP="00DC2D6A">
      <w:pPr>
        <w:pStyle w:val="SingleTxtG"/>
      </w:pPr>
      <w:r w:rsidRPr="005E7CDB">
        <w:t>5.</w:t>
      </w:r>
      <w:r w:rsidRPr="005E7CDB">
        <w:tab/>
        <w:t>La</w:t>
      </w:r>
      <w:r w:rsidR="00F5091F" w:rsidRPr="005E7CDB">
        <w:t xml:space="preserve"> </w:t>
      </w:r>
      <w:r w:rsidRPr="005E7CDB">
        <w:t>Directive</w:t>
      </w:r>
      <w:r w:rsidR="00F5091F" w:rsidRPr="005E7CDB">
        <w:t xml:space="preserve"> </w:t>
      </w:r>
      <w:r w:rsidRPr="005E7CDB">
        <w:t>2008/68/CE</w:t>
      </w:r>
      <w:r w:rsidR="00F5091F" w:rsidRPr="005E7CDB">
        <w:t xml:space="preserve"> </w:t>
      </w:r>
      <w:r w:rsidRPr="005E7CDB">
        <w:t>prescrivant</w:t>
      </w:r>
      <w:r w:rsidR="00F5091F" w:rsidRPr="005E7CDB">
        <w:t xml:space="preserve"> </w:t>
      </w:r>
      <w:r w:rsidRPr="005E7CDB">
        <w:t>que</w:t>
      </w:r>
      <w:r w:rsidR="00F5091F" w:rsidRPr="005E7CDB">
        <w:t xml:space="preserve"> </w:t>
      </w:r>
      <w:r w:rsidRPr="005E7CDB">
        <w:t>les</w:t>
      </w:r>
      <w:r w:rsidR="00F5091F" w:rsidRPr="005E7CDB">
        <w:t xml:space="preserve"> </w:t>
      </w:r>
      <w:r w:rsidRPr="005E7CDB">
        <w:t>États</w:t>
      </w:r>
      <w:r w:rsidR="00F5091F" w:rsidRPr="005E7CDB">
        <w:t xml:space="preserve"> </w:t>
      </w:r>
      <w:r w:rsidRPr="005E7CDB">
        <w:t>membres</w:t>
      </w:r>
      <w:r w:rsidR="00F5091F" w:rsidRPr="005E7CDB">
        <w:t xml:space="preserve"> </w:t>
      </w:r>
      <w:r w:rsidRPr="005E7CDB">
        <w:t>de</w:t>
      </w:r>
      <w:r w:rsidR="00F5091F" w:rsidRPr="005E7CDB">
        <w:t xml:space="preserve"> </w:t>
      </w:r>
      <w:r w:rsidRPr="005E7CDB">
        <w:t>l’UE</w:t>
      </w:r>
      <w:r w:rsidR="00F5091F" w:rsidRPr="005E7CDB">
        <w:t xml:space="preserve"> </w:t>
      </w:r>
      <w:r w:rsidRPr="005E7CDB">
        <w:t>et</w:t>
      </w:r>
      <w:r w:rsidR="00F5091F" w:rsidRPr="005E7CDB">
        <w:t xml:space="preserve"> </w:t>
      </w:r>
      <w:r w:rsidRPr="005E7CDB">
        <w:t>de</w:t>
      </w:r>
      <w:r w:rsidR="00F5091F" w:rsidRPr="005E7CDB">
        <w:t xml:space="preserve"> </w:t>
      </w:r>
      <w:r w:rsidRPr="005E7CDB">
        <w:t>l’EEE</w:t>
      </w:r>
      <w:r w:rsidR="00F5091F" w:rsidRPr="005E7CDB">
        <w:t xml:space="preserve"> </w:t>
      </w:r>
      <w:r w:rsidRPr="005E7CDB">
        <w:t>appliquent</w:t>
      </w:r>
      <w:r w:rsidR="00F5091F" w:rsidRPr="005E7CDB">
        <w:t xml:space="preserve"> </w:t>
      </w:r>
      <w:r w:rsidRPr="005E7CDB">
        <w:t>les</w:t>
      </w:r>
      <w:r w:rsidR="00F5091F" w:rsidRPr="005E7CDB">
        <w:t xml:space="preserve"> </w:t>
      </w:r>
      <w:r w:rsidRPr="005E7CDB">
        <w:t>dispositions</w:t>
      </w:r>
      <w:r w:rsidR="00F5091F" w:rsidRPr="005E7CDB">
        <w:t xml:space="preserve"> </w:t>
      </w:r>
      <w:r w:rsidRPr="005E7CDB">
        <w:t>de</w:t>
      </w:r>
      <w:r w:rsidR="00F5091F" w:rsidRPr="005E7CDB">
        <w:t xml:space="preserve"> </w:t>
      </w:r>
      <w:r w:rsidRPr="005E7CDB">
        <w:t>l’ADR,</w:t>
      </w:r>
      <w:r w:rsidR="00F5091F" w:rsidRPr="005E7CDB">
        <w:t xml:space="preserve"> </w:t>
      </w:r>
      <w:r w:rsidRPr="005E7CDB">
        <w:t>du</w:t>
      </w:r>
      <w:r w:rsidR="00F5091F" w:rsidRPr="005E7CDB">
        <w:t xml:space="preserve"> </w:t>
      </w:r>
      <w:r w:rsidRPr="005E7CDB">
        <w:t>RID</w:t>
      </w:r>
      <w:r w:rsidR="00F5091F" w:rsidRPr="005E7CDB">
        <w:t xml:space="preserve"> </w:t>
      </w:r>
      <w:r w:rsidRPr="005E7CDB">
        <w:t>et</w:t>
      </w:r>
      <w:r w:rsidR="00F5091F" w:rsidRPr="005E7CDB">
        <w:t xml:space="preserve"> </w:t>
      </w:r>
      <w:r w:rsidRPr="005E7CDB">
        <w:t>de</w:t>
      </w:r>
      <w:r w:rsidR="00F5091F" w:rsidRPr="005E7CDB">
        <w:t xml:space="preserve"> </w:t>
      </w:r>
      <w:r w:rsidRPr="005E7CDB">
        <w:t>l’ADN</w:t>
      </w:r>
      <w:r w:rsidR="00F5091F" w:rsidRPr="005E7CDB">
        <w:t xml:space="preserve"> </w:t>
      </w:r>
      <w:r w:rsidRPr="005E7CDB">
        <w:t>à</w:t>
      </w:r>
      <w:r w:rsidR="00F5091F" w:rsidRPr="005E7CDB">
        <w:t xml:space="preserve"> </w:t>
      </w:r>
      <w:r w:rsidRPr="005E7CDB">
        <w:t>la</w:t>
      </w:r>
      <w:r w:rsidR="00F5091F" w:rsidRPr="005E7CDB">
        <w:t xml:space="preserve"> </w:t>
      </w:r>
      <w:r w:rsidRPr="005E7CDB">
        <w:t>circulation</w:t>
      </w:r>
      <w:r w:rsidR="00F5091F" w:rsidRPr="005E7CDB">
        <w:t xml:space="preserve"> </w:t>
      </w:r>
      <w:r w:rsidRPr="005E7CDB">
        <w:t>intérieure</w:t>
      </w:r>
      <w:r w:rsidR="00F5091F" w:rsidRPr="005E7CDB">
        <w:t xml:space="preserve"> </w:t>
      </w:r>
      <w:r w:rsidRPr="005E7CDB">
        <w:t>a</w:t>
      </w:r>
      <w:r w:rsidR="00F5091F" w:rsidRPr="005E7CDB">
        <w:t xml:space="preserve"> </w:t>
      </w:r>
      <w:r w:rsidRPr="005E7CDB">
        <w:t>été</w:t>
      </w:r>
      <w:r w:rsidR="00F5091F" w:rsidRPr="005E7CDB">
        <w:t xml:space="preserve"> </w:t>
      </w:r>
      <w:r w:rsidRPr="005E7CDB">
        <w:t>modifiée</w:t>
      </w:r>
      <w:r w:rsidR="00F5091F" w:rsidRPr="005E7CDB">
        <w:t xml:space="preserve"> </w:t>
      </w:r>
      <w:r w:rsidRPr="005E7CDB">
        <w:t>en</w:t>
      </w:r>
      <w:r w:rsidR="00F5091F" w:rsidRPr="005E7CDB">
        <w:t xml:space="preserve"> </w:t>
      </w:r>
      <w:r w:rsidRPr="005E7CDB">
        <w:t>conséquence</w:t>
      </w:r>
      <w:r w:rsidR="00F5091F" w:rsidRPr="005E7CDB">
        <w:t xml:space="preserve"> </w:t>
      </w:r>
      <w:r w:rsidRPr="005E7CDB">
        <w:t>par</w:t>
      </w:r>
      <w:r w:rsidR="00F5091F" w:rsidRPr="005E7CDB">
        <w:t xml:space="preserve"> </w:t>
      </w:r>
      <w:r w:rsidRPr="005E7CDB">
        <w:t>la</w:t>
      </w:r>
      <w:r w:rsidR="00F5091F" w:rsidRPr="005E7CDB">
        <w:t xml:space="preserve"> </w:t>
      </w:r>
      <w:r w:rsidRPr="005E7CDB">
        <w:t>Directive</w:t>
      </w:r>
      <w:r w:rsidR="00F5091F" w:rsidRPr="005E7CDB">
        <w:t xml:space="preserve"> </w:t>
      </w:r>
      <w:r w:rsidRPr="005E7CDB">
        <w:t>2016/2309</w:t>
      </w:r>
      <w:r w:rsidR="00F5091F" w:rsidRPr="005E7CDB">
        <w:t xml:space="preserve"> </w:t>
      </w:r>
      <w:r w:rsidRPr="005E7CDB">
        <w:t>de</w:t>
      </w:r>
      <w:r w:rsidR="00F5091F" w:rsidRPr="005E7CDB">
        <w:t xml:space="preserve"> </w:t>
      </w:r>
      <w:r w:rsidRPr="005E7CDB">
        <w:t>la</w:t>
      </w:r>
      <w:r w:rsidR="00F5091F" w:rsidRPr="005E7CDB">
        <w:t xml:space="preserve"> </w:t>
      </w:r>
      <w:r w:rsidRPr="005E7CDB">
        <w:t>Commission</w:t>
      </w:r>
      <w:r w:rsidR="00F5091F" w:rsidRPr="005E7CDB">
        <w:t xml:space="preserve"> </w:t>
      </w:r>
      <w:r w:rsidRPr="005E7CDB">
        <w:t>du</w:t>
      </w:r>
      <w:r w:rsidR="00F5091F" w:rsidRPr="005E7CDB">
        <w:t xml:space="preserve"> </w:t>
      </w:r>
      <w:r w:rsidRPr="005E7CDB">
        <w:t>16</w:t>
      </w:r>
      <w:r w:rsidR="00DC2D6A" w:rsidRPr="005E7CDB">
        <w:t> </w:t>
      </w:r>
      <w:r w:rsidRPr="005E7CDB">
        <w:t>novembre</w:t>
      </w:r>
      <w:r w:rsidR="00F5091F" w:rsidRPr="005E7CDB">
        <w:t xml:space="preserve"> </w:t>
      </w:r>
      <w:r w:rsidRPr="005E7CDB">
        <w:t>2016</w:t>
      </w:r>
      <w:r w:rsidR="00F5091F" w:rsidRPr="005E7CDB">
        <w:t xml:space="preserve"> </w:t>
      </w:r>
      <w:r w:rsidRPr="005E7CDB">
        <w:t>prescrivant</w:t>
      </w:r>
      <w:r w:rsidR="00F5091F" w:rsidRPr="005E7CDB">
        <w:t xml:space="preserve"> </w:t>
      </w:r>
      <w:r w:rsidRPr="005E7CDB">
        <w:t>l’application</w:t>
      </w:r>
      <w:r w:rsidR="00F5091F" w:rsidRPr="005E7CDB">
        <w:t xml:space="preserve"> </w:t>
      </w:r>
      <w:r w:rsidRPr="005E7CDB">
        <w:t>des</w:t>
      </w:r>
      <w:r w:rsidR="00F5091F" w:rsidRPr="005E7CDB">
        <w:t xml:space="preserve"> </w:t>
      </w:r>
      <w:r w:rsidRPr="005E7CDB">
        <w:t>dispositions</w:t>
      </w:r>
      <w:r w:rsidR="00F5091F" w:rsidRPr="005E7CDB">
        <w:t xml:space="preserve"> </w:t>
      </w:r>
      <w:r w:rsidRPr="005E7CDB">
        <w:t>modifiées</w:t>
      </w:r>
      <w:r w:rsidR="00F5091F" w:rsidRPr="005E7CDB">
        <w:t xml:space="preserve"> </w:t>
      </w:r>
      <w:r w:rsidRPr="005E7CDB">
        <w:t>à</w:t>
      </w:r>
      <w:r w:rsidR="00F5091F" w:rsidRPr="005E7CDB">
        <w:t xml:space="preserve"> </w:t>
      </w:r>
      <w:r w:rsidRPr="005E7CDB">
        <w:t>compter</w:t>
      </w:r>
      <w:r w:rsidR="00F5091F" w:rsidRPr="005E7CDB">
        <w:t xml:space="preserve"> </w:t>
      </w:r>
      <w:r w:rsidRPr="005E7CDB">
        <w:t>du</w:t>
      </w:r>
      <w:r w:rsidR="00F5091F" w:rsidRPr="005E7CDB">
        <w:t xml:space="preserve"> </w:t>
      </w:r>
      <w:r w:rsidRPr="005E7CDB">
        <w:t>30</w:t>
      </w:r>
      <w:r w:rsidR="00DC2D6A" w:rsidRPr="005E7CDB">
        <w:t> </w:t>
      </w:r>
      <w:r w:rsidRPr="005E7CDB">
        <w:t>juin</w:t>
      </w:r>
      <w:r w:rsidR="00F5091F" w:rsidRPr="005E7CDB">
        <w:t xml:space="preserve"> </w:t>
      </w:r>
      <w:r w:rsidRPr="005E7CDB">
        <w:t>2017</w:t>
      </w:r>
      <w:r w:rsidR="00F5091F" w:rsidRPr="005E7CDB">
        <w:t xml:space="preserve"> </w:t>
      </w:r>
      <w:r w:rsidRPr="005E7CDB">
        <w:t>au</w:t>
      </w:r>
      <w:r w:rsidR="00F5091F" w:rsidRPr="005E7CDB">
        <w:t xml:space="preserve"> </w:t>
      </w:r>
      <w:r w:rsidRPr="005E7CDB">
        <w:t>plus</w:t>
      </w:r>
      <w:r w:rsidR="00DC2D6A" w:rsidRPr="005E7CDB">
        <w:t> </w:t>
      </w:r>
      <w:r w:rsidRPr="005E7CDB">
        <w:t>tard.</w:t>
      </w:r>
    </w:p>
    <w:p w:rsidR="002728BC" w:rsidRPr="005E7CDB" w:rsidRDefault="002728BC" w:rsidP="00DC2D6A">
      <w:pPr>
        <w:pStyle w:val="SingleTxtG"/>
      </w:pPr>
      <w:r w:rsidRPr="005E7CDB">
        <w:t>6.</w:t>
      </w:r>
      <w:r w:rsidRPr="005E7CDB">
        <w:tab/>
        <w:t>Le</w:t>
      </w:r>
      <w:r w:rsidR="00F5091F" w:rsidRPr="005E7CDB">
        <w:t xml:space="preserve"> </w:t>
      </w:r>
      <w:r w:rsidRPr="005E7CDB">
        <w:t>secrétariat</w:t>
      </w:r>
      <w:r w:rsidR="00F5091F" w:rsidRPr="005E7CDB">
        <w:t xml:space="preserve"> </w:t>
      </w:r>
      <w:r w:rsidRPr="005E7CDB">
        <w:t>a</w:t>
      </w:r>
      <w:r w:rsidR="00F5091F" w:rsidRPr="005E7CDB">
        <w:t xml:space="preserve"> </w:t>
      </w:r>
      <w:r w:rsidRPr="005E7CDB">
        <w:t>établi</w:t>
      </w:r>
      <w:r w:rsidR="00F5091F" w:rsidRPr="005E7CDB">
        <w:t xml:space="preserve"> </w:t>
      </w:r>
      <w:r w:rsidRPr="005E7CDB">
        <w:t>des</w:t>
      </w:r>
      <w:r w:rsidR="00F5091F" w:rsidRPr="005E7CDB">
        <w:t xml:space="preserve"> </w:t>
      </w:r>
      <w:r w:rsidRPr="005E7CDB">
        <w:t>éditions</w:t>
      </w:r>
      <w:r w:rsidR="00F5091F" w:rsidRPr="005E7CDB">
        <w:t xml:space="preserve"> </w:t>
      </w:r>
      <w:r w:rsidRPr="005E7CDB">
        <w:t>complètes</w:t>
      </w:r>
      <w:r w:rsidR="00F5091F" w:rsidRPr="005E7CDB">
        <w:t xml:space="preserve"> </w:t>
      </w:r>
      <w:r w:rsidRPr="005E7CDB">
        <w:t>de</w:t>
      </w:r>
      <w:r w:rsidR="00F5091F" w:rsidRPr="005E7CDB">
        <w:t xml:space="preserve"> </w:t>
      </w:r>
      <w:r w:rsidRPr="005E7CDB">
        <w:t>l’ADR</w:t>
      </w:r>
      <w:r w:rsidR="00F5091F" w:rsidRPr="005E7CDB">
        <w:t xml:space="preserve"> </w:t>
      </w:r>
      <w:r w:rsidRPr="005E7CDB">
        <w:t>et</w:t>
      </w:r>
      <w:r w:rsidR="00F5091F" w:rsidRPr="005E7CDB">
        <w:t xml:space="preserve"> </w:t>
      </w:r>
      <w:r w:rsidRPr="005E7CDB">
        <w:t>de</w:t>
      </w:r>
      <w:r w:rsidR="00F5091F" w:rsidRPr="005E7CDB">
        <w:t xml:space="preserve"> </w:t>
      </w:r>
      <w:r w:rsidRPr="005E7CDB">
        <w:t>l’ADN</w:t>
      </w:r>
      <w:r w:rsidR="00F5091F" w:rsidRPr="005E7CDB">
        <w:t xml:space="preserve"> </w:t>
      </w:r>
      <w:r w:rsidRPr="005E7CDB">
        <w:t>en</w:t>
      </w:r>
      <w:r w:rsidR="00F5091F" w:rsidRPr="005E7CDB">
        <w:t xml:space="preserve"> </w:t>
      </w:r>
      <w:r w:rsidRPr="005E7CDB">
        <w:t>anglais</w:t>
      </w:r>
      <w:r w:rsidR="00F5091F" w:rsidRPr="005E7CDB">
        <w:t xml:space="preserve"> </w:t>
      </w:r>
      <w:r w:rsidRPr="005E7CDB">
        <w:t>et</w:t>
      </w:r>
      <w:r w:rsidR="00F5091F" w:rsidRPr="005E7CDB">
        <w:t xml:space="preserve"> </w:t>
      </w:r>
      <w:r w:rsidRPr="005E7CDB">
        <w:t>en</w:t>
      </w:r>
      <w:r w:rsidR="00F5091F" w:rsidRPr="005E7CDB">
        <w:t xml:space="preserve"> </w:t>
      </w:r>
      <w:r w:rsidRPr="005E7CDB">
        <w:t>français,</w:t>
      </w:r>
      <w:r w:rsidR="00F5091F" w:rsidRPr="005E7CDB">
        <w:t xml:space="preserve"> </w:t>
      </w:r>
      <w:r w:rsidRPr="005E7CDB">
        <w:t>lesquelles</w:t>
      </w:r>
      <w:r w:rsidR="00F5091F" w:rsidRPr="005E7CDB">
        <w:t xml:space="preserve"> </w:t>
      </w:r>
      <w:r w:rsidRPr="005E7CDB">
        <w:t>ont</w:t>
      </w:r>
      <w:r w:rsidR="00F5091F" w:rsidRPr="005E7CDB">
        <w:t xml:space="preserve"> </w:t>
      </w:r>
      <w:r w:rsidRPr="005E7CDB">
        <w:t>été</w:t>
      </w:r>
      <w:r w:rsidR="00F5091F" w:rsidRPr="005E7CDB">
        <w:t xml:space="preserve"> </w:t>
      </w:r>
      <w:r w:rsidRPr="005E7CDB">
        <w:t>publiées</w:t>
      </w:r>
      <w:r w:rsidR="00F5091F" w:rsidRPr="005E7CDB">
        <w:t xml:space="preserve"> </w:t>
      </w:r>
      <w:r w:rsidRPr="005E7CDB">
        <w:t>en</w:t>
      </w:r>
      <w:r w:rsidR="00F5091F" w:rsidRPr="005E7CDB">
        <w:t xml:space="preserve"> </w:t>
      </w:r>
      <w:r w:rsidRPr="005E7CDB">
        <w:t>juin</w:t>
      </w:r>
      <w:r w:rsidR="00F5091F" w:rsidRPr="005E7CDB">
        <w:t xml:space="preserve"> </w:t>
      </w:r>
      <w:r w:rsidRPr="005E7CDB">
        <w:t>2016</w:t>
      </w:r>
      <w:r w:rsidR="00F5091F" w:rsidRPr="005E7CDB">
        <w:t xml:space="preserve"> </w:t>
      </w:r>
      <w:r w:rsidRPr="005E7CDB">
        <w:t>pour</w:t>
      </w:r>
      <w:r w:rsidR="00F5091F" w:rsidRPr="005E7CDB">
        <w:t xml:space="preserve"> </w:t>
      </w:r>
      <w:r w:rsidRPr="005E7CDB">
        <w:t>l’ADR</w:t>
      </w:r>
      <w:r w:rsidR="00F5091F" w:rsidRPr="005E7CDB">
        <w:t xml:space="preserve"> </w:t>
      </w:r>
      <w:r w:rsidRPr="005E7CDB">
        <w:t>(ECE/TRANS/257,</w:t>
      </w:r>
      <w:r w:rsidR="00F5091F" w:rsidRPr="005E7CDB">
        <w:t xml:space="preserve"> </w:t>
      </w:r>
      <w:r w:rsidRPr="005E7CDB">
        <w:t>vol.</w:t>
      </w:r>
      <w:r w:rsidR="00DC2D6A" w:rsidRPr="005E7CDB">
        <w:t> </w:t>
      </w:r>
      <w:r w:rsidRPr="005E7CDB">
        <w:t>I</w:t>
      </w:r>
      <w:r w:rsidR="00F5091F" w:rsidRPr="005E7CDB">
        <w:t xml:space="preserve"> </w:t>
      </w:r>
      <w:r w:rsidRPr="005E7CDB">
        <w:t>et</w:t>
      </w:r>
      <w:r w:rsidR="00F5091F" w:rsidRPr="005E7CDB">
        <w:t xml:space="preserve"> </w:t>
      </w:r>
      <w:r w:rsidRPr="005E7CDB">
        <w:t>II)</w:t>
      </w:r>
      <w:r w:rsidR="00F5091F" w:rsidRPr="005E7CDB">
        <w:t xml:space="preserve"> </w:t>
      </w:r>
      <w:r w:rsidRPr="005E7CDB">
        <w:t>et</w:t>
      </w:r>
      <w:r w:rsidR="00F5091F" w:rsidRPr="005E7CDB">
        <w:t xml:space="preserve"> </w:t>
      </w:r>
      <w:r w:rsidRPr="005E7CDB">
        <w:t>en</w:t>
      </w:r>
      <w:r w:rsidR="00F5091F" w:rsidRPr="005E7CDB">
        <w:t xml:space="preserve"> </w:t>
      </w:r>
      <w:r w:rsidRPr="005E7CDB">
        <w:t>octobre</w:t>
      </w:r>
      <w:r w:rsidR="00F5091F" w:rsidRPr="005E7CDB">
        <w:t xml:space="preserve"> </w:t>
      </w:r>
      <w:r w:rsidRPr="005E7CDB">
        <w:t>2016</w:t>
      </w:r>
      <w:r w:rsidR="00F5091F" w:rsidRPr="005E7CDB">
        <w:t xml:space="preserve"> </w:t>
      </w:r>
      <w:r w:rsidRPr="005E7CDB">
        <w:t>pour</w:t>
      </w:r>
      <w:r w:rsidR="00F5091F" w:rsidRPr="005E7CDB">
        <w:t xml:space="preserve"> </w:t>
      </w:r>
      <w:r w:rsidRPr="005E7CDB">
        <w:t>l’ADN</w:t>
      </w:r>
      <w:r w:rsidR="00F5091F" w:rsidRPr="005E7CDB">
        <w:t xml:space="preserve"> </w:t>
      </w:r>
      <w:r w:rsidRPr="005E7CDB">
        <w:t>(ECE/TRANS/258).</w:t>
      </w:r>
      <w:r w:rsidR="00F5091F" w:rsidRPr="005E7CDB">
        <w:t xml:space="preserve"> </w:t>
      </w:r>
      <w:r w:rsidRPr="005E7CDB">
        <w:t>Les</w:t>
      </w:r>
      <w:r w:rsidR="00F5091F" w:rsidRPr="005E7CDB">
        <w:t xml:space="preserve"> </w:t>
      </w:r>
      <w:r w:rsidRPr="005E7CDB">
        <w:t>éditions</w:t>
      </w:r>
      <w:r w:rsidR="00F5091F" w:rsidRPr="005E7CDB">
        <w:t xml:space="preserve"> </w:t>
      </w:r>
      <w:r w:rsidRPr="005E7CDB">
        <w:t>russes</w:t>
      </w:r>
      <w:r w:rsidR="00F5091F" w:rsidRPr="005E7CDB">
        <w:t xml:space="preserve"> </w:t>
      </w:r>
      <w:r w:rsidRPr="005E7CDB">
        <w:t>de</w:t>
      </w:r>
      <w:r w:rsidR="00F5091F" w:rsidRPr="005E7CDB">
        <w:t xml:space="preserve"> </w:t>
      </w:r>
      <w:r w:rsidRPr="005E7CDB">
        <w:t>l’ADR</w:t>
      </w:r>
      <w:r w:rsidR="00F5091F" w:rsidRPr="005E7CDB">
        <w:t xml:space="preserve"> </w:t>
      </w:r>
      <w:r w:rsidRPr="005E7CDB">
        <w:t>et</w:t>
      </w:r>
      <w:r w:rsidR="00F5091F" w:rsidRPr="005E7CDB">
        <w:t xml:space="preserve"> </w:t>
      </w:r>
      <w:r w:rsidRPr="005E7CDB">
        <w:t>de</w:t>
      </w:r>
      <w:r w:rsidR="00F5091F" w:rsidRPr="005E7CDB">
        <w:t xml:space="preserve"> </w:t>
      </w:r>
      <w:r w:rsidRPr="005E7CDB">
        <w:t>l’ADN</w:t>
      </w:r>
      <w:r w:rsidR="00F5091F" w:rsidRPr="005E7CDB">
        <w:t xml:space="preserve"> </w:t>
      </w:r>
      <w:r w:rsidRPr="005E7CDB">
        <w:t>ont</w:t>
      </w:r>
      <w:r w:rsidR="00F5091F" w:rsidRPr="005E7CDB">
        <w:t xml:space="preserve"> </w:t>
      </w:r>
      <w:r w:rsidRPr="005E7CDB">
        <w:t>été</w:t>
      </w:r>
      <w:r w:rsidR="00F5091F" w:rsidRPr="005E7CDB">
        <w:t xml:space="preserve"> </w:t>
      </w:r>
      <w:r w:rsidRPr="005E7CDB">
        <w:t>publiées</w:t>
      </w:r>
      <w:r w:rsidR="00F5091F" w:rsidRPr="005E7CDB">
        <w:t xml:space="preserve"> </w:t>
      </w:r>
      <w:r w:rsidRPr="005E7CDB">
        <w:t>en</w:t>
      </w:r>
      <w:r w:rsidR="00F5091F" w:rsidRPr="005E7CDB">
        <w:t xml:space="preserve"> </w:t>
      </w:r>
      <w:r w:rsidRPr="005E7CDB">
        <w:t>décembre</w:t>
      </w:r>
      <w:r w:rsidR="00F5091F" w:rsidRPr="005E7CDB">
        <w:t xml:space="preserve"> </w:t>
      </w:r>
      <w:r w:rsidRPr="005E7CDB">
        <w:t>2016.</w:t>
      </w:r>
    </w:p>
    <w:p w:rsidR="002728BC" w:rsidRPr="005E7CDB" w:rsidRDefault="002728BC" w:rsidP="00DC2D6A">
      <w:pPr>
        <w:pStyle w:val="H23G"/>
      </w:pPr>
      <w:r w:rsidRPr="005E7CDB">
        <w:tab/>
        <w:t>D.</w:t>
      </w:r>
      <w:r w:rsidRPr="005E7CDB">
        <w:tab/>
        <w:t>Enseignements</w:t>
      </w:r>
      <w:r w:rsidR="00F5091F" w:rsidRPr="005E7CDB">
        <w:t xml:space="preserve"> </w:t>
      </w:r>
      <w:r w:rsidRPr="005E7CDB">
        <w:t>tirés/améliorations</w:t>
      </w:r>
      <w:r w:rsidR="00F5091F" w:rsidRPr="005E7CDB">
        <w:t xml:space="preserve"> </w:t>
      </w:r>
      <w:r w:rsidRPr="005E7CDB">
        <w:t>à</w:t>
      </w:r>
      <w:r w:rsidR="00F5091F" w:rsidRPr="005E7CDB">
        <w:t xml:space="preserve"> </w:t>
      </w:r>
      <w:r w:rsidRPr="005E7CDB">
        <w:t>apporter</w:t>
      </w:r>
    </w:p>
    <w:p w:rsidR="002728BC" w:rsidRPr="005E7CDB" w:rsidRDefault="002728BC" w:rsidP="00DC2D6A">
      <w:pPr>
        <w:pStyle w:val="SingleTxtG"/>
      </w:pPr>
      <w:r w:rsidRPr="005E7CDB">
        <w:t>7.</w:t>
      </w:r>
      <w:r w:rsidRPr="005E7CDB">
        <w:tab/>
        <w:t>Les</w:t>
      </w:r>
      <w:r w:rsidR="00F5091F" w:rsidRPr="005E7CDB">
        <w:t xml:space="preserve"> </w:t>
      </w:r>
      <w:r w:rsidRPr="005E7CDB">
        <w:t>mécanismes</w:t>
      </w:r>
      <w:r w:rsidR="00F5091F" w:rsidRPr="005E7CDB">
        <w:t xml:space="preserve"> </w:t>
      </w:r>
      <w:r w:rsidRPr="005E7CDB">
        <w:t>établis</w:t>
      </w:r>
      <w:r w:rsidR="00F5091F" w:rsidRPr="005E7CDB">
        <w:t xml:space="preserve"> </w:t>
      </w:r>
      <w:r w:rsidRPr="005E7CDB">
        <w:t>dans</w:t>
      </w:r>
      <w:r w:rsidR="00F5091F" w:rsidRPr="005E7CDB">
        <w:t xml:space="preserve"> </w:t>
      </w:r>
      <w:r w:rsidRPr="005E7CDB">
        <w:t>la</w:t>
      </w:r>
      <w:r w:rsidR="00F5091F" w:rsidRPr="005E7CDB">
        <w:t xml:space="preserve"> </w:t>
      </w:r>
      <w:r w:rsidRPr="005E7CDB">
        <w:t>région</w:t>
      </w:r>
      <w:r w:rsidR="00F5091F" w:rsidRPr="005E7CDB">
        <w:t xml:space="preserve"> </w:t>
      </w:r>
      <w:r w:rsidRPr="005E7CDB">
        <w:t>de</w:t>
      </w:r>
      <w:r w:rsidR="00F5091F" w:rsidRPr="005E7CDB">
        <w:t xml:space="preserve"> </w:t>
      </w:r>
      <w:r w:rsidRPr="005E7CDB">
        <w:t>la</w:t>
      </w:r>
      <w:r w:rsidR="00F5091F" w:rsidRPr="005E7CDB">
        <w:t xml:space="preserve"> </w:t>
      </w:r>
      <w:r w:rsidRPr="005E7CDB">
        <w:t>CEE</w:t>
      </w:r>
      <w:r w:rsidR="00F5091F" w:rsidRPr="005E7CDB">
        <w:t xml:space="preserve"> </w:t>
      </w:r>
      <w:r w:rsidRPr="005E7CDB">
        <w:t>pour</w:t>
      </w:r>
      <w:r w:rsidR="00F5091F" w:rsidRPr="005E7CDB">
        <w:t xml:space="preserve"> </w:t>
      </w:r>
      <w:r w:rsidRPr="005E7CDB">
        <w:t>réglementer</w:t>
      </w:r>
      <w:r w:rsidR="00F5091F" w:rsidRPr="005E7CDB">
        <w:t xml:space="preserve"> </w:t>
      </w:r>
      <w:r w:rsidRPr="005E7CDB">
        <w:t>le</w:t>
      </w:r>
      <w:r w:rsidR="00F5091F" w:rsidRPr="005E7CDB">
        <w:t xml:space="preserve"> </w:t>
      </w:r>
      <w:r w:rsidRPr="005E7CDB">
        <w:t>transport</w:t>
      </w:r>
      <w:r w:rsidR="00F5091F" w:rsidRPr="005E7CDB">
        <w:t xml:space="preserve"> </w:t>
      </w:r>
      <w:r w:rsidRPr="005E7CDB">
        <w:t>intérieur</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continuent</w:t>
      </w:r>
      <w:r w:rsidR="00F5091F" w:rsidRPr="005E7CDB">
        <w:t xml:space="preserve"> </w:t>
      </w:r>
      <w:r w:rsidRPr="005E7CDB">
        <w:t>de</w:t>
      </w:r>
      <w:r w:rsidR="00F5091F" w:rsidRPr="005E7CDB">
        <w:t xml:space="preserve"> </w:t>
      </w:r>
      <w:r w:rsidRPr="005E7CDB">
        <w:t>fonctionner</w:t>
      </w:r>
      <w:r w:rsidR="00F5091F" w:rsidRPr="005E7CDB">
        <w:t xml:space="preserve"> </w:t>
      </w:r>
      <w:r w:rsidRPr="005E7CDB">
        <w:t>de</w:t>
      </w:r>
      <w:r w:rsidR="00F5091F" w:rsidRPr="005E7CDB">
        <w:t xml:space="preserve"> </w:t>
      </w:r>
      <w:r w:rsidRPr="005E7CDB">
        <w:t>manière</w:t>
      </w:r>
      <w:r w:rsidR="00F5091F" w:rsidRPr="005E7CDB">
        <w:t xml:space="preserve"> </w:t>
      </w:r>
      <w:r w:rsidRPr="005E7CDB">
        <w:t>satisfaisante.</w:t>
      </w:r>
      <w:r w:rsidR="00F5091F" w:rsidRPr="005E7CDB">
        <w:t xml:space="preserve"> </w:t>
      </w:r>
      <w:r w:rsidRPr="005E7CDB">
        <w:t>La</w:t>
      </w:r>
      <w:r w:rsidR="00F5091F" w:rsidRPr="005E7CDB">
        <w:t xml:space="preserve"> </w:t>
      </w:r>
      <w:r w:rsidRPr="005E7CDB">
        <w:t>coopération</w:t>
      </w:r>
      <w:r w:rsidR="00F5091F" w:rsidRPr="005E7CDB">
        <w:t xml:space="preserve"> </w:t>
      </w:r>
      <w:r w:rsidRPr="005E7CDB">
        <w:t>de</w:t>
      </w:r>
      <w:r w:rsidR="00F5091F" w:rsidRPr="005E7CDB">
        <w:t xml:space="preserve"> </w:t>
      </w:r>
      <w:r w:rsidRPr="005E7CDB">
        <w:t>la</w:t>
      </w:r>
      <w:r w:rsidR="00F5091F" w:rsidRPr="005E7CDB">
        <w:t xml:space="preserve"> </w:t>
      </w:r>
      <w:r w:rsidRPr="005E7CDB">
        <w:t>CEE</w:t>
      </w:r>
      <w:r w:rsidR="00F5091F" w:rsidRPr="005E7CDB">
        <w:t xml:space="preserve"> </w:t>
      </w:r>
      <w:r w:rsidRPr="005E7CDB">
        <w:t>avec</w:t>
      </w:r>
      <w:r w:rsidR="00F5091F" w:rsidRPr="005E7CDB">
        <w:t xml:space="preserve"> </w:t>
      </w:r>
      <w:r w:rsidRPr="005E7CDB">
        <w:t>l’OTIF</w:t>
      </w:r>
      <w:r w:rsidR="00F5091F" w:rsidRPr="005E7CDB">
        <w:t xml:space="preserve"> </w:t>
      </w:r>
      <w:r w:rsidRPr="005E7CDB">
        <w:t>et</w:t>
      </w:r>
      <w:r w:rsidR="00F5091F" w:rsidRPr="005E7CDB">
        <w:t xml:space="preserve"> </w:t>
      </w:r>
      <w:r w:rsidRPr="005E7CDB">
        <w:t>la</w:t>
      </w:r>
      <w:r w:rsidR="00F5091F" w:rsidRPr="005E7CDB">
        <w:t xml:space="preserve"> </w:t>
      </w:r>
      <w:r w:rsidRPr="005E7CDB">
        <w:t>CCNR</w:t>
      </w:r>
      <w:r w:rsidR="00F5091F" w:rsidRPr="005E7CDB">
        <w:t xml:space="preserve"> </w:t>
      </w:r>
      <w:r w:rsidRPr="005E7CDB">
        <w:t>et</w:t>
      </w:r>
      <w:r w:rsidR="00F5091F" w:rsidRPr="005E7CDB">
        <w:t xml:space="preserve"> </w:t>
      </w:r>
      <w:r w:rsidRPr="005E7CDB">
        <w:t>l’engagement</w:t>
      </w:r>
      <w:r w:rsidR="00F5091F" w:rsidRPr="005E7CDB">
        <w:t xml:space="preserve"> </w:t>
      </w:r>
      <w:r w:rsidRPr="005E7CDB">
        <w:t>qu’elles</w:t>
      </w:r>
      <w:r w:rsidR="00F5091F" w:rsidRPr="005E7CDB">
        <w:t xml:space="preserve"> </w:t>
      </w:r>
      <w:r w:rsidRPr="005E7CDB">
        <w:t>ont</w:t>
      </w:r>
      <w:r w:rsidR="00F5091F" w:rsidRPr="005E7CDB">
        <w:t xml:space="preserve"> </w:t>
      </w:r>
      <w:r w:rsidRPr="005E7CDB">
        <w:t>pris</w:t>
      </w:r>
      <w:r w:rsidR="00F5091F" w:rsidRPr="005E7CDB">
        <w:t xml:space="preserve"> </w:t>
      </w:r>
      <w:r w:rsidRPr="005E7CDB">
        <w:t>de</w:t>
      </w:r>
      <w:r w:rsidR="00F5091F" w:rsidRPr="005E7CDB">
        <w:t xml:space="preserve"> </w:t>
      </w:r>
      <w:r w:rsidRPr="005E7CDB">
        <w:t>transposer</w:t>
      </w:r>
      <w:r w:rsidR="00F5091F" w:rsidRPr="005E7CDB">
        <w:t xml:space="preserve"> </w:t>
      </w:r>
      <w:r w:rsidRPr="005E7CDB">
        <w:t>les</w:t>
      </w:r>
      <w:r w:rsidR="00F5091F" w:rsidRPr="005E7CDB">
        <w:t xml:space="preserve"> </w:t>
      </w:r>
      <w:r w:rsidRPr="005E7CDB">
        <w:t>dispositions</w:t>
      </w:r>
      <w:r w:rsidR="00F5091F" w:rsidRPr="005E7CDB">
        <w:t xml:space="preserve"> </w:t>
      </w:r>
      <w:r w:rsidRPr="005E7CDB">
        <w:t>recommandées</w:t>
      </w:r>
      <w:r w:rsidR="00F5091F" w:rsidRPr="005E7CDB">
        <w:t xml:space="preserve"> </w:t>
      </w:r>
      <w:r w:rsidRPr="005E7CDB">
        <w:t>par</w:t>
      </w:r>
      <w:r w:rsidR="00F5091F" w:rsidRPr="005E7CDB">
        <w:t xml:space="preserve"> </w:t>
      </w:r>
      <w:r w:rsidRPr="005E7CDB">
        <w:t>l’ONU</w:t>
      </w:r>
      <w:r w:rsidR="00F5091F" w:rsidRPr="005E7CDB">
        <w:t xml:space="preserve"> </w:t>
      </w:r>
      <w:r w:rsidRPr="005E7CDB">
        <w:t>dans</w:t>
      </w:r>
      <w:r w:rsidR="00F5091F" w:rsidRPr="005E7CDB">
        <w:t xml:space="preserve"> </w:t>
      </w:r>
      <w:r w:rsidRPr="005E7CDB">
        <w:t>les</w:t>
      </w:r>
      <w:r w:rsidR="00F5091F" w:rsidRPr="005E7CDB">
        <w:t xml:space="preserve"> </w:t>
      </w:r>
      <w:r w:rsidRPr="005E7CDB">
        <w:t>trois</w:t>
      </w:r>
      <w:r w:rsidR="00F5091F" w:rsidRPr="005E7CDB">
        <w:t xml:space="preserve"> </w:t>
      </w:r>
      <w:r w:rsidRPr="005E7CDB">
        <w:t>principaux</w:t>
      </w:r>
      <w:r w:rsidR="00F5091F" w:rsidRPr="005E7CDB">
        <w:t xml:space="preserve"> </w:t>
      </w:r>
      <w:r w:rsidRPr="005E7CDB">
        <w:t>instruments</w:t>
      </w:r>
      <w:r w:rsidR="00F5091F" w:rsidRPr="005E7CDB">
        <w:t xml:space="preserve"> </w:t>
      </w:r>
      <w:r w:rsidRPr="005E7CDB">
        <w:t>juridiques</w:t>
      </w:r>
      <w:r w:rsidR="00F5091F" w:rsidRPr="005E7CDB">
        <w:t xml:space="preserve"> </w:t>
      </w:r>
      <w:r w:rsidRPr="005E7CDB">
        <w:t>(RID/ADR/ADN)</w:t>
      </w:r>
      <w:r w:rsidR="00F5091F" w:rsidRPr="005E7CDB">
        <w:t xml:space="preserve"> </w:t>
      </w:r>
      <w:r w:rsidRPr="005E7CDB">
        <w:t>régissant</w:t>
      </w:r>
      <w:r w:rsidR="00F5091F" w:rsidRPr="005E7CDB">
        <w:t xml:space="preserve"> </w:t>
      </w:r>
      <w:r w:rsidRPr="005E7CDB">
        <w:t>le</w:t>
      </w:r>
      <w:r w:rsidR="00F5091F" w:rsidRPr="005E7CDB">
        <w:t xml:space="preserve"> </w:t>
      </w:r>
      <w:r w:rsidRPr="005E7CDB">
        <w:t>transport</w:t>
      </w:r>
      <w:r w:rsidR="00F5091F" w:rsidRPr="005E7CDB">
        <w:t xml:space="preserve"> </w:t>
      </w:r>
      <w:r w:rsidRPr="005E7CDB">
        <w:t>international</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par</w:t>
      </w:r>
      <w:r w:rsidR="00F5091F" w:rsidRPr="005E7CDB">
        <w:t xml:space="preserve"> </w:t>
      </w:r>
      <w:r w:rsidRPr="005E7CDB">
        <w:t>rail,</w:t>
      </w:r>
      <w:r w:rsidR="00F5091F" w:rsidRPr="005E7CDB">
        <w:t xml:space="preserve"> </w:t>
      </w:r>
      <w:r w:rsidRPr="005E7CDB">
        <w:t>route</w:t>
      </w:r>
      <w:r w:rsidR="00F5091F" w:rsidRPr="005E7CDB">
        <w:t xml:space="preserve"> </w:t>
      </w:r>
      <w:r w:rsidRPr="005E7CDB">
        <w:t>ou</w:t>
      </w:r>
      <w:r w:rsidR="00F5091F" w:rsidRPr="005E7CDB">
        <w:t xml:space="preserve"> </w:t>
      </w:r>
      <w:r w:rsidRPr="005E7CDB">
        <w:t>voies</w:t>
      </w:r>
      <w:r w:rsidR="00F5091F" w:rsidRPr="005E7CDB">
        <w:t xml:space="preserve"> </w:t>
      </w:r>
      <w:r w:rsidRPr="005E7CDB">
        <w:t>de</w:t>
      </w:r>
      <w:r w:rsidR="00F5091F" w:rsidRPr="005E7CDB">
        <w:t xml:space="preserve"> </w:t>
      </w:r>
      <w:r w:rsidRPr="005E7CDB">
        <w:t>navigation</w:t>
      </w:r>
      <w:r w:rsidR="00F5091F" w:rsidRPr="005E7CDB">
        <w:t xml:space="preserve"> </w:t>
      </w:r>
      <w:r w:rsidRPr="005E7CDB">
        <w:t>intérieures</w:t>
      </w:r>
      <w:r w:rsidR="00F5091F" w:rsidRPr="005E7CDB">
        <w:t xml:space="preserve"> </w:t>
      </w:r>
      <w:r w:rsidRPr="005E7CDB">
        <w:t>dans</w:t>
      </w:r>
      <w:r w:rsidR="00F5091F" w:rsidRPr="005E7CDB">
        <w:t xml:space="preserve"> </w:t>
      </w:r>
      <w:r w:rsidRPr="005E7CDB">
        <w:t>la</w:t>
      </w:r>
      <w:r w:rsidR="00F5091F" w:rsidRPr="005E7CDB">
        <w:t xml:space="preserve"> </w:t>
      </w:r>
      <w:r w:rsidRPr="005E7CDB">
        <w:t>région</w:t>
      </w:r>
      <w:r w:rsidR="00F5091F" w:rsidRPr="005E7CDB">
        <w:t xml:space="preserve"> </w:t>
      </w:r>
      <w:r w:rsidRPr="005E7CDB">
        <w:t>ont</w:t>
      </w:r>
      <w:r w:rsidR="00F5091F" w:rsidRPr="005E7CDB">
        <w:t xml:space="preserve"> </w:t>
      </w:r>
      <w:r w:rsidRPr="005E7CDB">
        <w:t>permis</w:t>
      </w:r>
      <w:r w:rsidR="00F5091F" w:rsidRPr="005E7CDB">
        <w:t xml:space="preserve"> </w:t>
      </w:r>
      <w:r w:rsidRPr="005E7CDB">
        <w:t>une</w:t>
      </w:r>
      <w:r w:rsidR="00F5091F" w:rsidRPr="005E7CDB">
        <w:t xml:space="preserve"> </w:t>
      </w:r>
      <w:r w:rsidRPr="005E7CDB">
        <w:t>harmonisation</w:t>
      </w:r>
      <w:r w:rsidR="00F5091F" w:rsidRPr="005E7CDB">
        <w:t xml:space="preserve"> </w:t>
      </w:r>
      <w:r w:rsidRPr="005E7CDB">
        <w:t>complète</w:t>
      </w:r>
      <w:r w:rsidR="00F5091F" w:rsidRPr="005E7CDB">
        <w:t xml:space="preserve"> </w:t>
      </w:r>
      <w:r w:rsidRPr="005E7CDB">
        <w:t>de</w:t>
      </w:r>
      <w:r w:rsidR="00F5091F" w:rsidRPr="005E7CDB">
        <w:t xml:space="preserve"> </w:t>
      </w:r>
      <w:r w:rsidRPr="005E7CDB">
        <w:t>ces</w:t>
      </w:r>
      <w:r w:rsidR="00F5091F" w:rsidRPr="005E7CDB">
        <w:t xml:space="preserve"> </w:t>
      </w:r>
      <w:r w:rsidRPr="005E7CDB">
        <w:t>instruments</w:t>
      </w:r>
      <w:r w:rsidR="00F5091F" w:rsidRPr="005E7CDB">
        <w:t xml:space="preserve"> </w:t>
      </w:r>
      <w:r w:rsidRPr="005E7CDB">
        <w:t>entre</w:t>
      </w:r>
      <w:r w:rsidR="00F5091F" w:rsidRPr="005E7CDB">
        <w:t xml:space="preserve"> </w:t>
      </w:r>
      <w:r w:rsidRPr="005E7CDB">
        <w:t>eux</w:t>
      </w:r>
      <w:r w:rsidR="00F5091F" w:rsidRPr="005E7CDB">
        <w:t xml:space="preserve"> </w:t>
      </w:r>
      <w:r w:rsidRPr="005E7CDB">
        <w:t>et</w:t>
      </w:r>
      <w:r w:rsidR="00F5091F" w:rsidRPr="005E7CDB">
        <w:t xml:space="preserve"> </w:t>
      </w:r>
      <w:r w:rsidRPr="005E7CDB">
        <w:t>avec</w:t>
      </w:r>
      <w:r w:rsidR="00F5091F" w:rsidRPr="005E7CDB">
        <w:t xml:space="preserve"> </w:t>
      </w:r>
      <w:r w:rsidRPr="005E7CDB">
        <w:t>d’autres</w:t>
      </w:r>
      <w:r w:rsidR="00F5091F" w:rsidRPr="005E7CDB">
        <w:t xml:space="preserve"> </w:t>
      </w:r>
      <w:r w:rsidRPr="005E7CDB">
        <w:t>instruments</w:t>
      </w:r>
      <w:r w:rsidR="00F5091F" w:rsidRPr="005E7CDB">
        <w:t xml:space="preserve"> </w:t>
      </w:r>
      <w:r w:rsidRPr="005E7CDB">
        <w:t>semblables</w:t>
      </w:r>
      <w:r w:rsidR="00F5091F" w:rsidRPr="005E7CDB">
        <w:t xml:space="preserve"> </w:t>
      </w:r>
      <w:r w:rsidRPr="005E7CDB">
        <w:t>régissant</w:t>
      </w:r>
      <w:r w:rsidR="00F5091F" w:rsidRPr="005E7CDB">
        <w:t xml:space="preserve"> </w:t>
      </w:r>
      <w:r w:rsidRPr="005E7CDB">
        <w:t>les</w:t>
      </w:r>
      <w:r w:rsidR="00F5091F" w:rsidRPr="005E7CDB">
        <w:t xml:space="preserve"> </w:t>
      </w:r>
      <w:r w:rsidRPr="005E7CDB">
        <w:t>transports</w:t>
      </w:r>
      <w:r w:rsidR="00F5091F" w:rsidRPr="005E7CDB">
        <w:t xml:space="preserve"> </w:t>
      </w:r>
      <w:r w:rsidRPr="005E7CDB">
        <w:t>maritimes</w:t>
      </w:r>
      <w:r w:rsidR="00F5091F" w:rsidRPr="005E7CDB">
        <w:t xml:space="preserve"> </w:t>
      </w:r>
      <w:r w:rsidRPr="005E7CDB">
        <w:t>et</w:t>
      </w:r>
      <w:r w:rsidR="00F5091F" w:rsidRPr="005E7CDB">
        <w:t xml:space="preserve"> </w:t>
      </w:r>
      <w:r w:rsidRPr="005E7CDB">
        <w:t>aériens.</w:t>
      </w:r>
      <w:r w:rsidR="00F5091F" w:rsidRPr="005E7CDB">
        <w:t xml:space="preserve"> </w:t>
      </w:r>
      <w:r w:rsidRPr="005E7CDB">
        <w:t>Cette</w:t>
      </w:r>
      <w:r w:rsidR="00F5091F" w:rsidRPr="005E7CDB">
        <w:t xml:space="preserve"> </w:t>
      </w:r>
      <w:r w:rsidRPr="005E7CDB">
        <w:t>harmonisation</w:t>
      </w:r>
      <w:r w:rsidR="00F5091F" w:rsidRPr="005E7CDB">
        <w:t xml:space="preserve"> </w:t>
      </w:r>
      <w:r w:rsidRPr="005E7CDB">
        <w:t>est</w:t>
      </w:r>
      <w:r w:rsidR="00F5091F" w:rsidRPr="005E7CDB">
        <w:t xml:space="preserve"> </w:t>
      </w:r>
      <w:r w:rsidRPr="005E7CDB">
        <w:t>essentielle</w:t>
      </w:r>
      <w:r w:rsidR="00F5091F" w:rsidRPr="005E7CDB">
        <w:t xml:space="preserve"> </w:t>
      </w:r>
      <w:r w:rsidRPr="005E7CDB">
        <w:t>pour</w:t>
      </w:r>
      <w:r w:rsidR="00F5091F" w:rsidRPr="005E7CDB">
        <w:t xml:space="preserve"> </w:t>
      </w:r>
      <w:r w:rsidRPr="005E7CDB">
        <w:t>la</w:t>
      </w:r>
      <w:r w:rsidR="00F5091F" w:rsidRPr="005E7CDB">
        <w:t xml:space="preserve"> </w:t>
      </w:r>
      <w:r w:rsidRPr="005E7CDB">
        <w:t>facilitation</w:t>
      </w:r>
      <w:r w:rsidR="00F5091F" w:rsidRPr="005E7CDB">
        <w:t xml:space="preserve"> </w:t>
      </w:r>
      <w:r w:rsidRPr="005E7CDB">
        <w:t>du</w:t>
      </w:r>
      <w:r w:rsidR="00F5091F" w:rsidRPr="005E7CDB">
        <w:t xml:space="preserve"> </w:t>
      </w:r>
      <w:r w:rsidRPr="005E7CDB">
        <w:t>commerce</w:t>
      </w:r>
      <w:r w:rsidR="00F5091F" w:rsidRPr="005E7CDB">
        <w:t xml:space="preserve"> </w:t>
      </w:r>
      <w:r w:rsidRPr="005E7CDB">
        <w:t>international</w:t>
      </w:r>
      <w:r w:rsidR="00F5091F" w:rsidRPr="005E7CDB">
        <w:t xml:space="preserve"> </w:t>
      </w:r>
      <w:r w:rsidRPr="005E7CDB">
        <w:t>et</w:t>
      </w:r>
      <w:r w:rsidR="00F5091F" w:rsidRPr="005E7CDB">
        <w:t xml:space="preserve"> </w:t>
      </w:r>
      <w:r w:rsidRPr="005E7CDB">
        <w:t>du</w:t>
      </w:r>
      <w:r w:rsidR="00F5091F" w:rsidRPr="005E7CDB">
        <w:t xml:space="preserve"> </w:t>
      </w:r>
      <w:r w:rsidRPr="005E7CDB">
        <w:t>transport</w:t>
      </w:r>
      <w:r w:rsidR="00F5091F" w:rsidRPr="005E7CDB">
        <w:t xml:space="preserve"> </w:t>
      </w:r>
      <w:r w:rsidRPr="005E7CDB">
        <w:t>multimodal.</w:t>
      </w:r>
      <w:r w:rsidR="00F5091F" w:rsidRPr="005E7CDB">
        <w:t xml:space="preserve"> </w:t>
      </w:r>
      <w:r w:rsidRPr="005E7CDB">
        <w:t>L’engagement</w:t>
      </w:r>
      <w:r w:rsidR="00F5091F" w:rsidRPr="005E7CDB">
        <w:t xml:space="preserve"> </w:t>
      </w:r>
      <w:r w:rsidRPr="005E7CDB">
        <w:t>de</w:t>
      </w:r>
      <w:r w:rsidR="00F5091F" w:rsidRPr="005E7CDB">
        <w:t xml:space="preserve"> </w:t>
      </w:r>
      <w:r w:rsidRPr="005E7CDB">
        <w:t>l’UE</w:t>
      </w:r>
      <w:r w:rsidR="00F5091F" w:rsidRPr="005E7CDB">
        <w:t xml:space="preserve"> </w:t>
      </w:r>
      <w:r w:rsidRPr="005E7CDB">
        <w:t>à</w:t>
      </w:r>
      <w:r w:rsidR="00F5091F" w:rsidRPr="005E7CDB">
        <w:t xml:space="preserve"> </w:t>
      </w:r>
      <w:r w:rsidRPr="005E7CDB">
        <w:t>appliquer</w:t>
      </w:r>
      <w:r w:rsidR="00F5091F" w:rsidRPr="005E7CDB">
        <w:t xml:space="preserve"> </w:t>
      </w:r>
      <w:r w:rsidRPr="005E7CDB">
        <w:t>les</w:t>
      </w:r>
      <w:r w:rsidR="00F5091F" w:rsidRPr="005E7CDB">
        <w:t xml:space="preserve"> </w:t>
      </w:r>
      <w:r w:rsidRPr="005E7CDB">
        <w:t>dispositions</w:t>
      </w:r>
      <w:r w:rsidR="00F5091F" w:rsidRPr="005E7CDB">
        <w:t xml:space="preserve"> </w:t>
      </w:r>
      <w:r w:rsidRPr="005E7CDB">
        <w:t>du</w:t>
      </w:r>
      <w:r w:rsidR="00F5091F" w:rsidRPr="005E7CDB">
        <w:t xml:space="preserve"> </w:t>
      </w:r>
      <w:r w:rsidRPr="005E7CDB">
        <w:t>RID,</w:t>
      </w:r>
      <w:r w:rsidR="00F5091F" w:rsidRPr="005E7CDB">
        <w:t xml:space="preserve"> </w:t>
      </w:r>
      <w:r w:rsidRPr="005E7CDB">
        <w:t>de</w:t>
      </w:r>
      <w:r w:rsidR="00F5091F" w:rsidRPr="005E7CDB">
        <w:t xml:space="preserve"> </w:t>
      </w:r>
      <w:r w:rsidRPr="005E7CDB">
        <w:t>l’ADR</w:t>
      </w:r>
      <w:r w:rsidR="00F5091F" w:rsidRPr="005E7CDB">
        <w:t xml:space="preserve"> </w:t>
      </w:r>
      <w:r w:rsidRPr="005E7CDB">
        <w:t>et</w:t>
      </w:r>
      <w:r w:rsidR="00F5091F" w:rsidRPr="005E7CDB">
        <w:t xml:space="preserve"> </w:t>
      </w:r>
      <w:r w:rsidRPr="005E7CDB">
        <w:t>de</w:t>
      </w:r>
      <w:r w:rsidR="00F5091F" w:rsidRPr="005E7CDB">
        <w:t xml:space="preserve"> </w:t>
      </w:r>
      <w:r w:rsidRPr="005E7CDB">
        <w:t>l’ADN</w:t>
      </w:r>
      <w:r w:rsidR="00F5091F" w:rsidRPr="005E7CDB">
        <w:t xml:space="preserve"> </w:t>
      </w:r>
      <w:r w:rsidRPr="005E7CDB">
        <w:t>dans</w:t>
      </w:r>
      <w:r w:rsidR="00F5091F" w:rsidRPr="005E7CDB">
        <w:t xml:space="preserve"> </w:t>
      </w:r>
      <w:r w:rsidRPr="005E7CDB">
        <w:t>la</w:t>
      </w:r>
      <w:r w:rsidR="00F5091F" w:rsidRPr="005E7CDB">
        <w:t xml:space="preserve"> </w:t>
      </w:r>
      <w:r w:rsidRPr="005E7CDB">
        <w:t>circulation</w:t>
      </w:r>
      <w:r w:rsidR="00F5091F" w:rsidRPr="005E7CDB">
        <w:t xml:space="preserve"> </w:t>
      </w:r>
      <w:r w:rsidRPr="005E7CDB">
        <w:t>intérieure</w:t>
      </w:r>
      <w:r w:rsidR="00F5091F" w:rsidRPr="005E7CDB">
        <w:t xml:space="preserve"> </w:t>
      </w:r>
      <w:r w:rsidRPr="005E7CDB">
        <w:t>y</w:t>
      </w:r>
      <w:r w:rsidR="00F5091F" w:rsidRPr="005E7CDB">
        <w:t xml:space="preserve"> </w:t>
      </w:r>
      <w:r w:rsidRPr="005E7CDB">
        <w:t>contribue</w:t>
      </w:r>
      <w:r w:rsidR="00F5091F" w:rsidRPr="005E7CDB">
        <w:t xml:space="preserve"> </w:t>
      </w:r>
      <w:r w:rsidRPr="005E7CDB">
        <w:t>pour</w:t>
      </w:r>
      <w:r w:rsidR="00F5091F" w:rsidRPr="005E7CDB">
        <w:t xml:space="preserve"> </w:t>
      </w:r>
      <w:r w:rsidRPr="005E7CDB">
        <w:t>beaucoup.</w:t>
      </w:r>
      <w:r w:rsidR="00F5091F" w:rsidRPr="005E7CDB">
        <w:t xml:space="preserve"> </w:t>
      </w:r>
      <w:r w:rsidRPr="005E7CDB">
        <w:t>L’application</w:t>
      </w:r>
      <w:r w:rsidR="00F5091F" w:rsidRPr="005E7CDB">
        <w:t xml:space="preserve"> </w:t>
      </w:r>
      <w:r w:rsidRPr="005E7CDB">
        <w:t>nationale</w:t>
      </w:r>
      <w:r w:rsidR="00F5091F" w:rsidRPr="005E7CDB">
        <w:t xml:space="preserve"> </w:t>
      </w:r>
      <w:r w:rsidRPr="005E7CDB">
        <w:t>de</w:t>
      </w:r>
      <w:r w:rsidR="00F5091F" w:rsidRPr="005E7CDB">
        <w:t xml:space="preserve"> </w:t>
      </w:r>
      <w:r w:rsidRPr="005E7CDB">
        <w:t>ces</w:t>
      </w:r>
      <w:r w:rsidR="00F5091F" w:rsidRPr="005E7CDB">
        <w:t xml:space="preserve"> </w:t>
      </w:r>
      <w:r w:rsidRPr="005E7CDB">
        <w:t>dispositions</w:t>
      </w:r>
      <w:r w:rsidR="00F5091F" w:rsidRPr="005E7CDB">
        <w:t xml:space="preserve"> </w:t>
      </w:r>
      <w:r w:rsidRPr="005E7CDB">
        <w:t>implique</w:t>
      </w:r>
      <w:r w:rsidR="00F5091F" w:rsidRPr="005E7CDB">
        <w:t xml:space="preserve"> </w:t>
      </w:r>
      <w:r w:rsidRPr="005E7CDB">
        <w:t>également</w:t>
      </w:r>
      <w:r w:rsidR="00F5091F" w:rsidRPr="005E7CDB">
        <w:t xml:space="preserve"> </w:t>
      </w:r>
      <w:r w:rsidRPr="005E7CDB">
        <w:t>que</w:t>
      </w:r>
      <w:r w:rsidR="00F5091F" w:rsidRPr="005E7CDB">
        <w:t xml:space="preserve"> </w:t>
      </w:r>
      <w:r w:rsidRPr="005E7CDB">
        <w:t>les</w:t>
      </w:r>
      <w:r w:rsidR="00F5091F" w:rsidRPr="005E7CDB">
        <w:t xml:space="preserve"> </w:t>
      </w:r>
      <w:r w:rsidRPr="005E7CDB">
        <w:t>pays</w:t>
      </w:r>
      <w:r w:rsidR="00F5091F" w:rsidRPr="005E7CDB">
        <w:t xml:space="preserve"> </w:t>
      </w:r>
      <w:r w:rsidRPr="005E7CDB">
        <w:t>membres</w:t>
      </w:r>
      <w:r w:rsidR="00F5091F" w:rsidRPr="005E7CDB">
        <w:t xml:space="preserve"> </w:t>
      </w:r>
      <w:r w:rsidRPr="005E7CDB">
        <w:t>de</w:t>
      </w:r>
      <w:r w:rsidR="00F5091F" w:rsidRPr="005E7CDB">
        <w:t xml:space="preserve"> </w:t>
      </w:r>
      <w:r w:rsidRPr="005E7CDB">
        <w:t>l’UE</w:t>
      </w:r>
      <w:r w:rsidR="00F5091F" w:rsidRPr="005E7CDB">
        <w:t xml:space="preserve"> </w:t>
      </w:r>
      <w:r w:rsidRPr="005E7CDB">
        <w:t>attachent</w:t>
      </w:r>
      <w:r w:rsidR="00F5091F" w:rsidRPr="005E7CDB">
        <w:t xml:space="preserve"> </w:t>
      </w:r>
      <w:r w:rsidRPr="005E7CDB">
        <w:t>une</w:t>
      </w:r>
      <w:r w:rsidR="00F5091F" w:rsidRPr="005E7CDB">
        <w:t xml:space="preserve"> </w:t>
      </w:r>
      <w:r w:rsidRPr="005E7CDB">
        <w:t>importance</w:t>
      </w:r>
      <w:r w:rsidR="00F5091F" w:rsidRPr="005E7CDB">
        <w:t xml:space="preserve"> </w:t>
      </w:r>
      <w:r w:rsidRPr="005E7CDB">
        <w:t>croissante</w:t>
      </w:r>
      <w:r w:rsidR="00F5091F" w:rsidRPr="005E7CDB">
        <w:t xml:space="preserve"> </w:t>
      </w:r>
      <w:r w:rsidRPr="005E7CDB">
        <w:t>à</w:t>
      </w:r>
      <w:r w:rsidR="00F5091F" w:rsidRPr="005E7CDB">
        <w:t xml:space="preserve"> </w:t>
      </w:r>
      <w:r w:rsidRPr="005E7CDB">
        <w:t>la</w:t>
      </w:r>
      <w:r w:rsidR="00F5091F" w:rsidRPr="005E7CDB">
        <w:t xml:space="preserve"> </w:t>
      </w:r>
      <w:r w:rsidRPr="005E7CDB">
        <w:t>compatibilité</w:t>
      </w:r>
      <w:r w:rsidR="00F5091F" w:rsidRPr="005E7CDB">
        <w:t xml:space="preserve"> </w:t>
      </w:r>
      <w:r w:rsidRPr="005E7CDB">
        <w:t>des</w:t>
      </w:r>
      <w:r w:rsidR="00F5091F" w:rsidRPr="005E7CDB">
        <w:t xml:space="preserve"> </w:t>
      </w:r>
      <w:r w:rsidRPr="005E7CDB">
        <w:t>dispositions</w:t>
      </w:r>
      <w:r w:rsidR="00F5091F" w:rsidRPr="005E7CDB">
        <w:t xml:space="preserve"> </w:t>
      </w:r>
      <w:r w:rsidRPr="005E7CDB">
        <w:t>RID/ADR/ADN</w:t>
      </w:r>
      <w:r w:rsidR="00F5091F" w:rsidRPr="005E7CDB">
        <w:t xml:space="preserve"> </w:t>
      </w:r>
      <w:r w:rsidRPr="005E7CDB">
        <w:t>avec</w:t>
      </w:r>
      <w:r w:rsidR="00F5091F" w:rsidRPr="005E7CDB">
        <w:t xml:space="preserve"> </w:t>
      </w:r>
      <w:r w:rsidRPr="005E7CDB">
        <w:t>les</w:t>
      </w:r>
      <w:r w:rsidR="00F5091F" w:rsidRPr="005E7CDB">
        <w:t xml:space="preserve"> </w:t>
      </w:r>
      <w:r w:rsidRPr="005E7CDB">
        <w:t>normes</w:t>
      </w:r>
      <w:r w:rsidR="00F5091F" w:rsidRPr="005E7CDB">
        <w:t xml:space="preserve"> </w:t>
      </w:r>
      <w:r w:rsidRPr="005E7CDB">
        <w:t>européennes</w:t>
      </w:r>
      <w:r w:rsidR="00F5091F" w:rsidRPr="005E7CDB">
        <w:t xml:space="preserve"> </w:t>
      </w:r>
      <w:r w:rsidRPr="005E7CDB">
        <w:t>élaborées</w:t>
      </w:r>
      <w:r w:rsidR="00F5091F" w:rsidRPr="005E7CDB">
        <w:t xml:space="preserve"> </w:t>
      </w:r>
      <w:r w:rsidRPr="005E7CDB">
        <w:t>par</w:t>
      </w:r>
      <w:r w:rsidR="00F5091F" w:rsidRPr="005E7CDB">
        <w:t xml:space="preserve"> </w:t>
      </w:r>
      <w:r w:rsidRPr="005E7CDB">
        <w:t>le</w:t>
      </w:r>
      <w:r w:rsidR="00F5091F" w:rsidRPr="005E7CDB">
        <w:t xml:space="preserve"> </w:t>
      </w:r>
      <w:r w:rsidRPr="005E7CDB">
        <w:t>Comité</w:t>
      </w:r>
      <w:r w:rsidR="00F5091F" w:rsidRPr="005E7CDB">
        <w:t xml:space="preserve"> </w:t>
      </w:r>
      <w:r w:rsidRPr="005E7CDB">
        <w:t>européen</w:t>
      </w:r>
      <w:r w:rsidR="00F5091F" w:rsidRPr="005E7CDB">
        <w:t xml:space="preserve"> </w:t>
      </w:r>
      <w:r w:rsidRPr="005E7CDB">
        <w:t>de</w:t>
      </w:r>
      <w:r w:rsidR="00F5091F" w:rsidRPr="005E7CDB">
        <w:t xml:space="preserve"> </w:t>
      </w:r>
      <w:r w:rsidRPr="005E7CDB">
        <w:t>normalisation</w:t>
      </w:r>
      <w:r w:rsidR="00F5091F" w:rsidRPr="005E7CDB">
        <w:t xml:space="preserve"> </w:t>
      </w:r>
      <w:r w:rsidRPr="005E7CDB">
        <w:t>(CEN),</w:t>
      </w:r>
      <w:r w:rsidR="00F5091F" w:rsidRPr="005E7CDB">
        <w:t xml:space="preserve"> </w:t>
      </w:r>
      <w:r w:rsidRPr="005E7CDB">
        <w:t>dont</w:t>
      </w:r>
      <w:r w:rsidR="00F5091F" w:rsidRPr="005E7CDB">
        <w:t xml:space="preserve"> </w:t>
      </w:r>
      <w:r w:rsidRPr="005E7CDB">
        <w:t>un</w:t>
      </w:r>
      <w:r w:rsidR="00F5091F" w:rsidRPr="005E7CDB">
        <w:t xml:space="preserve"> </w:t>
      </w:r>
      <w:r w:rsidRPr="005E7CDB">
        <w:t>grand</w:t>
      </w:r>
      <w:r w:rsidR="00F5091F" w:rsidRPr="005E7CDB">
        <w:t xml:space="preserve"> </w:t>
      </w:r>
      <w:r w:rsidRPr="005E7CDB">
        <w:t>nombre</w:t>
      </w:r>
      <w:r w:rsidR="00F5091F" w:rsidRPr="005E7CDB">
        <w:t xml:space="preserve"> </w:t>
      </w:r>
      <w:r w:rsidRPr="005E7CDB">
        <w:t>s’appliquent</w:t>
      </w:r>
      <w:r w:rsidR="00F5091F" w:rsidRPr="005E7CDB">
        <w:t xml:space="preserve"> </w:t>
      </w:r>
      <w:r w:rsidRPr="005E7CDB">
        <w:t>aujourd’hui</w:t>
      </w:r>
      <w:r w:rsidR="00F5091F" w:rsidRPr="005E7CDB">
        <w:t xml:space="preserve"> </w:t>
      </w:r>
      <w:r w:rsidRPr="005E7CDB">
        <w:t>de</w:t>
      </w:r>
      <w:r w:rsidR="00F5091F" w:rsidRPr="005E7CDB">
        <w:t xml:space="preserve"> </w:t>
      </w:r>
      <w:r w:rsidRPr="005E7CDB">
        <w:t>façon</w:t>
      </w:r>
      <w:r w:rsidR="00F5091F" w:rsidRPr="005E7CDB">
        <w:t xml:space="preserve"> </w:t>
      </w:r>
      <w:r w:rsidRPr="005E7CDB">
        <w:t>obligatoire</w:t>
      </w:r>
      <w:r w:rsidR="00F5091F" w:rsidRPr="005E7CDB">
        <w:t xml:space="preserve"> </w:t>
      </w:r>
      <w:r w:rsidRPr="005E7CDB">
        <w:t>par</w:t>
      </w:r>
      <w:r w:rsidR="00F5091F" w:rsidRPr="005E7CDB">
        <w:t xml:space="preserve"> </w:t>
      </w:r>
      <w:r w:rsidRPr="005E7CDB">
        <w:t>l’intermédiaire</w:t>
      </w:r>
      <w:r w:rsidR="00F5091F" w:rsidRPr="005E7CDB">
        <w:t xml:space="preserve"> </w:t>
      </w:r>
      <w:r w:rsidRPr="005E7CDB">
        <w:t>du</w:t>
      </w:r>
      <w:r w:rsidR="00F5091F" w:rsidRPr="005E7CDB">
        <w:t xml:space="preserve"> </w:t>
      </w:r>
      <w:r w:rsidRPr="005E7CDB">
        <w:t>RID,</w:t>
      </w:r>
      <w:r w:rsidR="00F5091F" w:rsidRPr="005E7CDB">
        <w:t xml:space="preserve"> </w:t>
      </w:r>
      <w:r w:rsidRPr="005E7CDB">
        <w:t>de</w:t>
      </w:r>
      <w:r w:rsidR="00F5091F" w:rsidRPr="005E7CDB">
        <w:t xml:space="preserve"> </w:t>
      </w:r>
      <w:r w:rsidRPr="005E7CDB">
        <w:t>l’ADN</w:t>
      </w:r>
      <w:r w:rsidR="00F5091F" w:rsidRPr="005E7CDB">
        <w:t xml:space="preserve"> </w:t>
      </w:r>
      <w:r w:rsidRPr="005E7CDB">
        <w:t>ou</w:t>
      </w:r>
      <w:r w:rsidR="00F5091F" w:rsidRPr="005E7CDB">
        <w:t xml:space="preserve"> </w:t>
      </w:r>
      <w:r w:rsidRPr="005E7CDB">
        <w:t>de</w:t>
      </w:r>
      <w:r w:rsidR="00F5091F" w:rsidRPr="005E7CDB">
        <w:t xml:space="preserve"> </w:t>
      </w:r>
      <w:r w:rsidRPr="005E7CDB">
        <w:t>l’ADR,</w:t>
      </w:r>
      <w:r w:rsidR="00F5091F" w:rsidRPr="005E7CDB">
        <w:t xml:space="preserve"> </w:t>
      </w:r>
      <w:r w:rsidRPr="005E7CDB">
        <w:t>bien</w:t>
      </w:r>
      <w:r w:rsidR="00F5091F" w:rsidRPr="005E7CDB">
        <w:t xml:space="preserve"> </w:t>
      </w:r>
      <w:r w:rsidRPr="005E7CDB">
        <w:t>que</w:t>
      </w:r>
      <w:r w:rsidR="00F5091F" w:rsidRPr="005E7CDB">
        <w:t xml:space="preserve"> </w:t>
      </w:r>
      <w:r w:rsidRPr="005E7CDB">
        <w:t>de</w:t>
      </w:r>
      <w:r w:rsidR="00F5091F" w:rsidRPr="005E7CDB">
        <w:t xml:space="preserve"> </w:t>
      </w:r>
      <w:r w:rsidRPr="005E7CDB">
        <w:t>nombreuses</w:t>
      </w:r>
      <w:r w:rsidR="00F5091F" w:rsidRPr="005E7CDB">
        <w:t xml:space="preserve"> </w:t>
      </w:r>
      <w:r w:rsidRPr="005E7CDB">
        <w:t>Parties</w:t>
      </w:r>
      <w:r w:rsidR="00F5091F" w:rsidRPr="005E7CDB">
        <w:t xml:space="preserve"> </w:t>
      </w:r>
      <w:r w:rsidRPr="005E7CDB">
        <w:t>ne</w:t>
      </w:r>
      <w:r w:rsidR="00F5091F" w:rsidRPr="005E7CDB">
        <w:t xml:space="preserve"> </w:t>
      </w:r>
      <w:r w:rsidRPr="005E7CDB">
        <w:t>participent</w:t>
      </w:r>
      <w:r w:rsidR="00F5091F" w:rsidRPr="005E7CDB">
        <w:t xml:space="preserve"> </w:t>
      </w:r>
      <w:r w:rsidRPr="005E7CDB">
        <w:t>pas</w:t>
      </w:r>
      <w:r w:rsidR="00F5091F" w:rsidRPr="005E7CDB">
        <w:t xml:space="preserve"> </w:t>
      </w:r>
      <w:r w:rsidRPr="005E7CDB">
        <w:t>à</w:t>
      </w:r>
      <w:r w:rsidR="00F5091F" w:rsidRPr="005E7CDB">
        <w:t xml:space="preserve"> </w:t>
      </w:r>
      <w:r w:rsidRPr="005E7CDB">
        <w:t>leur</w:t>
      </w:r>
      <w:r w:rsidR="00F5091F" w:rsidRPr="005E7CDB">
        <w:t xml:space="preserve"> </w:t>
      </w:r>
      <w:r w:rsidRPr="005E7CDB">
        <w:t>élaboration.</w:t>
      </w:r>
    </w:p>
    <w:p w:rsidR="002728BC" w:rsidRPr="005E7CDB" w:rsidRDefault="002728BC" w:rsidP="007863A6">
      <w:pPr>
        <w:pStyle w:val="SingleTxtG"/>
        <w:rPr>
          <w:b/>
        </w:rPr>
      </w:pPr>
      <w:r w:rsidRPr="005E7CDB">
        <w:t>8.</w:t>
      </w:r>
      <w:r w:rsidRPr="005E7CDB">
        <w:tab/>
        <w:t>Les</w:t>
      </w:r>
      <w:r w:rsidR="00F5091F" w:rsidRPr="005E7CDB">
        <w:t xml:space="preserve"> </w:t>
      </w:r>
      <w:r w:rsidRPr="005E7CDB">
        <w:t>données</w:t>
      </w:r>
      <w:r w:rsidR="00F5091F" w:rsidRPr="005E7CDB">
        <w:t xml:space="preserve"> </w:t>
      </w:r>
      <w:r w:rsidRPr="005E7CDB">
        <w:t>concernant</w:t>
      </w:r>
      <w:r w:rsidR="00F5091F" w:rsidRPr="005E7CDB">
        <w:t xml:space="preserve"> </w:t>
      </w:r>
      <w:r w:rsidRPr="005E7CDB">
        <w:t>la</w:t>
      </w:r>
      <w:r w:rsidR="00F5091F" w:rsidRPr="005E7CDB">
        <w:t xml:space="preserve"> </w:t>
      </w:r>
      <w:r w:rsidRPr="005E7CDB">
        <w:t>participation</w:t>
      </w:r>
      <w:r w:rsidR="00F5091F" w:rsidRPr="005E7CDB">
        <w:t xml:space="preserve"> </w:t>
      </w:r>
      <w:r w:rsidRPr="005E7CDB">
        <w:t>aux</w:t>
      </w:r>
      <w:r w:rsidR="00F5091F" w:rsidRPr="005E7CDB">
        <w:t xml:space="preserve"> </w:t>
      </w:r>
      <w:r w:rsidRPr="005E7CDB">
        <w:t>réunions</w:t>
      </w:r>
      <w:r w:rsidR="00F5091F" w:rsidRPr="005E7CDB">
        <w:t xml:space="preserve"> </w:t>
      </w:r>
      <w:r w:rsidRPr="005E7CDB">
        <w:t>montrent</w:t>
      </w:r>
      <w:r w:rsidR="00F5091F" w:rsidRPr="005E7CDB">
        <w:t xml:space="preserve"> </w:t>
      </w:r>
      <w:r w:rsidRPr="005E7CDB">
        <w:t>une</w:t>
      </w:r>
      <w:r w:rsidR="00F5091F" w:rsidRPr="005E7CDB">
        <w:t xml:space="preserve"> </w:t>
      </w:r>
      <w:r w:rsidRPr="005E7CDB">
        <w:t>forte</w:t>
      </w:r>
      <w:r w:rsidR="00F5091F" w:rsidRPr="005E7CDB">
        <w:t xml:space="preserve"> </w:t>
      </w:r>
      <w:r w:rsidRPr="005E7CDB">
        <w:t>participation</w:t>
      </w:r>
      <w:r w:rsidR="00F5091F" w:rsidRPr="005E7CDB">
        <w:t xml:space="preserve"> </w:t>
      </w:r>
      <w:r w:rsidRPr="005E7CDB">
        <w:t>des</w:t>
      </w:r>
      <w:r w:rsidR="00F5091F" w:rsidRPr="005E7CDB">
        <w:t xml:space="preserve"> </w:t>
      </w:r>
      <w:r w:rsidRPr="005E7CDB">
        <w:t>pays</w:t>
      </w:r>
      <w:r w:rsidR="00F5091F" w:rsidRPr="005E7CDB">
        <w:t xml:space="preserve"> </w:t>
      </w:r>
      <w:r w:rsidRPr="005E7CDB">
        <w:t>membres</w:t>
      </w:r>
      <w:r w:rsidR="00F5091F" w:rsidRPr="005E7CDB">
        <w:t xml:space="preserve"> </w:t>
      </w:r>
      <w:r w:rsidRPr="005E7CDB">
        <w:t>de</w:t>
      </w:r>
      <w:r w:rsidR="00F5091F" w:rsidRPr="005E7CDB">
        <w:t xml:space="preserve"> </w:t>
      </w:r>
      <w:r w:rsidRPr="005E7CDB">
        <w:t>l’UE,</w:t>
      </w:r>
      <w:r w:rsidR="00F5091F" w:rsidRPr="005E7CDB">
        <w:t xml:space="preserve"> </w:t>
      </w:r>
      <w:r w:rsidRPr="005E7CDB">
        <w:t>de</w:t>
      </w:r>
      <w:r w:rsidR="00F5091F" w:rsidRPr="005E7CDB">
        <w:t xml:space="preserve"> </w:t>
      </w:r>
      <w:r w:rsidRPr="005E7CDB">
        <w:t>la</w:t>
      </w:r>
      <w:r w:rsidR="00F5091F" w:rsidRPr="005E7CDB">
        <w:t xml:space="preserve"> </w:t>
      </w:r>
      <w:r w:rsidRPr="005E7CDB">
        <w:t>Norvège,</w:t>
      </w:r>
      <w:r w:rsidR="00F5091F" w:rsidRPr="005E7CDB">
        <w:t xml:space="preserve"> </w:t>
      </w:r>
      <w:r w:rsidRPr="005E7CDB">
        <w:t>de</w:t>
      </w:r>
      <w:r w:rsidR="00F5091F" w:rsidRPr="005E7CDB">
        <w:t xml:space="preserve"> </w:t>
      </w:r>
      <w:r w:rsidRPr="005E7CDB">
        <w:t>la</w:t>
      </w:r>
      <w:r w:rsidR="00F5091F" w:rsidRPr="005E7CDB">
        <w:t xml:space="preserve"> </w:t>
      </w:r>
      <w:r w:rsidRPr="005E7CDB">
        <w:t>Suisse,</w:t>
      </w:r>
      <w:r w:rsidR="00F5091F" w:rsidRPr="005E7CDB">
        <w:t xml:space="preserve"> </w:t>
      </w:r>
      <w:r w:rsidRPr="005E7CDB">
        <w:t>de</w:t>
      </w:r>
      <w:r w:rsidR="00F5091F" w:rsidRPr="005E7CDB">
        <w:t xml:space="preserve"> </w:t>
      </w:r>
      <w:r w:rsidRPr="005E7CDB">
        <w:t>la</w:t>
      </w:r>
      <w:r w:rsidR="00F5091F" w:rsidRPr="005E7CDB">
        <w:t xml:space="preserve"> </w:t>
      </w:r>
      <w:r w:rsidRPr="005E7CDB">
        <w:t>Fédération</w:t>
      </w:r>
      <w:r w:rsidR="00F5091F" w:rsidRPr="005E7CDB">
        <w:t xml:space="preserve"> </w:t>
      </w:r>
      <w:r w:rsidRPr="005E7CDB">
        <w:t>de</w:t>
      </w:r>
      <w:r w:rsidR="00F5091F" w:rsidRPr="005E7CDB">
        <w:t xml:space="preserve"> </w:t>
      </w:r>
      <w:r w:rsidRPr="005E7CDB">
        <w:t>Russie,</w:t>
      </w:r>
      <w:r w:rsidR="00F5091F" w:rsidRPr="005E7CDB">
        <w:t xml:space="preserve"> </w:t>
      </w:r>
      <w:r w:rsidRPr="005E7CDB">
        <w:t>de</w:t>
      </w:r>
      <w:r w:rsidR="00F5091F" w:rsidRPr="005E7CDB">
        <w:t xml:space="preserve"> </w:t>
      </w:r>
      <w:r w:rsidRPr="005E7CDB">
        <w:t>la</w:t>
      </w:r>
      <w:r w:rsidR="00F5091F" w:rsidRPr="005E7CDB">
        <w:t xml:space="preserve"> </w:t>
      </w:r>
      <w:r w:rsidRPr="005E7CDB">
        <w:t>Turquie</w:t>
      </w:r>
      <w:r w:rsidR="00F5091F" w:rsidRPr="005E7CDB">
        <w:t xml:space="preserve"> </w:t>
      </w:r>
      <w:r w:rsidRPr="005E7CDB">
        <w:t>et</w:t>
      </w:r>
      <w:r w:rsidR="00F5091F" w:rsidRPr="005E7CDB">
        <w:t xml:space="preserve"> </w:t>
      </w:r>
      <w:r w:rsidRPr="005E7CDB">
        <w:t>de</w:t>
      </w:r>
      <w:r w:rsidR="00F5091F" w:rsidRPr="005E7CDB">
        <w:t xml:space="preserve"> </w:t>
      </w:r>
      <w:r w:rsidRPr="005E7CDB">
        <w:t>l’Ukraine</w:t>
      </w:r>
      <w:r w:rsidR="00F5091F" w:rsidRPr="005E7CDB">
        <w:t xml:space="preserve"> </w:t>
      </w:r>
      <w:r w:rsidRPr="005E7CDB">
        <w:t>ainsi</w:t>
      </w:r>
      <w:r w:rsidR="00F5091F" w:rsidRPr="005E7CDB">
        <w:t xml:space="preserve"> </w:t>
      </w:r>
      <w:r w:rsidRPr="005E7CDB">
        <w:t>que</w:t>
      </w:r>
      <w:r w:rsidR="00F5091F" w:rsidRPr="005E7CDB">
        <w:t xml:space="preserve"> </w:t>
      </w:r>
      <w:r w:rsidRPr="005E7CDB">
        <w:t>d’ONG,</w:t>
      </w:r>
      <w:r w:rsidR="00F5091F" w:rsidRPr="005E7CDB">
        <w:t xml:space="preserve"> </w:t>
      </w:r>
      <w:r w:rsidRPr="005E7CDB">
        <w:t>comme</w:t>
      </w:r>
      <w:r w:rsidR="00F5091F" w:rsidRPr="005E7CDB">
        <w:t xml:space="preserve"> </w:t>
      </w:r>
      <w:r w:rsidRPr="005E7CDB">
        <w:t>à</w:t>
      </w:r>
      <w:r w:rsidR="00F5091F" w:rsidRPr="005E7CDB">
        <w:t xml:space="preserve"> </w:t>
      </w:r>
      <w:r w:rsidRPr="005E7CDB">
        <w:t>l’accoutumée.</w:t>
      </w:r>
      <w:r w:rsidR="00F5091F" w:rsidRPr="005E7CDB">
        <w:t xml:space="preserve"> </w:t>
      </w:r>
      <w:r w:rsidRPr="005E7CDB">
        <w:t>Cependant,</w:t>
      </w:r>
      <w:r w:rsidR="00F5091F" w:rsidRPr="005E7CDB">
        <w:t xml:space="preserve"> </w:t>
      </w:r>
      <w:r w:rsidRPr="005E7CDB">
        <w:t>plusieurs</w:t>
      </w:r>
      <w:r w:rsidR="00F5091F" w:rsidRPr="005E7CDB">
        <w:t xml:space="preserve"> </w:t>
      </w:r>
      <w:r w:rsidRPr="005E7CDB">
        <w:t>pays</w:t>
      </w:r>
      <w:r w:rsidR="00F5091F" w:rsidRPr="005E7CDB">
        <w:t xml:space="preserve"> </w:t>
      </w:r>
      <w:r w:rsidRPr="005E7CDB">
        <w:t>en</w:t>
      </w:r>
      <w:r w:rsidR="00F5091F" w:rsidRPr="005E7CDB">
        <w:t xml:space="preserve"> </w:t>
      </w:r>
      <w:r w:rsidRPr="005E7CDB">
        <w:t>transition</w:t>
      </w:r>
      <w:r w:rsidR="00F5091F" w:rsidRPr="005E7CDB">
        <w:t xml:space="preserve"> </w:t>
      </w:r>
      <w:r w:rsidRPr="005E7CDB">
        <w:t>économique</w:t>
      </w:r>
      <w:r w:rsidR="00F5091F" w:rsidRPr="005E7CDB">
        <w:t xml:space="preserve"> </w:t>
      </w:r>
      <w:r w:rsidRPr="005E7CDB">
        <w:t>tels</w:t>
      </w:r>
      <w:r w:rsidR="00F5091F" w:rsidRPr="005E7CDB">
        <w:t xml:space="preserve"> </w:t>
      </w:r>
      <w:r w:rsidRPr="005E7CDB">
        <w:t>que</w:t>
      </w:r>
      <w:r w:rsidR="00F5091F" w:rsidRPr="005E7CDB">
        <w:t xml:space="preserve"> </w:t>
      </w:r>
      <w:r w:rsidRPr="005E7CDB">
        <w:t>l’Albanie,</w:t>
      </w:r>
      <w:r w:rsidR="00F5091F" w:rsidRPr="005E7CDB">
        <w:t xml:space="preserve"> </w:t>
      </w:r>
      <w:r w:rsidRPr="005E7CDB">
        <w:t>l’Azerbaïdjan,</w:t>
      </w:r>
      <w:r w:rsidR="00F5091F" w:rsidRPr="005E7CDB">
        <w:t xml:space="preserve"> </w:t>
      </w:r>
      <w:r w:rsidRPr="005E7CDB">
        <w:t>le</w:t>
      </w:r>
      <w:r w:rsidR="00F5091F" w:rsidRPr="005E7CDB">
        <w:t xml:space="preserve"> </w:t>
      </w:r>
      <w:r w:rsidRPr="005E7CDB">
        <w:t>Bélarus,</w:t>
      </w:r>
      <w:r w:rsidR="00F5091F" w:rsidRPr="005E7CDB">
        <w:t xml:space="preserve"> </w:t>
      </w:r>
      <w:r w:rsidR="006750E9" w:rsidRPr="005E7CDB">
        <w:t>l’ex</w:t>
      </w:r>
      <w:r w:rsidR="006750E9" w:rsidRPr="005E7CDB">
        <w:noBreakHyphen/>
      </w:r>
      <w:r w:rsidRPr="005E7CDB">
        <w:t>République</w:t>
      </w:r>
      <w:r w:rsidR="00F5091F" w:rsidRPr="005E7CDB">
        <w:t xml:space="preserve"> </w:t>
      </w:r>
      <w:r w:rsidRPr="005E7CDB">
        <w:t>yougoslave</w:t>
      </w:r>
      <w:r w:rsidR="00F5091F" w:rsidRPr="005E7CDB">
        <w:t xml:space="preserve"> </w:t>
      </w:r>
      <w:r w:rsidRPr="005E7CDB">
        <w:t>de</w:t>
      </w:r>
      <w:r w:rsidR="00F5091F" w:rsidRPr="005E7CDB">
        <w:t xml:space="preserve"> </w:t>
      </w:r>
      <w:r w:rsidRPr="005E7CDB">
        <w:t>Macédoine,</w:t>
      </w:r>
      <w:r w:rsidR="00F5091F" w:rsidRPr="005E7CDB">
        <w:t xml:space="preserve"> </w:t>
      </w:r>
      <w:r w:rsidRPr="005E7CDB">
        <w:t>la</w:t>
      </w:r>
      <w:r w:rsidR="00F5091F" w:rsidRPr="005E7CDB">
        <w:t xml:space="preserve"> </w:t>
      </w:r>
      <w:r w:rsidRPr="005E7CDB">
        <w:t>Géorgie,</w:t>
      </w:r>
      <w:r w:rsidR="00F5091F" w:rsidRPr="005E7CDB">
        <w:t xml:space="preserve"> </w:t>
      </w:r>
      <w:r w:rsidRPr="005E7CDB">
        <w:t>le</w:t>
      </w:r>
      <w:r w:rsidR="00F5091F" w:rsidRPr="005E7CDB">
        <w:t xml:space="preserve"> </w:t>
      </w:r>
      <w:r w:rsidRPr="005E7CDB">
        <w:t>Kazakhstan,</w:t>
      </w:r>
      <w:r w:rsidR="00F5091F" w:rsidRPr="005E7CDB">
        <w:t xml:space="preserve"> </w:t>
      </w:r>
      <w:r w:rsidRPr="005E7CDB">
        <w:t>le</w:t>
      </w:r>
      <w:r w:rsidR="00F5091F" w:rsidRPr="005E7CDB">
        <w:t xml:space="preserve"> </w:t>
      </w:r>
      <w:r w:rsidRPr="005E7CDB">
        <w:t>Maroc,</w:t>
      </w:r>
      <w:r w:rsidR="00F5091F" w:rsidRPr="005E7CDB">
        <w:t xml:space="preserve"> </w:t>
      </w:r>
      <w:r w:rsidRPr="005E7CDB">
        <w:t>la</w:t>
      </w:r>
      <w:r w:rsidR="00F5091F" w:rsidRPr="005E7CDB">
        <w:t xml:space="preserve"> </w:t>
      </w:r>
      <w:r w:rsidRPr="005E7CDB">
        <w:t>République</w:t>
      </w:r>
      <w:r w:rsidR="00F5091F" w:rsidRPr="005E7CDB">
        <w:t xml:space="preserve"> </w:t>
      </w:r>
      <w:r w:rsidRPr="005E7CDB">
        <w:t>de</w:t>
      </w:r>
      <w:r w:rsidR="00F5091F" w:rsidRPr="005E7CDB">
        <w:t xml:space="preserve"> </w:t>
      </w:r>
      <w:r w:rsidRPr="005E7CDB">
        <w:t>Moldova</w:t>
      </w:r>
      <w:r w:rsidR="00F5091F" w:rsidRPr="005E7CDB">
        <w:t xml:space="preserve"> </w:t>
      </w:r>
      <w:r w:rsidRPr="005E7CDB">
        <w:t>et</w:t>
      </w:r>
      <w:r w:rsidR="00F5091F" w:rsidRPr="005E7CDB">
        <w:t xml:space="preserve"> </w:t>
      </w:r>
      <w:r w:rsidRPr="005E7CDB">
        <w:t>la</w:t>
      </w:r>
      <w:r w:rsidR="00F5091F" w:rsidRPr="005E7CDB">
        <w:t xml:space="preserve"> </w:t>
      </w:r>
      <w:r w:rsidRPr="005E7CDB">
        <w:t>Tunisie</w:t>
      </w:r>
      <w:r w:rsidR="00F5091F" w:rsidRPr="005E7CDB">
        <w:t xml:space="preserve"> </w:t>
      </w:r>
      <w:r w:rsidRPr="005E7CDB">
        <w:t>ne</w:t>
      </w:r>
      <w:r w:rsidR="00F5091F" w:rsidRPr="005E7CDB">
        <w:t xml:space="preserve"> </w:t>
      </w:r>
      <w:r w:rsidRPr="005E7CDB">
        <w:t>sont</w:t>
      </w:r>
      <w:r w:rsidR="00F5091F" w:rsidRPr="005E7CDB">
        <w:t xml:space="preserve"> </w:t>
      </w:r>
      <w:r w:rsidRPr="005E7CDB">
        <w:t>toujours</w:t>
      </w:r>
      <w:r w:rsidR="00F5091F" w:rsidRPr="005E7CDB">
        <w:t xml:space="preserve"> </w:t>
      </w:r>
      <w:r w:rsidRPr="005E7CDB">
        <w:t>pas</w:t>
      </w:r>
      <w:r w:rsidR="00F5091F" w:rsidRPr="005E7CDB">
        <w:t xml:space="preserve"> </w:t>
      </w:r>
      <w:r w:rsidRPr="005E7CDB">
        <w:t>représentés,</w:t>
      </w:r>
      <w:r w:rsidR="00F5091F" w:rsidRPr="005E7CDB">
        <w:t xml:space="preserve"> </w:t>
      </w:r>
      <w:r w:rsidRPr="005E7CDB">
        <w:t>probablement</w:t>
      </w:r>
      <w:r w:rsidR="00F5091F" w:rsidRPr="005E7CDB">
        <w:t xml:space="preserve"> </w:t>
      </w:r>
      <w:r w:rsidRPr="005E7CDB">
        <w:t>en</w:t>
      </w:r>
      <w:r w:rsidR="00F5091F" w:rsidRPr="005E7CDB">
        <w:t xml:space="preserve"> </w:t>
      </w:r>
      <w:r w:rsidRPr="005E7CDB">
        <w:t>raison</w:t>
      </w:r>
      <w:r w:rsidR="00F5091F" w:rsidRPr="005E7CDB">
        <w:t xml:space="preserve"> </w:t>
      </w:r>
      <w:r w:rsidRPr="005E7CDB">
        <w:t>de</w:t>
      </w:r>
      <w:r w:rsidR="00F5091F" w:rsidRPr="005E7CDB">
        <w:t xml:space="preserve"> </w:t>
      </w:r>
      <w:r w:rsidRPr="005E7CDB">
        <w:t>contraintes</w:t>
      </w:r>
      <w:r w:rsidR="00F5091F" w:rsidRPr="005E7CDB">
        <w:t xml:space="preserve"> </w:t>
      </w:r>
      <w:r w:rsidRPr="005E7CDB">
        <w:t>financières.</w:t>
      </w:r>
      <w:r w:rsidR="00F5091F" w:rsidRPr="005E7CDB">
        <w:t xml:space="preserve"> </w:t>
      </w:r>
      <w:r w:rsidRPr="005E7CDB">
        <w:t>Or</w:t>
      </w:r>
      <w:r w:rsidR="00F5091F" w:rsidRPr="005E7CDB">
        <w:t xml:space="preserve"> </w:t>
      </w:r>
      <w:r w:rsidRPr="005E7CDB">
        <w:t>ces</w:t>
      </w:r>
      <w:r w:rsidR="00F5091F" w:rsidRPr="005E7CDB">
        <w:t xml:space="preserve"> </w:t>
      </w:r>
      <w:r w:rsidRPr="005E7CDB">
        <w:t>pays</w:t>
      </w:r>
      <w:r w:rsidR="00F5091F" w:rsidRPr="005E7CDB">
        <w:t xml:space="preserve"> </w:t>
      </w:r>
      <w:r w:rsidRPr="005E7CDB">
        <w:t>auraient</w:t>
      </w:r>
      <w:r w:rsidR="00F5091F" w:rsidRPr="005E7CDB">
        <w:t xml:space="preserve"> </w:t>
      </w:r>
      <w:r w:rsidRPr="005E7CDB">
        <w:t>à</w:t>
      </w:r>
      <w:r w:rsidR="00F5091F" w:rsidRPr="005E7CDB">
        <w:t xml:space="preserve"> </w:t>
      </w:r>
      <w:r w:rsidRPr="005E7CDB">
        <w:t>gagner</w:t>
      </w:r>
      <w:r w:rsidR="00F5091F" w:rsidRPr="005E7CDB">
        <w:t xml:space="preserve"> </w:t>
      </w:r>
      <w:r w:rsidRPr="005E7CDB">
        <w:t>à</w:t>
      </w:r>
      <w:r w:rsidR="00F5091F" w:rsidRPr="005E7CDB">
        <w:t xml:space="preserve"> </w:t>
      </w:r>
      <w:r w:rsidRPr="005E7CDB">
        <w:t>participer</w:t>
      </w:r>
      <w:r w:rsidR="00F5091F" w:rsidRPr="005E7CDB">
        <w:t xml:space="preserve"> </w:t>
      </w:r>
      <w:r w:rsidRPr="005E7CDB">
        <w:t>davantage</w:t>
      </w:r>
      <w:r w:rsidR="00F5091F" w:rsidRPr="005E7CDB">
        <w:t xml:space="preserve"> </w:t>
      </w:r>
      <w:r w:rsidRPr="005E7CDB">
        <w:t>aux</w:t>
      </w:r>
      <w:r w:rsidR="00F5091F" w:rsidRPr="005E7CDB">
        <w:t xml:space="preserve"> </w:t>
      </w:r>
      <w:r w:rsidRPr="005E7CDB">
        <w:t>réunions,</w:t>
      </w:r>
      <w:r w:rsidR="00F5091F" w:rsidRPr="005E7CDB">
        <w:t xml:space="preserve"> </w:t>
      </w:r>
      <w:r w:rsidRPr="005E7CDB">
        <w:t>non</w:t>
      </w:r>
      <w:r w:rsidR="00F5091F" w:rsidRPr="005E7CDB">
        <w:t xml:space="preserve"> </w:t>
      </w:r>
      <w:r w:rsidRPr="005E7CDB">
        <w:t>seulement</w:t>
      </w:r>
      <w:r w:rsidR="00F5091F" w:rsidRPr="005E7CDB">
        <w:t xml:space="preserve"> </w:t>
      </w:r>
      <w:r w:rsidRPr="005E7CDB">
        <w:t>pour</w:t>
      </w:r>
      <w:r w:rsidR="00F5091F" w:rsidRPr="005E7CDB">
        <w:t xml:space="preserve"> </w:t>
      </w:r>
      <w:r w:rsidRPr="005E7CDB">
        <w:t>mieux</w:t>
      </w:r>
      <w:r w:rsidR="00F5091F" w:rsidRPr="005E7CDB">
        <w:t xml:space="preserve"> </w:t>
      </w:r>
      <w:r w:rsidRPr="005E7CDB">
        <w:t>prendre</w:t>
      </w:r>
      <w:r w:rsidR="00F5091F" w:rsidRPr="005E7CDB">
        <w:t xml:space="preserve"> </w:t>
      </w:r>
      <w:r w:rsidRPr="005E7CDB">
        <w:t>part</w:t>
      </w:r>
      <w:r w:rsidR="00F5091F" w:rsidRPr="005E7CDB">
        <w:t xml:space="preserve"> </w:t>
      </w:r>
      <w:r w:rsidRPr="005E7CDB">
        <w:t>au</w:t>
      </w:r>
      <w:r w:rsidR="00F5091F" w:rsidRPr="005E7CDB">
        <w:t xml:space="preserve"> </w:t>
      </w:r>
      <w:r w:rsidRPr="005E7CDB">
        <w:t>processus</w:t>
      </w:r>
      <w:r w:rsidR="00F5091F" w:rsidRPr="005E7CDB">
        <w:t xml:space="preserve"> </w:t>
      </w:r>
      <w:r w:rsidRPr="005E7CDB">
        <w:t>d’actualisation,</w:t>
      </w:r>
      <w:r w:rsidR="00F5091F" w:rsidRPr="005E7CDB">
        <w:t xml:space="preserve"> </w:t>
      </w:r>
      <w:r w:rsidRPr="005E7CDB">
        <w:t>mais</w:t>
      </w:r>
      <w:r w:rsidR="00F5091F" w:rsidRPr="005E7CDB">
        <w:t xml:space="preserve"> </w:t>
      </w:r>
      <w:r w:rsidRPr="005E7CDB">
        <w:t>aussi</w:t>
      </w:r>
      <w:r w:rsidR="00F5091F" w:rsidRPr="005E7CDB">
        <w:t xml:space="preserve"> </w:t>
      </w:r>
      <w:r w:rsidRPr="005E7CDB">
        <w:lastRenderedPageBreak/>
        <w:t>pour</w:t>
      </w:r>
      <w:r w:rsidR="00F5091F" w:rsidRPr="005E7CDB">
        <w:t xml:space="preserve"> </w:t>
      </w:r>
      <w:r w:rsidRPr="005E7CDB">
        <w:t>pouvoir</w:t>
      </w:r>
      <w:r w:rsidR="00F5091F" w:rsidRPr="005E7CDB">
        <w:t xml:space="preserve"> </w:t>
      </w:r>
      <w:r w:rsidRPr="005E7CDB">
        <w:t>faire</w:t>
      </w:r>
      <w:r w:rsidR="00F5091F" w:rsidRPr="005E7CDB">
        <w:t xml:space="preserve"> </w:t>
      </w:r>
      <w:r w:rsidRPr="005E7CDB">
        <w:t>connaître</w:t>
      </w:r>
      <w:r w:rsidR="00F5091F" w:rsidRPr="005E7CDB">
        <w:t xml:space="preserve"> </w:t>
      </w:r>
      <w:r w:rsidRPr="005E7CDB">
        <w:t>les</w:t>
      </w:r>
      <w:r w:rsidR="00F5091F" w:rsidRPr="005E7CDB">
        <w:t xml:space="preserve"> </w:t>
      </w:r>
      <w:r w:rsidRPr="005E7CDB">
        <w:t>problèmes</w:t>
      </w:r>
      <w:r w:rsidR="00F5091F" w:rsidRPr="005E7CDB">
        <w:t xml:space="preserve"> </w:t>
      </w:r>
      <w:r w:rsidRPr="005E7CDB">
        <w:t>de</w:t>
      </w:r>
      <w:r w:rsidR="00F5091F" w:rsidRPr="005E7CDB">
        <w:t xml:space="preserve"> </w:t>
      </w:r>
      <w:r w:rsidRPr="005E7CDB">
        <w:t>mise</w:t>
      </w:r>
      <w:r w:rsidR="00F5091F" w:rsidRPr="005E7CDB">
        <w:t xml:space="preserve"> </w:t>
      </w:r>
      <w:r w:rsidRPr="005E7CDB">
        <w:t>en</w:t>
      </w:r>
      <w:r w:rsidR="00F5091F" w:rsidRPr="005E7CDB">
        <w:t xml:space="preserve"> </w:t>
      </w:r>
      <w:r w:rsidRPr="005E7CDB">
        <w:t>œuvre</w:t>
      </w:r>
      <w:r w:rsidR="00F5091F" w:rsidRPr="005E7CDB">
        <w:t xml:space="preserve"> </w:t>
      </w:r>
      <w:r w:rsidRPr="005E7CDB">
        <w:t>qu’ils</w:t>
      </w:r>
      <w:r w:rsidR="00F5091F" w:rsidRPr="005E7CDB">
        <w:t xml:space="preserve"> </w:t>
      </w:r>
      <w:r w:rsidRPr="005E7CDB">
        <w:t>peuvent</w:t>
      </w:r>
      <w:r w:rsidR="00F5091F" w:rsidRPr="005E7CDB">
        <w:t xml:space="preserve"> </w:t>
      </w:r>
      <w:r w:rsidRPr="005E7CDB">
        <w:t>avoir</w:t>
      </w:r>
      <w:r w:rsidR="00F5091F" w:rsidRPr="005E7CDB">
        <w:t xml:space="preserve"> </w:t>
      </w:r>
      <w:r w:rsidRPr="005E7CDB">
        <w:t>à</w:t>
      </w:r>
      <w:r w:rsidR="00F5091F" w:rsidRPr="005E7CDB">
        <w:t xml:space="preserve"> </w:t>
      </w:r>
      <w:r w:rsidRPr="005E7CDB">
        <w:t>des</w:t>
      </w:r>
      <w:r w:rsidR="00F5091F" w:rsidRPr="005E7CDB">
        <w:t xml:space="preserve"> </w:t>
      </w:r>
      <w:r w:rsidRPr="005E7CDB">
        <w:t>pays</w:t>
      </w:r>
      <w:r w:rsidR="00F5091F" w:rsidRPr="005E7CDB">
        <w:t xml:space="preserve"> </w:t>
      </w:r>
      <w:r w:rsidRPr="005E7CDB">
        <w:t>plus</w:t>
      </w:r>
      <w:r w:rsidR="00F5091F" w:rsidRPr="005E7CDB">
        <w:t xml:space="preserve"> </w:t>
      </w:r>
      <w:r w:rsidRPr="005E7CDB">
        <w:t>expérimentés</w:t>
      </w:r>
      <w:r w:rsidR="00F5091F" w:rsidRPr="005E7CDB">
        <w:t xml:space="preserve"> </w:t>
      </w:r>
      <w:r w:rsidRPr="005E7CDB">
        <w:t>et</w:t>
      </w:r>
      <w:r w:rsidR="00F5091F" w:rsidRPr="005E7CDB">
        <w:t xml:space="preserve"> </w:t>
      </w:r>
      <w:r w:rsidRPr="005E7CDB">
        <w:t>pour</w:t>
      </w:r>
      <w:r w:rsidR="00F5091F" w:rsidRPr="005E7CDB">
        <w:t xml:space="preserve"> </w:t>
      </w:r>
      <w:r w:rsidRPr="005E7CDB">
        <w:t>les</w:t>
      </w:r>
      <w:r w:rsidR="00F5091F" w:rsidRPr="005E7CDB">
        <w:t xml:space="preserve"> </w:t>
      </w:r>
      <w:r w:rsidRPr="005E7CDB">
        <w:t>examiner</w:t>
      </w:r>
      <w:r w:rsidR="00F5091F" w:rsidRPr="005E7CDB">
        <w:t xml:space="preserve"> </w:t>
      </w:r>
      <w:r w:rsidRPr="005E7CDB">
        <w:t>avec</w:t>
      </w:r>
      <w:r w:rsidR="00F5091F" w:rsidRPr="005E7CDB">
        <w:t xml:space="preserve"> </w:t>
      </w:r>
      <w:r w:rsidRPr="005E7CDB">
        <w:t>eux.</w:t>
      </w:r>
      <w:r w:rsidR="00F5091F" w:rsidRPr="005E7CDB">
        <w:t xml:space="preserve"> </w:t>
      </w:r>
      <w:r w:rsidRPr="005E7CDB">
        <w:t>Malheureusement,</w:t>
      </w:r>
      <w:r w:rsidR="00F5091F" w:rsidRPr="005E7CDB">
        <w:t xml:space="preserve"> </w:t>
      </w:r>
      <w:r w:rsidRPr="005E7CDB">
        <w:t>des</w:t>
      </w:r>
      <w:r w:rsidR="00F5091F" w:rsidRPr="005E7CDB">
        <w:t xml:space="preserve"> </w:t>
      </w:r>
      <w:r w:rsidRPr="005E7CDB">
        <w:t>fonds</w:t>
      </w:r>
      <w:r w:rsidR="00F5091F" w:rsidRPr="005E7CDB">
        <w:t xml:space="preserve"> </w:t>
      </w:r>
      <w:r w:rsidRPr="005E7CDB">
        <w:t>et</w:t>
      </w:r>
      <w:r w:rsidR="00F5091F" w:rsidRPr="005E7CDB">
        <w:t xml:space="preserve"> </w:t>
      </w:r>
      <w:r w:rsidRPr="005E7CDB">
        <w:t>des</w:t>
      </w:r>
      <w:r w:rsidR="00F5091F" w:rsidRPr="005E7CDB">
        <w:t xml:space="preserve"> </w:t>
      </w:r>
      <w:r w:rsidRPr="005E7CDB">
        <w:t>ressources</w:t>
      </w:r>
      <w:r w:rsidR="00F5091F" w:rsidRPr="005E7CDB">
        <w:t xml:space="preserve"> </w:t>
      </w:r>
      <w:r w:rsidRPr="005E7CDB">
        <w:t>en</w:t>
      </w:r>
      <w:r w:rsidR="00F5091F" w:rsidRPr="005E7CDB">
        <w:t xml:space="preserve"> </w:t>
      </w:r>
      <w:r w:rsidRPr="005E7CDB">
        <w:t>personnel</w:t>
      </w:r>
      <w:r w:rsidR="00F5091F" w:rsidRPr="005E7CDB">
        <w:t xml:space="preserve"> </w:t>
      </w:r>
      <w:r w:rsidRPr="005E7CDB">
        <w:t>pour</w:t>
      </w:r>
      <w:r w:rsidR="00F5091F" w:rsidRPr="005E7CDB">
        <w:t xml:space="preserve"> </w:t>
      </w:r>
      <w:r w:rsidRPr="005E7CDB">
        <w:t>l’assistance</w:t>
      </w:r>
      <w:r w:rsidR="00F5091F" w:rsidRPr="005E7CDB">
        <w:t xml:space="preserve"> </w:t>
      </w:r>
      <w:r w:rsidRPr="005E7CDB">
        <w:t>technique</w:t>
      </w:r>
      <w:r w:rsidR="00F5091F" w:rsidRPr="005E7CDB">
        <w:t xml:space="preserve"> </w:t>
      </w:r>
      <w:r w:rsidRPr="005E7CDB">
        <w:t>demeurent</w:t>
      </w:r>
      <w:r w:rsidR="00F5091F" w:rsidRPr="005E7CDB">
        <w:t xml:space="preserve"> </w:t>
      </w:r>
      <w:r w:rsidRPr="005E7CDB">
        <w:t>rares</w:t>
      </w:r>
      <w:r w:rsidR="00F5091F" w:rsidRPr="005E7CDB">
        <w:t xml:space="preserve"> ; </w:t>
      </w:r>
      <w:r w:rsidRPr="005E7CDB">
        <w:t>cependant,</w:t>
      </w:r>
      <w:r w:rsidR="00F5091F" w:rsidRPr="005E7CDB">
        <w:t xml:space="preserve"> </w:t>
      </w:r>
      <w:r w:rsidRPr="005E7CDB">
        <w:t>la</w:t>
      </w:r>
      <w:r w:rsidR="00F5091F" w:rsidRPr="005E7CDB">
        <w:t xml:space="preserve"> </w:t>
      </w:r>
      <w:r w:rsidRPr="005E7CDB">
        <w:t>Division</w:t>
      </w:r>
      <w:r w:rsidR="00F5091F" w:rsidRPr="005E7CDB">
        <w:t xml:space="preserve"> </w:t>
      </w:r>
      <w:r w:rsidRPr="005E7CDB">
        <w:t>des</w:t>
      </w:r>
      <w:r w:rsidR="00F5091F" w:rsidRPr="005E7CDB">
        <w:t xml:space="preserve"> </w:t>
      </w:r>
      <w:r w:rsidRPr="005E7CDB">
        <w:t>transports</w:t>
      </w:r>
      <w:r w:rsidR="00F5091F" w:rsidRPr="005E7CDB">
        <w:t xml:space="preserve"> </w:t>
      </w:r>
      <w:r w:rsidRPr="005E7CDB">
        <w:t>durables</w:t>
      </w:r>
      <w:r w:rsidR="00F5091F" w:rsidRPr="005E7CDB">
        <w:t xml:space="preserve"> </w:t>
      </w:r>
      <w:r w:rsidRPr="005E7CDB">
        <w:t>pourrait</w:t>
      </w:r>
      <w:r w:rsidR="00F5091F" w:rsidRPr="005E7CDB">
        <w:t xml:space="preserve"> </w:t>
      </w:r>
      <w:r w:rsidRPr="005E7CDB">
        <w:t>participer</w:t>
      </w:r>
      <w:r w:rsidR="00F5091F" w:rsidRPr="005E7CDB">
        <w:t xml:space="preserve"> </w:t>
      </w:r>
      <w:r w:rsidRPr="005E7CDB">
        <w:t>en</w:t>
      </w:r>
      <w:r w:rsidR="00F5091F" w:rsidRPr="005E7CDB">
        <w:t xml:space="preserve"> </w:t>
      </w:r>
      <w:r w:rsidRPr="005E7CDB">
        <w:t>2016</w:t>
      </w:r>
      <w:r w:rsidR="00F5091F" w:rsidRPr="005E7CDB">
        <w:t xml:space="preserve"> </w:t>
      </w:r>
      <w:r w:rsidRPr="005E7CDB">
        <w:t>à</w:t>
      </w:r>
      <w:r w:rsidR="00F5091F" w:rsidRPr="005E7CDB">
        <w:t xml:space="preserve"> </w:t>
      </w:r>
      <w:r w:rsidRPr="005E7CDB">
        <w:t>la</w:t>
      </w:r>
      <w:r w:rsidR="00F5091F" w:rsidRPr="005E7CDB">
        <w:t xml:space="preserve"> </w:t>
      </w:r>
      <w:r w:rsidRPr="005E7CDB">
        <w:t>préparation</w:t>
      </w:r>
      <w:r w:rsidR="00F5091F" w:rsidRPr="005E7CDB">
        <w:t xml:space="preserve"> </w:t>
      </w:r>
      <w:r w:rsidRPr="005E7CDB">
        <w:t>de</w:t>
      </w:r>
      <w:r w:rsidR="00F5091F" w:rsidRPr="005E7CDB">
        <w:t xml:space="preserve"> </w:t>
      </w:r>
      <w:r w:rsidRPr="005E7CDB">
        <w:t>l’étude</w:t>
      </w:r>
      <w:r w:rsidR="00F5091F" w:rsidRPr="005E7CDB">
        <w:t xml:space="preserve"> </w:t>
      </w:r>
      <w:r w:rsidRPr="005E7CDB">
        <w:t>de</w:t>
      </w:r>
      <w:r w:rsidR="00F5091F" w:rsidRPr="005E7CDB">
        <w:t xml:space="preserve"> </w:t>
      </w:r>
      <w:r w:rsidRPr="005E7CDB">
        <w:t>performance</w:t>
      </w:r>
      <w:r w:rsidR="00F5091F" w:rsidRPr="005E7CDB">
        <w:t xml:space="preserve"> </w:t>
      </w:r>
      <w:r w:rsidRPr="005E7CDB">
        <w:t>en</w:t>
      </w:r>
      <w:r w:rsidR="00F5091F" w:rsidRPr="005E7CDB">
        <w:t xml:space="preserve"> </w:t>
      </w:r>
      <w:r w:rsidRPr="005E7CDB">
        <w:t>matière</w:t>
      </w:r>
      <w:r w:rsidR="00F5091F" w:rsidRPr="005E7CDB">
        <w:t xml:space="preserve"> </w:t>
      </w:r>
      <w:r w:rsidRPr="005E7CDB">
        <w:t>de</w:t>
      </w:r>
      <w:r w:rsidR="00F5091F" w:rsidRPr="005E7CDB">
        <w:t xml:space="preserve"> </w:t>
      </w:r>
      <w:r w:rsidRPr="005E7CDB">
        <w:t>sécurité</w:t>
      </w:r>
      <w:r w:rsidR="00F5091F" w:rsidRPr="005E7CDB">
        <w:t xml:space="preserve"> </w:t>
      </w:r>
      <w:r w:rsidRPr="005E7CDB">
        <w:t>routière</w:t>
      </w:r>
      <w:r w:rsidR="00F5091F" w:rsidRPr="005E7CDB">
        <w:t xml:space="preserve"> </w:t>
      </w:r>
      <w:r w:rsidRPr="005E7CDB">
        <w:t>de</w:t>
      </w:r>
      <w:r w:rsidR="00F5091F" w:rsidRPr="005E7CDB">
        <w:t xml:space="preserve"> </w:t>
      </w:r>
      <w:r w:rsidRPr="005E7CDB">
        <w:t>la</w:t>
      </w:r>
      <w:r w:rsidR="00F5091F" w:rsidRPr="005E7CDB">
        <w:t xml:space="preserve"> </w:t>
      </w:r>
      <w:r w:rsidRPr="005E7CDB">
        <w:t>CEE</w:t>
      </w:r>
      <w:r w:rsidR="00F5091F" w:rsidRPr="005E7CDB">
        <w:t xml:space="preserve"> </w:t>
      </w:r>
      <w:r w:rsidRPr="005E7CDB">
        <w:t>en</w:t>
      </w:r>
      <w:r w:rsidR="00F5091F" w:rsidRPr="005E7CDB">
        <w:t xml:space="preserve"> </w:t>
      </w:r>
      <w:r w:rsidRPr="005E7CDB">
        <w:t>Géorgie,</w:t>
      </w:r>
      <w:r w:rsidR="00F5091F" w:rsidRPr="005E7CDB">
        <w:t xml:space="preserve"> </w:t>
      </w:r>
      <w:r w:rsidRPr="005E7CDB">
        <w:t>qui</w:t>
      </w:r>
      <w:r w:rsidR="00F5091F" w:rsidRPr="005E7CDB">
        <w:t xml:space="preserve"> </w:t>
      </w:r>
      <w:r w:rsidRPr="005E7CDB">
        <w:t>comprend</w:t>
      </w:r>
      <w:r w:rsidR="00F5091F" w:rsidRPr="005E7CDB">
        <w:t xml:space="preserve"> </w:t>
      </w:r>
      <w:r w:rsidRPr="005E7CDB">
        <w:t>une</w:t>
      </w:r>
      <w:r w:rsidR="00F5091F" w:rsidRPr="005E7CDB">
        <w:t xml:space="preserve"> </w:t>
      </w:r>
      <w:r w:rsidRPr="005E7CDB">
        <w:t>partie</w:t>
      </w:r>
      <w:r w:rsidR="00F5091F" w:rsidRPr="005E7CDB">
        <w:t xml:space="preserve"> </w:t>
      </w:r>
      <w:r w:rsidRPr="005E7CDB">
        <w:t>sur</w:t>
      </w:r>
      <w:r w:rsidR="00F5091F" w:rsidRPr="005E7CDB">
        <w:t xml:space="preserve"> </w:t>
      </w:r>
      <w:r w:rsidRPr="005E7CDB">
        <w:t>l’ADR</w:t>
      </w:r>
      <w:r w:rsidR="00F5091F" w:rsidRPr="005E7CDB">
        <w:t xml:space="preserve"> </w:t>
      </w:r>
      <w:r w:rsidRPr="005E7CDB">
        <w:t>et</w:t>
      </w:r>
      <w:r w:rsidR="00F5091F" w:rsidRPr="005E7CDB">
        <w:t xml:space="preserve"> </w:t>
      </w:r>
      <w:r w:rsidRPr="005E7CDB">
        <w:t>le</w:t>
      </w:r>
      <w:r w:rsidR="00F5091F" w:rsidRPr="005E7CDB">
        <w:t xml:space="preserve"> </w:t>
      </w:r>
      <w:r w:rsidRPr="005E7CDB">
        <w:t>transport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987C10">
        <w:t>.</w:t>
      </w:r>
      <w:r w:rsidR="00F5091F" w:rsidRPr="005E7CDB">
        <w:t xml:space="preserve"> </w:t>
      </w:r>
      <w:r w:rsidRPr="005E7CDB">
        <w:t>La</w:t>
      </w:r>
      <w:r w:rsidR="00F5091F" w:rsidRPr="005E7CDB">
        <w:t xml:space="preserve"> </w:t>
      </w:r>
      <w:r w:rsidRPr="005E7CDB">
        <w:t>Division</w:t>
      </w:r>
      <w:r w:rsidR="00F5091F" w:rsidRPr="005E7CDB">
        <w:t xml:space="preserve"> </w:t>
      </w:r>
      <w:r w:rsidRPr="005E7CDB">
        <w:t>des</w:t>
      </w:r>
      <w:r w:rsidR="00F5091F" w:rsidRPr="005E7CDB">
        <w:t xml:space="preserve"> </w:t>
      </w:r>
      <w:r w:rsidRPr="005E7CDB">
        <w:t>transports</w:t>
      </w:r>
      <w:r w:rsidR="00F5091F" w:rsidRPr="005E7CDB">
        <w:t xml:space="preserve"> </w:t>
      </w:r>
      <w:r w:rsidRPr="005E7CDB">
        <w:t>durables</w:t>
      </w:r>
      <w:r w:rsidR="00F5091F" w:rsidRPr="005E7CDB">
        <w:t xml:space="preserve"> </w:t>
      </w:r>
      <w:r w:rsidRPr="005E7CDB">
        <w:t>a</w:t>
      </w:r>
      <w:r w:rsidR="00F5091F" w:rsidRPr="005E7CDB">
        <w:t xml:space="preserve"> </w:t>
      </w:r>
      <w:r w:rsidRPr="005E7CDB">
        <w:t>d’ores</w:t>
      </w:r>
      <w:r w:rsidR="00F5091F" w:rsidRPr="005E7CDB">
        <w:t xml:space="preserve"> </w:t>
      </w:r>
      <w:r w:rsidRPr="005E7CDB">
        <w:t>et</w:t>
      </w:r>
      <w:r w:rsidR="00F5091F" w:rsidRPr="005E7CDB">
        <w:t xml:space="preserve"> </w:t>
      </w:r>
      <w:r w:rsidRPr="005E7CDB">
        <w:t>déjà</w:t>
      </w:r>
      <w:r w:rsidR="00F5091F" w:rsidRPr="005E7CDB">
        <w:t xml:space="preserve"> </w:t>
      </w:r>
      <w:r w:rsidRPr="005E7CDB">
        <w:t>participé</w:t>
      </w:r>
      <w:r w:rsidR="00F5091F" w:rsidRPr="005E7CDB">
        <w:t xml:space="preserve"> </w:t>
      </w:r>
      <w:r w:rsidRPr="005E7CDB">
        <w:t>à</w:t>
      </w:r>
      <w:r w:rsidR="00F5091F" w:rsidRPr="005E7CDB">
        <w:t xml:space="preserve"> </w:t>
      </w:r>
      <w:r w:rsidRPr="005E7CDB">
        <w:t>une</w:t>
      </w:r>
      <w:r w:rsidR="00F5091F" w:rsidRPr="005E7CDB">
        <w:t xml:space="preserve"> </w:t>
      </w:r>
      <w:r w:rsidRPr="005E7CDB">
        <w:t>série</w:t>
      </w:r>
      <w:r w:rsidR="00F5091F" w:rsidRPr="005E7CDB">
        <w:t xml:space="preserve"> </w:t>
      </w:r>
      <w:r w:rsidRPr="005E7CDB">
        <w:t>de</w:t>
      </w:r>
      <w:r w:rsidR="00F5091F" w:rsidRPr="005E7CDB">
        <w:t xml:space="preserve"> </w:t>
      </w:r>
      <w:r w:rsidRPr="005E7CDB">
        <w:t>séminaires</w:t>
      </w:r>
      <w:r w:rsidR="00F5091F" w:rsidRPr="005E7CDB">
        <w:t xml:space="preserve"> </w:t>
      </w:r>
      <w:r w:rsidRPr="005E7CDB">
        <w:t>lancée</w:t>
      </w:r>
      <w:r w:rsidR="00F5091F" w:rsidRPr="005E7CDB">
        <w:t xml:space="preserve"> </w:t>
      </w:r>
      <w:r w:rsidRPr="005E7CDB">
        <w:t>par</w:t>
      </w:r>
      <w:r w:rsidR="00F5091F" w:rsidRPr="005E7CDB">
        <w:t xml:space="preserve"> </w:t>
      </w:r>
      <w:r w:rsidRPr="005E7CDB">
        <w:t>l’Union</w:t>
      </w:r>
      <w:r w:rsidR="00F5091F" w:rsidRPr="005E7CDB">
        <w:t xml:space="preserve"> </w:t>
      </w:r>
      <w:r w:rsidRPr="005E7CDB">
        <w:t>européenne</w:t>
      </w:r>
      <w:r w:rsidR="00F5091F" w:rsidRPr="005E7CDB">
        <w:t xml:space="preserve"> </w:t>
      </w:r>
      <w:r w:rsidRPr="005E7CDB">
        <w:t>dans</w:t>
      </w:r>
      <w:r w:rsidR="00F5091F" w:rsidRPr="005E7CDB">
        <w:t xml:space="preserve"> </w:t>
      </w:r>
      <w:r w:rsidRPr="005E7CDB">
        <w:t>le</w:t>
      </w:r>
      <w:r w:rsidR="00F5091F" w:rsidRPr="005E7CDB">
        <w:t xml:space="preserve"> </w:t>
      </w:r>
      <w:r w:rsidRPr="005E7CDB">
        <w:t>cadre</w:t>
      </w:r>
      <w:r w:rsidR="00F5091F" w:rsidRPr="005E7CDB">
        <w:t xml:space="preserve"> </w:t>
      </w:r>
      <w:r w:rsidRPr="005E7CDB">
        <w:t>de</w:t>
      </w:r>
      <w:r w:rsidR="00F5091F" w:rsidRPr="005E7CDB">
        <w:t xml:space="preserve"> </w:t>
      </w:r>
      <w:r w:rsidRPr="005E7CDB">
        <w:t>son</w:t>
      </w:r>
      <w:r w:rsidR="00F5091F" w:rsidRPr="005E7CDB">
        <w:t xml:space="preserve"> </w:t>
      </w:r>
      <w:r w:rsidRPr="005E7CDB">
        <w:t>projet</w:t>
      </w:r>
      <w:r w:rsidR="00F5091F" w:rsidRPr="005E7CDB">
        <w:t xml:space="preserve"> </w:t>
      </w:r>
      <w:r w:rsidRPr="005E7CDB">
        <w:t>EuroMed</w:t>
      </w:r>
      <w:r w:rsidR="00F5091F" w:rsidRPr="005E7CDB">
        <w:t xml:space="preserve"> </w:t>
      </w:r>
      <w:r w:rsidRPr="005E7CDB">
        <w:t>en</w:t>
      </w:r>
      <w:r w:rsidR="00F5091F" w:rsidRPr="005E7CDB">
        <w:t xml:space="preserve"> </w:t>
      </w:r>
      <w:r w:rsidRPr="005E7CDB">
        <w:t>Afrique</w:t>
      </w:r>
      <w:r w:rsidR="00F5091F" w:rsidRPr="005E7CDB">
        <w:t xml:space="preserve"> </w:t>
      </w:r>
      <w:r w:rsidRPr="005E7CDB">
        <w:t>du</w:t>
      </w:r>
      <w:r w:rsidR="00F5091F" w:rsidRPr="005E7CDB">
        <w:t xml:space="preserve"> </w:t>
      </w:r>
      <w:r w:rsidRPr="005E7CDB">
        <w:t>Nord</w:t>
      </w:r>
      <w:r w:rsidR="00F5091F" w:rsidRPr="005E7CDB">
        <w:t xml:space="preserve"> </w:t>
      </w:r>
      <w:r w:rsidRPr="005E7CDB">
        <w:t>et</w:t>
      </w:r>
      <w:r w:rsidR="00F5091F" w:rsidRPr="005E7CDB">
        <w:t xml:space="preserve"> </w:t>
      </w:r>
      <w:r w:rsidRPr="005E7CDB">
        <w:t>dans</w:t>
      </w:r>
      <w:r w:rsidR="00F5091F" w:rsidRPr="005E7CDB">
        <w:t xml:space="preserve"> </w:t>
      </w:r>
      <w:r w:rsidRPr="005E7CDB">
        <w:t>les</w:t>
      </w:r>
      <w:r w:rsidR="00F5091F" w:rsidRPr="005E7CDB">
        <w:t xml:space="preserve"> </w:t>
      </w:r>
      <w:r w:rsidRPr="005E7CDB">
        <w:t>pays</w:t>
      </w:r>
      <w:r w:rsidR="00F5091F" w:rsidRPr="005E7CDB">
        <w:t xml:space="preserve"> </w:t>
      </w:r>
      <w:r w:rsidRPr="005E7CDB">
        <w:t>du</w:t>
      </w:r>
      <w:r w:rsidR="00F5091F" w:rsidRPr="005E7CDB">
        <w:t xml:space="preserve"> </w:t>
      </w:r>
      <w:r w:rsidRPr="005E7CDB">
        <w:t>Moyen-Orient</w:t>
      </w:r>
      <w:r w:rsidR="00F5091F" w:rsidRPr="005E7CDB">
        <w:t xml:space="preserve"> </w:t>
      </w:r>
      <w:r w:rsidRPr="005E7CDB">
        <w:t>visant</w:t>
      </w:r>
      <w:r w:rsidR="00F5091F" w:rsidRPr="005E7CDB">
        <w:t xml:space="preserve"> </w:t>
      </w:r>
      <w:r w:rsidRPr="005E7CDB">
        <w:t>à</w:t>
      </w:r>
      <w:r w:rsidR="00F5091F" w:rsidRPr="005E7CDB">
        <w:t xml:space="preserve"> </w:t>
      </w:r>
      <w:r w:rsidRPr="005E7CDB">
        <w:t>promouvoir</w:t>
      </w:r>
      <w:r w:rsidR="00F5091F" w:rsidRPr="005E7CDB">
        <w:t xml:space="preserve"> </w:t>
      </w:r>
      <w:r w:rsidRPr="005E7CDB">
        <w:t>les</w:t>
      </w:r>
      <w:r w:rsidR="00F5091F" w:rsidRPr="005E7CDB">
        <w:t xml:space="preserve"> </w:t>
      </w:r>
      <w:r w:rsidRPr="005E7CDB">
        <w:t>instruments</w:t>
      </w:r>
      <w:r w:rsidR="00F5091F" w:rsidRPr="005E7CDB">
        <w:t xml:space="preserve"> </w:t>
      </w:r>
      <w:r w:rsidRPr="005E7CDB">
        <w:t>juridiques</w:t>
      </w:r>
      <w:r w:rsidR="00F5091F" w:rsidRPr="005E7CDB">
        <w:t xml:space="preserve"> </w:t>
      </w:r>
      <w:r w:rsidRPr="005E7CDB">
        <w:t>relatifs</w:t>
      </w:r>
      <w:r w:rsidR="00F5091F" w:rsidRPr="005E7CDB">
        <w:t xml:space="preserve"> </w:t>
      </w:r>
      <w:r w:rsidRPr="005E7CDB">
        <w:t>au</w:t>
      </w:r>
      <w:r w:rsidR="00F5091F" w:rsidRPr="005E7CDB">
        <w:t xml:space="preserve"> </w:t>
      </w:r>
      <w:r w:rsidRPr="005E7CDB">
        <w:t>transport</w:t>
      </w:r>
      <w:r w:rsidR="00F5091F" w:rsidRPr="005E7CDB">
        <w:t xml:space="preserve"> </w:t>
      </w:r>
      <w:r w:rsidRPr="005E7CDB">
        <w:t>routier</w:t>
      </w:r>
      <w:r w:rsidR="00F5091F" w:rsidRPr="005E7CDB">
        <w:t xml:space="preserve"> </w:t>
      </w:r>
      <w:r w:rsidRPr="005E7CDB">
        <w:t>de</w:t>
      </w:r>
      <w:r w:rsidR="00F5091F" w:rsidRPr="005E7CDB">
        <w:t xml:space="preserve"> </w:t>
      </w:r>
      <w:r w:rsidRPr="005E7CDB">
        <w:t>la</w:t>
      </w:r>
      <w:r w:rsidR="00F5091F" w:rsidRPr="005E7CDB">
        <w:t xml:space="preserve"> </w:t>
      </w:r>
      <w:r w:rsidRPr="005E7CDB">
        <w:t>CEE,</w:t>
      </w:r>
      <w:r w:rsidR="00F5091F" w:rsidRPr="005E7CDB">
        <w:t xml:space="preserve"> </w:t>
      </w:r>
      <w:r w:rsidRPr="005E7CDB">
        <w:t>y</w:t>
      </w:r>
      <w:r w:rsidR="00F5091F" w:rsidRPr="005E7CDB">
        <w:t xml:space="preserve"> </w:t>
      </w:r>
      <w:r w:rsidRPr="005E7CDB">
        <w:t>compris</w:t>
      </w:r>
      <w:r w:rsidR="00F5091F" w:rsidRPr="005E7CDB">
        <w:t xml:space="preserve"> </w:t>
      </w:r>
      <w:r w:rsidRPr="005E7CDB">
        <w:t>l’ADR,</w:t>
      </w:r>
      <w:r w:rsidR="00F5091F" w:rsidRPr="005E7CDB">
        <w:t xml:space="preserve"> </w:t>
      </w:r>
      <w:r w:rsidRPr="005E7CDB">
        <w:t>et</w:t>
      </w:r>
      <w:r w:rsidR="00F5091F" w:rsidRPr="005E7CDB">
        <w:t xml:space="preserve"> </w:t>
      </w:r>
      <w:r w:rsidRPr="005E7CDB">
        <w:t>aux</w:t>
      </w:r>
      <w:r w:rsidR="00F5091F" w:rsidRPr="005E7CDB">
        <w:t xml:space="preserve"> </w:t>
      </w:r>
      <w:r w:rsidRPr="005E7CDB">
        <w:t>activités</w:t>
      </w:r>
      <w:r w:rsidR="00F5091F" w:rsidRPr="005E7CDB">
        <w:t xml:space="preserve"> </w:t>
      </w:r>
      <w:r w:rsidRPr="005E7CDB">
        <w:t>organisées</w:t>
      </w:r>
      <w:r w:rsidR="00F5091F" w:rsidRPr="005E7CDB">
        <w:t xml:space="preserve"> </w:t>
      </w:r>
      <w:r w:rsidRPr="005E7CDB">
        <w:t>par</w:t>
      </w:r>
      <w:r w:rsidR="00F5091F" w:rsidRPr="005E7CDB">
        <w:t xml:space="preserve"> </w:t>
      </w:r>
      <w:r w:rsidRPr="005E7CDB">
        <w:t>l’Union</w:t>
      </w:r>
      <w:r w:rsidR="00F5091F" w:rsidRPr="005E7CDB">
        <w:t xml:space="preserve"> </w:t>
      </w:r>
      <w:r w:rsidRPr="005E7CDB">
        <w:t>internationale</w:t>
      </w:r>
      <w:r w:rsidR="00F5091F" w:rsidRPr="005E7CDB">
        <w:t xml:space="preserve"> </w:t>
      </w:r>
      <w:r w:rsidRPr="005E7CDB">
        <w:t>des</w:t>
      </w:r>
      <w:r w:rsidR="00F5091F" w:rsidRPr="005E7CDB">
        <w:t xml:space="preserve"> </w:t>
      </w:r>
      <w:r w:rsidRPr="005E7CDB">
        <w:t>transports</w:t>
      </w:r>
      <w:r w:rsidR="00F5091F" w:rsidRPr="005E7CDB">
        <w:t xml:space="preserve"> </w:t>
      </w:r>
      <w:r w:rsidRPr="005E7CDB">
        <w:t>routiers</w:t>
      </w:r>
      <w:r w:rsidR="00F5091F" w:rsidRPr="005E7CDB">
        <w:t xml:space="preserve"> </w:t>
      </w:r>
      <w:r w:rsidRPr="005E7CDB">
        <w:t>(IRU)</w:t>
      </w:r>
      <w:r w:rsidR="00F5091F" w:rsidRPr="005E7CDB">
        <w:t xml:space="preserve"> </w:t>
      </w:r>
      <w:r w:rsidRPr="005E7CDB">
        <w:t>pour</w:t>
      </w:r>
      <w:r w:rsidR="00F5091F" w:rsidRPr="005E7CDB">
        <w:t xml:space="preserve"> </w:t>
      </w:r>
      <w:r w:rsidRPr="005E7CDB">
        <w:t>promouvoir</w:t>
      </w:r>
      <w:r w:rsidR="00F5091F" w:rsidRPr="005E7CDB">
        <w:t xml:space="preserve"> </w:t>
      </w:r>
      <w:r w:rsidRPr="005E7CDB">
        <w:t>l’ADR</w:t>
      </w:r>
      <w:r w:rsidR="00F5091F" w:rsidRPr="005E7CDB">
        <w:t xml:space="preserve"> </w:t>
      </w:r>
      <w:r w:rsidRPr="005E7CDB">
        <w:t>dans</w:t>
      </w:r>
      <w:r w:rsidR="00F5091F" w:rsidRPr="005E7CDB">
        <w:t xml:space="preserve"> </w:t>
      </w:r>
      <w:r w:rsidRPr="005E7CDB">
        <w:t>les</w:t>
      </w:r>
      <w:r w:rsidR="00F5091F" w:rsidRPr="005E7CDB">
        <w:t xml:space="preserve"> </w:t>
      </w:r>
      <w:r w:rsidRPr="005E7CDB">
        <w:t>pays</w:t>
      </w:r>
      <w:r w:rsidR="00F5091F" w:rsidRPr="005E7CDB">
        <w:t xml:space="preserve"> </w:t>
      </w:r>
      <w:r w:rsidRPr="005E7CDB">
        <w:t>de</w:t>
      </w:r>
      <w:r w:rsidR="00F5091F" w:rsidRPr="005E7CDB">
        <w:t xml:space="preserve"> </w:t>
      </w:r>
      <w:r w:rsidRPr="005E7CDB">
        <w:t>la</w:t>
      </w:r>
      <w:r w:rsidR="00F5091F" w:rsidRPr="005E7CDB">
        <w:t xml:space="preserve"> </w:t>
      </w:r>
      <w:r w:rsidRPr="005E7CDB">
        <w:t>Ligue</w:t>
      </w:r>
      <w:r w:rsidR="00F5091F" w:rsidRPr="005E7CDB">
        <w:t xml:space="preserve"> </w:t>
      </w:r>
      <w:r w:rsidRPr="005E7CDB">
        <w:t>arabe</w:t>
      </w:r>
      <w:r w:rsidR="00F5091F" w:rsidRPr="005E7CDB">
        <w:t xml:space="preserve"> </w:t>
      </w:r>
      <w:r w:rsidRPr="005E7CDB">
        <w:t>et</w:t>
      </w:r>
      <w:r w:rsidR="00F5091F" w:rsidRPr="005E7CDB">
        <w:t xml:space="preserve"> </w:t>
      </w:r>
      <w:r w:rsidRPr="005E7CDB">
        <w:t>en</w:t>
      </w:r>
      <w:r w:rsidR="00F5091F" w:rsidRPr="005E7CDB">
        <w:t xml:space="preserve"> </w:t>
      </w:r>
      <w:r w:rsidRPr="005E7CDB">
        <w:t>Chine.</w:t>
      </w:r>
      <w:r w:rsidR="00F5091F" w:rsidRPr="005E7CDB">
        <w:t xml:space="preserve"> </w:t>
      </w:r>
      <w:r w:rsidRPr="005E7CDB">
        <w:t>En</w:t>
      </w:r>
      <w:r w:rsidR="00F5091F" w:rsidRPr="005E7CDB">
        <w:t xml:space="preserve"> </w:t>
      </w:r>
      <w:r w:rsidRPr="005E7CDB">
        <w:t>2016,</w:t>
      </w:r>
      <w:r w:rsidR="00F5091F" w:rsidRPr="005E7CDB">
        <w:t xml:space="preserve"> </w:t>
      </w:r>
      <w:r w:rsidRPr="005E7CDB">
        <w:t>le</w:t>
      </w:r>
      <w:r w:rsidR="00F5091F" w:rsidRPr="005E7CDB">
        <w:t xml:space="preserve"> </w:t>
      </w:r>
      <w:r w:rsidRPr="005E7CDB">
        <w:t>projet</w:t>
      </w:r>
      <w:r w:rsidR="00F5091F" w:rsidRPr="005E7CDB">
        <w:t xml:space="preserve"> </w:t>
      </w:r>
      <w:r w:rsidRPr="005E7CDB">
        <w:t>EuroMed</w:t>
      </w:r>
      <w:r w:rsidR="00F5091F" w:rsidRPr="005E7CDB">
        <w:t xml:space="preserve"> </w:t>
      </w:r>
      <w:r w:rsidRPr="005E7CDB">
        <w:t>a</w:t>
      </w:r>
      <w:r w:rsidR="00F5091F" w:rsidRPr="005E7CDB">
        <w:t xml:space="preserve"> </w:t>
      </w:r>
      <w:r w:rsidRPr="005E7CDB">
        <w:t>également</w:t>
      </w:r>
      <w:r w:rsidR="00F5091F" w:rsidRPr="005E7CDB">
        <w:t xml:space="preserve"> </w:t>
      </w:r>
      <w:r w:rsidRPr="005E7CDB">
        <w:t>facilité</w:t>
      </w:r>
      <w:r w:rsidR="00F5091F" w:rsidRPr="005E7CDB">
        <w:t xml:space="preserve"> </w:t>
      </w:r>
      <w:r w:rsidRPr="005E7CDB">
        <w:t>la</w:t>
      </w:r>
      <w:r w:rsidR="00F5091F" w:rsidRPr="005E7CDB">
        <w:t xml:space="preserve"> </w:t>
      </w:r>
      <w:r w:rsidRPr="005E7CDB">
        <w:t>participation</w:t>
      </w:r>
      <w:r w:rsidR="00F5091F" w:rsidRPr="005E7CDB">
        <w:t xml:space="preserve"> </w:t>
      </w:r>
      <w:r w:rsidRPr="005E7CDB">
        <w:t>de</w:t>
      </w:r>
      <w:r w:rsidR="00F5091F" w:rsidRPr="005E7CDB">
        <w:t xml:space="preserve"> </w:t>
      </w:r>
      <w:r w:rsidRPr="005E7CDB">
        <w:t>représentants</w:t>
      </w:r>
      <w:r w:rsidR="00F5091F" w:rsidRPr="005E7CDB">
        <w:t xml:space="preserve"> </w:t>
      </w:r>
      <w:r w:rsidRPr="005E7CDB">
        <w:t>de</w:t>
      </w:r>
      <w:r w:rsidR="00F5091F" w:rsidRPr="005E7CDB">
        <w:t xml:space="preserve"> </w:t>
      </w:r>
      <w:r w:rsidRPr="005E7CDB">
        <w:t>l’Algérie,</w:t>
      </w:r>
      <w:r w:rsidR="00F5091F" w:rsidRPr="005E7CDB">
        <w:t xml:space="preserve"> </w:t>
      </w:r>
      <w:r w:rsidRPr="005E7CDB">
        <w:t>d’Israël,</w:t>
      </w:r>
      <w:r w:rsidR="00F5091F" w:rsidRPr="005E7CDB">
        <w:t xml:space="preserve"> </w:t>
      </w:r>
      <w:r w:rsidRPr="005E7CDB">
        <w:t>de</w:t>
      </w:r>
      <w:r w:rsidR="00F5091F" w:rsidRPr="005E7CDB">
        <w:t xml:space="preserve"> </w:t>
      </w:r>
      <w:r w:rsidRPr="005E7CDB">
        <w:t>la</w:t>
      </w:r>
      <w:r w:rsidR="00F5091F" w:rsidRPr="005E7CDB">
        <w:t xml:space="preserve"> </w:t>
      </w:r>
      <w:r w:rsidRPr="005E7CDB">
        <w:t>Jordanie</w:t>
      </w:r>
      <w:r w:rsidR="00F5091F" w:rsidRPr="005E7CDB">
        <w:t xml:space="preserve"> </w:t>
      </w:r>
      <w:r w:rsidRPr="005E7CDB">
        <w:t>et</w:t>
      </w:r>
      <w:r w:rsidR="00F5091F" w:rsidRPr="005E7CDB">
        <w:t xml:space="preserve"> </w:t>
      </w:r>
      <w:r w:rsidRPr="005E7CDB">
        <w:t>de</w:t>
      </w:r>
      <w:r w:rsidR="00F5091F" w:rsidRPr="005E7CDB">
        <w:t xml:space="preserve"> </w:t>
      </w:r>
      <w:r w:rsidRPr="005E7CDB">
        <w:t>la</w:t>
      </w:r>
      <w:r w:rsidR="00F5091F" w:rsidRPr="005E7CDB">
        <w:t xml:space="preserve"> </w:t>
      </w:r>
      <w:r w:rsidRPr="005E7CDB">
        <w:t>Tunisie,</w:t>
      </w:r>
      <w:r w:rsidR="00F5091F" w:rsidRPr="005E7CDB">
        <w:t xml:space="preserve"> </w:t>
      </w:r>
      <w:r w:rsidRPr="005E7CDB">
        <w:t>lors</w:t>
      </w:r>
      <w:r w:rsidR="00F5091F" w:rsidRPr="005E7CDB">
        <w:t xml:space="preserve"> </w:t>
      </w:r>
      <w:r w:rsidRPr="005E7CDB">
        <w:t>des</w:t>
      </w:r>
      <w:r w:rsidR="00F5091F" w:rsidRPr="005E7CDB">
        <w:t xml:space="preserve"> </w:t>
      </w:r>
      <w:r w:rsidRPr="005E7CDB">
        <w:t>réunions.</w:t>
      </w:r>
      <w:r w:rsidR="00F5091F" w:rsidRPr="005E7CDB">
        <w:t xml:space="preserve"> </w:t>
      </w:r>
      <w:r w:rsidRPr="005E7CDB">
        <w:t>En</w:t>
      </w:r>
      <w:r w:rsidR="00F5091F" w:rsidRPr="005E7CDB">
        <w:t xml:space="preserve"> </w:t>
      </w:r>
      <w:r w:rsidRPr="005E7CDB">
        <w:t>2017,</w:t>
      </w:r>
      <w:r w:rsidR="00F5091F" w:rsidRPr="005E7CDB">
        <w:t xml:space="preserve"> </w:t>
      </w:r>
      <w:r w:rsidRPr="005E7CDB">
        <w:t>la</w:t>
      </w:r>
      <w:r w:rsidR="00F5091F" w:rsidRPr="005E7CDB">
        <w:t xml:space="preserve"> </w:t>
      </w:r>
      <w:r w:rsidRPr="005E7CDB">
        <w:t>Division</w:t>
      </w:r>
      <w:r w:rsidR="00F5091F" w:rsidRPr="005E7CDB">
        <w:t xml:space="preserve"> </w:t>
      </w:r>
      <w:r w:rsidRPr="005E7CDB">
        <w:t>des</w:t>
      </w:r>
      <w:r w:rsidR="00F5091F" w:rsidRPr="005E7CDB">
        <w:t xml:space="preserve"> </w:t>
      </w:r>
      <w:r w:rsidRPr="005E7CDB">
        <w:t>transports</w:t>
      </w:r>
      <w:r w:rsidR="00F5091F" w:rsidRPr="005E7CDB">
        <w:t xml:space="preserve"> </w:t>
      </w:r>
      <w:r w:rsidRPr="005E7CDB">
        <w:t>durables</w:t>
      </w:r>
      <w:r w:rsidR="00F5091F" w:rsidRPr="005E7CDB">
        <w:t xml:space="preserve"> </w:t>
      </w:r>
      <w:r w:rsidRPr="005E7CDB">
        <w:t>a</w:t>
      </w:r>
      <w:r w:rsidR="00F5091F" w:rsidRPr="005E7CDB">
        <w:t xml:space="preserve"> </w:t>
      </w:r>
      <w:r w:rsidRPr="005E7CDB">
        <w:t>également</w:t>
      </w:r>
      <w:r w:rsidR="00F5091F" w:rsidRPr="005E7CDB">
        <w:t xml:space="preserve"> </w:t>
      </w:r>
      <w:r w:rsidRPr="005E7CDB">
        <w:t>participé</w:t>
      </w:r>
      <w:r w:rsidR="00F5091F" w:rsidRPr="005E7CDB">
        <w:t xml:space="preserve"> </w:t>
      </w:r>
      <w:r w:rsidRPr="005E7CDB">
        <w:t>à</w:t>
      </w:r>
      <w:r w:rsidR="00F5091F" w:rsidRPr="005E7CDB">
        <w:t xml:space="preserve"> </w:t>
      </w:r>
      <w:r w:rsidRPr="005E7CDB">
        <w:t>un</w:t>
      </w:r>
      <w:r w:rsidR="00F5091F" w:rsidRPr="005E7CDB">
        <w:t xml:space="preserve"> </w:t>
      </w:r>
      <w:r w:rsidRPr="005E7CDB">
        <w:t>rencontre</w:t>
      </w:r>
      <w:r w:rsidR="00F5091F" w:rsidRPr="005E7CDB">
        <w:t xml:space="preserve"> </w:t>
      </w:r>
      <w:r w:rsidRPr="005E7CDB">
        <w:t>en</w:t>
      </w:r>
      <w:r w:rsidR="00F5091F" w:rsidRPr="005E7CDB">
        <w:t xml:space="preserve"> </w:t>
      </w:r>
      <w:r w:rsidRPr="005E7CDB">
        <w:t>Fédération</w:t>
      </w:r>
      <w:r w:rsidR="00F5091F" w:rsidRPr="005E7CDB">
        <w:t xml:space="preserve"> </w:t>
      </w:r>
      <w:r w:rsidRPr="005E7CDB">
        <w:t>de</w:t>
      </w:r>
      <w:r w:rsidR="00F5091F" w:rsidRPr="005E7CDB">
        <w:t xml:space="preserve"> </w:t>
      </w:r>
      <w:r w:rsidRPr="005E7CDB">
        <w:t>Russie</w:t>
      </w:r>
      <w:r w:rsidR="00F5091F" w:rsidRPr="005E7CDB">
        <w:t xml:space="preserve"> </w:t>
      </w:r>
      <w:r w:rsidRPr="005E7CDB">
        <w:t>pour</w:t>
      </w:r>
      <w:r w:rsidR="00F5091F" w:rsidRPr="005E7CDB">
        <w:t xml:space="preserve"> </w:t>
      </w:r>
      <w:r w:rsidRPr="005E7CDB">
        <w:t>présenter</w:t>
      </w:r>
      <w:r w:rsidR="00F5091F" w:rsidRPr="005E7CDB">
        <w:t xml:space="preserve"> </w:t>
      </w:r>
      <w:r w:rsidRPr="005E7CDB">
        <w:t>les</w:t>
      </w:r>
      <w:r w:rsidR="00F5091F" w:rsidRPr="005E7CDB">
        <w:t xml:space="preserve"> </w:t>
      </w:r>
      <w:r w:rsidRPr="005E7CDB">
        <w:t>nouveaux</w:t>
      </w:r>
      <w:r w:rsidR="00F5091F" w:rsidRPr="005E7CDB">
        <w:t xml:space="preserve"> </w:t>
      </w:r>
      <w:r w:rsidRPr="005E7CDB">
        <w:t>amendements</w:t>
      </w:r>
      <w:r w:rsidR="00F5091F" w:rsidRPr="005E7CDB">
        <w:t xml:space="preserve"> </w:t>
      </w:r>
      <w:r w:rsidRPr="005E7CDB">
        <w:t>à</w:t>
      </w:r>
      <w:r w:rsidR="00F5091F" w:rsidRPr="005E7CDB">
        <w:t xml:space="preserve"> </w:t>
      </w:r>
      <w:r w:rsidRPr="005E7CDB">
        <w:t>l’ADR</w:t>
      </w:r>
      <w:r w:rsidR="00F5091F" w:rsidRPr="005E7CDB">
        <w:t xml:space="preserve"> </w:t>
      </w:r>
      <w:r w:rsidRPr="005E7CDB">
        <w:t>et</w:t>
      </w:r>
      <w:r w:rsidR="00F5091F" w:rsidRPr="005E7CDB">
        <w:t xml:space="preserve"> </w:t>
      </w:r>
      <w:r w:rsidRPr="005E7CDB">
        <w:t>à</w:t>
      </w:r>
      <w:r w:rsidR="00F5091F" w:rsidRPr="005E7CDB">
        <w:t xml:space="preserve"> </w:t>
      </w:r>
      <w:r w:rsidRPr="005E7CDB">
        <w:t>des</w:t>
      </w:r>
      <w:r w:rsidR="00F5091F" w:rsidRPr="005E7CDB">
        <w:t xml:space="preserve"> </w:t>
      </w:r>
      <w:r w:rsidRPr="005E7CDB">
        <w:t>conférences</w:t>
      </w:r>
      <w:r w:rsidR="00F5091F" w:rsidRPr="005E7CDB">
        <w:t xml:space="preserve"> </w:t>
      </w:r>
      <w:r w:rsidRPr="005E7CDB">
        <w:t>et</w:t>
      </w:r>
      <w:r w:rsidR="00F5091F" w:rsidRPr="005E7CDB">
        <w:t xml:space="preserve"> </w:t>
      </w:r>
      <w:r w:rsidRPr="005E7CDB">
        <w:t>à</w:t>
      </w:r>
      <w:r w:rsidR="00F5091F" w:rsidRPr="005E7CDB">
        <w:t xml:space="preserve"> </w:t>
      </w:r>
      <w:r w:rsidRPr="005E7CDB">
        <w:t>des</w:t>
      </w:r>
      <w:r w:rsidR="00F5091F" w:rsidRPr="005E7CDB">
        <w:t xml:space="preserve"> </w:t>
      </w:r>
      <w:r w:rsidRPr="005E7CDB">
        <w:t>ateliers</w:t>
      </w:r>
      <w:r w:rsidR="00F5091F" w:rsidRPr="005E7CDB">
        <w:t xml:space="preserve"> </w:t>
      </w:r>
      <w:r w:rsidRPr="005E7CDB">
        <w:t>en</w:t>
      </w:r>
      <w:r w:rsidR="00F5091F" w:rsidRPr="005E7CDB">
        <w:t xml:space="preserve"> </w:t>
      </w:r>
      <w:r w:rsidRPr="005E7CDB">
        <w:t>Chine</w:t>
      </w:r>
      <w:r w:rsidR="00F5091F" w:rsidRPr="005E7CDB">
        <w:t xml:space="preserve"> </w:t>
      </w:r>
      <w:r w:rsidRPr="005E7CDB">
        <w:t>et</w:t>
      </w:r>
      <w:r w:rsidR="00F5091F" w:rsidRPr="005E7CDB">
        <w:t xml:space="preserve"> </w:t>
      </w:r>
      <w:r w:rsidRPr="005E7CDB">
        <w:t>en</w:t>
      </w:r>
      <w:r w:rsidR="00F5091F" w:rsidRPr="005E7CDB">
        <w:t xml:space="preserve"> </w:t>
      </w:r>
      <w:r w:rsidRPr="005E7CDB">
        <w:t>Mongolie,</w:t>
      </w:r>
      <w:r w:rsidR="00F5091F" w:rsidRPr="005E7CDB">
        <w:t xml:space="preserve"> </w:t>
      </w:r>
      <w:r w:rsidRPr="005E7CDB">
        <w:t>où</w:t>
      </w:r>
      <w:r w:rsidR="00F5091F" w:rsidRPr="005E7CDB">
        <w:t xml:space="preserve"> </w:t>
      </w:r>
      <w:r w:rsidRPr="005E7CDB">
        <w:t>une</w:t>
      </w:r>
      <w:r w:rsidR="00F5091F" w:rsidRPr="005E7CDB">
        <w:t xml:space="preserve"> </w:t>
      </w:r>
      <w:r w:rsidRPr="005E7CDB">
        <w:t>adhésion</w:t>
      </w:r>
      <w:r w:rsidR="00F5091F" w:rsidRPr="005E7CDB">
        <w:t xml:space="preserve"> </w:t>
      </w:r>
      <w:r w:rsidRPr="005E7CDB">
        <w:t>éventuelle</w:t>
      </w:r>
      <w:r w:rsidR="00F5091F" w:rsidRPr="005E7CDB">
        <w:t xml:space="preserve"> </w:t>
      </w:r>
      <w:r w:rsidRPr="005E7CDB">
        <w:t>à</w:t>
      </w:r>
      <w:r w:rsidR="00F5091F" w:rsidRPr="005E7CDB">
        <w:t xml:space="preserve"> </w:t>
      </w:r>
      <w:r w:rsidRPr="005E7CDB">
        <w:t>l’ADR</w:t>
      </w:r>
      <w:r w:rsidR="00F5091F" w:rsidRPr="005E7CDB">
        <w:t xml:space="preserve"> </w:t>
      </w:r>
      <w:r w:rsidRPr="005E7CDB">
        <w:t>est</w:t>
      </w:r>
      <w:r w:rsidR="00F5091F" w:rsidRPr="005E7CDB">
        <w:t xml:space="preserve"> </w:t>
      </w:r>
      <w:r w:rsidRPr="005E7CDB">
        <w:t>en</w:t>
      </w:r>
      <w:r w:rsidR="00F5091F" w:rsidRPr="005E7CDB">
        <w:t xml:space="preserve"> </w:t>
      </w:r>
      <w:r w:rsidRPr="005E7CDB">
        <w:t>cours</w:t>
      </w:r>
      <w:r w:rsidR="00F5091F" w:rsidRPr="005E7CDB">
        <w:t xml:space="preserve"> </w:t>
      </w:r>
      <w:r w:rsidRPr="005E7CDB">
        <w:t>d’examen.</w:t>
      </w:r>
      <w:r w:rsidR="00F5091F" w:rsidRPr="005E7CDB">
        <w:t xml:space="preserve"> </w:t>
      </w:r>
    </w:p>
    <w:p w:rsidR="002728BC" w:rsidRPr="005E7CDB" w:rsidRDefault="002728BC" w:rsidP="006750E9">
      <w:pPr>
        <w:pStyle w:val="H1G"/>
      </w:pPr>
      <w:r w:rsidRPr="005E7CDB">
        <w:tab/>
        <w:t>II.</w:t>
      </w:r>
      <w:r w:rsidRPr="005E7CDB">
        <w:tab/>
        <w:t>Groupe</w:t>
      </w:r>
      <w:r w:rsidR="00F5091F" w:rsidRPr="005E7CDB">
        <w:t xml:space="preserve"> </w:t>
      </w:r>
      <w:r w:rsidRPr="005E7CDB">
        <w:t>d’activités</w:t>
      </w:r>
      <w:r w:rsidR="00F5091F" w:rsidRPr="005E7CDB">
        <w:t xml:space="preserve"> </w:t>
      </w:r>
      <w:r w:rsidRPr="005E7CDB">
        <w:t>9.b</w:t>
      </w:r>
      <w:r w:rsidR="00F5091F" w:rsidRPr="005E7CDB">
        <w:t xml:space="preserve"> </w:t>
      </w:r>
      <w:r w:rsidRPr="005E7CDB">
        <w:t>Transport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(CEE)</w:t>
      </w:r>
    </w:p>
    <w:p w:rsidR="002728BC" w:rsidRPr="005E7CDB" w:rsidRDefault="002728BC" w:rsidP="006750E9">
      <w:pPr>
        <w:pStyle w:val="H23G"/>
        <w:rPr>
          <w:rFonts w:eastAsia="MS Mincho"/>
        </w:rPr>
      </w:pPr>
      <w:r w:rsidRPr="005E7CDB">
        <w:tab/>
        <w:t>A.</w:t>
      </w:r>
      <w:r w:rsidRPr="005E7CDB">
        <w:tab/>
        <w:t>Réalisation</w:t>
      </w:r>
      <w:r w:rsidR="00F5091F" w:rsidRPr="005E7CDB">
        <w:t xml:space="preserve"> </w:t>
      </w:r>
      <w:r w:rsidRPr="005E7CDB">
        <w:t>escomptée</w:t>
      </w:r>
      <w:r w:rsidR="00F5091F" w:rsidRPr="005E7CDB">
        <w:t xml:space="preserve"> </w:t>
      </w:r>
      <w:r w:rsidRPr="005E7CDB">
        <w:t>(RE</w:t>
      </w:r>
      <w:r w:rsidR="00F5091F" w:rsidRPr="005E7CDB">
        <w:t xml:space="preserve"> </w:t>
      </w:r>
      <w:r w:rsidRPr="005E7CDB">
        <w:t>9.b)</w:t>
      </w:r>
    </w:p>
    <w:p w:rsidR="002728BC" w:rsidRPr="005E7CDB" w:rsidRDefault="002728BC" w:rsidP="006750E9">
      <w:pPr>
        <w:pStyle w:val="SingleTxtG"/>
      </w:pPr>
      <w:r w:rsidRPr="005E7CDB">
        <w:t>9.</w:t>
      </w:r>
      <w:r w:rsidRPr="005E7CDB">
        <w:tab/>
        <w:t>Adoption</w:t>
      </w:r>
      <w:r w:rsidR="00F5091F" w:rsidRPr="005E7CDB">
        <w:t xml:space="preserve"> </w:t>
      </w:r>
      <w:r w:rsidRPr="005E7CDB">
        <w:t>d’un</w:t>
      </w:r>
      <w:r w:rsidR="00F5091F" w:rsidRPr="005E7CDB">
        <w:t xml:space="preserve"> </w:t>
      </w:r>
      <w:r w:rsidRPr="005E7CDB">
        <w:t>plan</w:t>
      </w:r>
      <w:r w:rsidR="00F5091F" w:rsidRPr="005E7CDB">
        <w:t xml:space="preserve"> </w:t>
      </w:r>
      <w:r w:rsidRPr="005E7CDB">
        <w:t>d’établissement</w:t>
      </w:r>
      <w:r w:rsidR="00F5091F" w:rsidRPr="005E7CDB">
        <w:t xml:space="preserve"> </w:t>
      </w:r>
      <w:r w:rsidRPr="005E7CDB">
        <w:t>des</w:t>
      </w:r>
      <w:r w:rsidR="00F5091F" w:rsidRPr="005E7CDB">
        <w:t xml:space="preserve"> </w:t>
      </w:r>
      <w:r w:rsidRPr="005E7CDB">
        <w:t>structures</w:t>
      </w:r>
      <w:r w:rsidR="00F5091F" w:rsidRPr="005E7CDB">
        <w:t xml:space="preserve"> </w:t>
      </w:r>
      <w:r w:rsidRPr="005E7CDB">
        <w:t>administratives</w:t>
      </w:r>
      <w:r w:rsidR="00F5091F" w:rsidRPr="005E7CDB">
        <w:t xml:space="preserve"> </w:t>
      </w:r>
      <w:r w:rsidRPr="005E7CDB">
        <w:t>requises</w:t>
      </w:r>
      <w:r w:rsidR="00F5091F" w:rsidRPr="005E7CDB">
        <w:t xml:space="preserve"> </w:t>
      </w:r>
      <w:r w:rsidRPr="005E7CDB">
        <w:t>pour</w:t>
      </w:r>
      <w:r w:rsidR="00F5091F" w:rsidRPr="005E7CDB">
        <w:t xml:space="preserve"> </w:t>
      </w:r>
      <w:r w:rsidRPr="005E7CDB">
        <w:t>la</w:t>
      </w:r>
      <w:r w:rsidR="00F5091F" w:rsidRPr="005E7CDB">
        <w:t xml:space="preserve"> </w:t>
      </w:r>
      <w:r w:rsidRPr="005E7CDB">
        <w:t>mise</w:t>
      </w:r>
      <w:r w:rsidR="00F5091F" w:rsidRPr="005E7CDB">
        <w:t xml:space="preserve"> </w:t>
      </w:r>
      <w:r w:rsidRPr="005E7CDB">
        <w:t>en</w:t>
      </w:r>
      <w:r w:rsidR="00F5091F" w:rsidRPr="005E7CDB">
        <w:t xml:space="preserve"> </w:t>
      </w:r>
      <w:r w:rsidRPr="005E7CDB">
        <w:t>œuvre</w:t>
      </w:r>
      <w:r w:rsidR="00F5091F" w:rsidRPr="005E7CDB">
        <w:t xml:space="preserve"> </w:t>
      </w:r>
      <w:r w:rsidRPr="005E7CDB">
        <w:t>de</w:t>
      </w:r>
      <w:r w:rsidR="00F5091F" w:rsidRPr="005E7CDB">
        <w:t xml:space="preserve"> </w:t>
      </w:r>
      <w:r w:rsidRPr="005E7CDB">
        <w:t>l’ADR.</w:t>
      </w:r>
      <w:r w:rsidR="00F5091F" w:rsidRPr="005E7CDB">
        <w:t xml:space="preserve"> </w:t>
      </w:r>
      <w:r w:rsidRPr="005E7CDB">
        <w:t>Élaboration</w:t>
      </w:r>
      <w:r w:rsidR="00F5091F" w:rsidRPr="005E7CDB">
        <w:t xml:space="preserve"> </w:t>
      </w:r>
      <w:r w:rsidRPr="005E7CDB">
        <w:t>de</w:t>
      </w:r>
      <w:r w:rsidR="00F5091F" w:rsidRPr="005E7CDB">
        <w:t xml:space="preserve"> </w:t>
      </w:r>
      <w:r w:rsidRPr="005E7CDB">
        <w:t>recommandations</w:t>
      </w:r>
      <w:r w:rsidR="00F5091F" w:rsidRPr="005E7CDB">
        <w:t xml:space="preserve"> </w:t>
      </w:r>
      <w:r w:rsidRPr="005E7CDB">
        <w:t>et/ou</w:t>
      </w:r>
      <w:r w:rsidR="00F5091F" w:rsidRPr="005E7CDB">
        <w:t xml:space="preserve"> </w:t>
      </w:r>
      <w:r w:rsidRPr="005E7CDB">
        <w:t>d’orientations</w:t>
      </w:r>
      <w:r w:rsidR="00F5091F" w:rsidRPr="005E7CDB">
        <w:t xml:space="preserve"> </w:t>
      </w:r>
      <w:r w:rsidRPr="005E7CDB">
        <w:t>fondées</w:t>
      </w:r>
      <w:r w:rsidR="00F5091F" w:rsidRPr="005E7CDB">
        <w:t xml:space="preserve"> </w:t>
      </w:r>
      <w:r w:rsidRPr="005E7CDB">
        <w:t>sur</w:t>
      </w:r>
      <w:r w:rsidR="00F5091F" w:rsidRPr="005E7CDB">
        <w:t xml:space="preserve"> </w:t>
      </w:r>
      <w:r w:rsidRPr="005E7CDB">
        <w:t>ce</w:t>
      </w:r>
      <w:r w:rsidR="00F5091F" w:rsidRPr="005E7CDB">
        <w:t xml:space="preserve"> </w:t>
      </w:r>
      <w:r w:rsidRPr="005E7CDB">
        <w:t>plan.</w:t>
      </w:r>
    </w:p>
    <w:p w:rsidR="002728BC" w:rsidRPr="005E7CDB" w:rsidRDefault="002728BC" w:rsidP="006750E9">
      <w:pPr>
        <w:pStyle w:val="H23G"/>
        <w:rPr>
          <w:rFonts w:eastAsia="MS Mincho"/>
        </w:rPr>
      </w:pPr>
      <w:r w:rsidRPr="005E7CDB">
        <w:tab/>
        <w:t>B.</w:t>
      </w:r>
      <w:r w:rsidRPr="005E7CDB">
        <w:tab/>
        <w:t>Indicateurs</w:t>
      </w:r>
      <w:r w:rsidR="00F5091F" w:rsidRPr="005E7CDB">
        <w:t xml:space="preserve"> </w:t>
      </w:r>
      <w:r w:rsidRPr="005E7CDB">
        <w:t>de</w:t>
      </w:r>
      <w:r w:rsidR="00F5091F" w:rsidRPr="005E7CDB">
        <w:t xml:space="preserve"> </w:t>
      </w:r>
      <w:r w:rsidRPr="005E7CDB">
        <w:t>succès</w:t>
      </w:r>
    </w:p>
    <w:p w:rsidR="002728BC" w:rsidRPr="005E7CDB" w:rsidRDefault="002728BC" w:rsidP="006750E9">
      <w:pPr>
        <w:pStyle w:val="H4G"/>
      </w:pPr>
      <w:r w:rsidRPr="005E7CDB">
        <w:tab/>
      </w:r>
      <w:r w:rsidRPr="005E7CDB">
        <w:tab/>
        <w:t>Plan</w:t>
      </w:r>
      <w:r w:rsidR="00F5091F" w:rsidRPr="005E7CDB">
        <w:t xml:space="preserve"> </w:t>
      </w:r>
      <w:r w:rsidRPr="005E7CDB">
        <w:t>d’établissement</w:t>
      </w:r>
      <w:r w:rsidR="00F5091F" w:rsidRPr="005E7CDB">
        <w:t xml:space="preserve"> </w:t>
      </w:r>
      <w:r w:rsidRPr="005E7CDB">
        <w:t>adopté</w:t>
      </w:r>
      <w:r w:rsidR="00F5091F" w:rsidRPr="005E7CDB">
        <w:t xml:space="preserve"> </w:t>
      </w:r>
      <w:r w:rsidRPr="005E7CDB">
        <w:t>et</w:t>
      </w:r>
      <w:r w:rsidR="00F5091F" w:rsidRPr="005E7CDB">
        <w:t xml:space="preserve"> </w:t>
      </w:r>
      <w:r w:rsidRPr="005E7CDB">
        <w:t>recommandations/orientations</w:t>
      </w:r>
      <w:r w:rsidR="00F5091F" w:rsidRPr="005E7CDB">
        <w:t xml:space="preserve"> </w:t>
      </w:r>
      <w:r w:rsidRPr="005E7CDB">
        <w:t>disponibles</w:t>
      </w:r>
      <w:r w:rsidR="00F5091F" w:rsidRPr="005E7CDB">
        <w:t xml:space="preserve"> </w:t>
      </w:r>
      <w:r w:rsidRPr="005E7CDB">
        <w:t>(IS</w:t>
      </w:r>
      <w:r w:rsidR="00F5091F" w:rsidRPr="005E7CDB">
        <w:t xml:space="preserve"> </w:t>
      </w:r>
      <w:r w:rsidRPr="005E7CDB">
        <w:t>9.b)</w:t>
      </w:r>
    </w:p>
    <w:p w:rsidR="002728BC" w:rsidRPr="005B213D" w:rsidRDefault="002728BC" w:rsidP="006750E9">
      <w:pPr>
        <w:pStyle w:val="H4G"/>
        <w:rPr>
          <w:i w:val="0"/>
        </w:rPr>
      </w:pPr>
      <w:r w:rsidRPr="005E7CDB">
        <w:tab/>
      </w:r>
      <w:r w:rsidRPr="005E7CDB">
        <w:tab/>
        <w:t>Mesure</w:t>
      </w:r>
      <w:r w:rsidR="00F5091F" w:rsidRPr="005E7CDB">
        <w:t xml:space="preserve"> </w:t>
      </w:r>
      <w:r w:rsidRPr="005E7CDB">
        <w:t>de</w:t>
      </w:r>
      <w:r w:rsidR="00F5091F" w:rsidRPr="005E7CDB">
        <w:t xml:space="preserve"> </w:t>
      </w:r>
      <w:r w:rsidRPr="005E7CDB">
        <w:t>résultats</w:t>
      </w:r>
      <w:r w:rsidR="00F5091F" w:rsidRPr="005E7CDB">
        <w:t> </w:t>
      </w:r>
      <w:r w:rsidR="00F5091F" w:rsidRPr="002110A3">
        <w:rPr>
          <w:i w:val="0"/>
        </w:rPr>
        <w:t>:</w:t>
      </w:r>
      <w:r w:rsidR="00F5091F" w:rsidRPr="005E7CDB">
        <w:rPr>
          <w:i w:val="0"/>
        </w:rPr>
        <w:t xml:space="preserve"> </w:t>
      </w:r>
      <w:r w:rsidRPr="005E7CDB">
        <w:rPr>
          <w:i w:val="0"/>
        </w:rPr>
        <w:t>objectif</w:t>
      </w:r>
      <w:r w:rsidR="00F5091F" w:rsidRPr="005E7CDB">
        <w:rPr>
          <w:i w:val="0"/>
        </w:rPr>
        <w:t xml:space="preserve"> : </w:t>
      </w:r>
      <w:r w:rsidRPr="005E7CDB">
        <w:rPr>
          <w:i w:val="0"/>
        </w:rPr>
        <w:t>2016-2017</w:t>
      </w:r>
      <w:r w:rsidR="00F5091F" w:rsidRPr="005E7CDB">
        <w:rPr>
          <w:i w:val="0"/>
        </w:rPr>
        <w:t xml:space="preserve"> : </w:t>
      </w:r>
      <w:r w:rsidRPr="005E7CDB">
        <w:rPr>
          <w:i w:val="0"/>
        </w:rPr>
        <w:t>sans</w:t>
      </w:r>
      <w:r w:rsidR="00F5091F" w:rsidRPr="005E7CDB">
        <w:rPr>
          <w:i w:val="0"/>
        </w:rPr>
        <w:t xml:space="preserve"> </w:t>
      </w:r>
      <w:r w:rsidRPr="005E7CDB">
        <w:rPr>
          <w:i w:val="0"/>
        </w:rPr>
        <w:t>objet</w:t>
      </w:r>
    </w:p>
    <w:p w:rsidR="002728BC" w:rsidRPr="005E7CDB" w:rsidRDefault="002728BC" w:rsidP="006750E9">
      <w:pPr>
        <w:pStyle w:val="H1G"/>
      </w:pPr>
      <w:r w:rsidRPr="005E7CDB">
        <w:tab/>
        <w:t>III.</w:t>
      </w:r>
      <w:r w:rsidRPr="005E7CDB">
        <w:tab/>
        <w:t>Groupe</w:t>
      </w:r>
      <w:r w:rsidR="00F5091F" w:rsidRPr="005E7CDB">
        <w:t xml:space="preserve"> </w:t>
      </w:r>
      <w:r w:rsidRPr="005E7CDB">
        <w:t>d’activités</w:t>
      </w:r>
      <w:r w:rsidR="00F5091F" w:rsidRPr="005E7CDB">
        <w:t xml:space="preserve"> </w:t>
      </w:r>
      <w:r w:rsidRPr="005E7CDB">
        <w:t>9.c</w:t>
      </w:r>
      <w:r w:rsidR="00F5091F" w:rsidRPr="005E7CDB">
        <w:t xml:space="preserve"> </w:t>
      </w:r>
      <w:r w:rsidRPr="005E7CDB">
        <w:t>Transport</w:t>
      </w:r>
      <w:r w:rsidR="00F5091F" w:rsidRPr="005E7CDB">
        <w:t xml:space="preserve"> </w:t>
      </w:r>
      <w:r w:rsidRPr="005E7CDB">
        <w:t>des</w:t>
      </w:r>
      <w:r w:rsidR="00F5091F" w:rsidRPr="005E7CDB">
        <w:t xml:space="preserve"> </w:t>
      </w:r>
      <w:r w:rsidRPr="005E7CDB">
        <w:t>marchandises</w:t>
      </w:r>
      <w:r w:rsidR="00F5091F" w:rsidRPr="005E7CDB">
        <w:t xml:space="preserve"> </w:t>
      </w:r>
      <w:r w:rsidRPr="005E7CDB">
        <w:t>dangereuses</w:t>
      </w:r>
      <w:r w:rsidR="00F5091F" w:rsidRPr="005E7CDB">
        <w:t xml:space="preserve"> </w:t>
      </w:r>
      <w:r w:rsidRPr="005E7CDB">
        <w:t>(CEE)</w:t>
      </w:r>
    </w:p>
    <w:p w:rsidR="002728BC" w:rsidRPr="005E7CDB" w:rsidRDefault="002728BC" w:rsidP="006750E9">
      <w:pPr>
        <w:pStyle w:val="H23G"/>
        <w:rPr>
          <w:rFonts w:eastAsia="MS Mincho"/>
        </w:rPr>
      </w:pPr>
      <w:r w:rsidRPr="005E7CDB">
        <w:tab/>
        <w:t>A.</w:t>
      </w:r>
      <w:r w:rsidRPr="005E7CDB">
        <w:tab/>
        <w:t>Réalisation</w:t>
      </w:r>
      <w:r w:rsidR="00F5091F" w:rsidRPr="005E7CDB">
        <w:t xml:space="preserve"> </w:t>
      </w:r>
      <w:r w:rsidRPr="005E7CDB">
        <w:t>escomptée</w:t>
      </w:r>
      <w:r w:rsidR="00F5091F" w:rsidRPr="005E7CDB">
        <w:t xml:space="preserve"> </w:t>
      </w:r>
      <w:r w:rsidRPr="005E7CDB">
        <w:t>(RE</w:t>
      </w:r>
      <w:r w:rsidR="00F5091F" w:rsidRPr="005E7CDB">
        <w:t xml:space="preserve"> </w:t>
      </w:r>
      <w:r w:rsidRPr="005E7CDB">
        <w:t>9.c)</w:t>
      </w:r>
    </w:p>
    <w:p w:rsidR="002728BC" w:rsidRPr="005E7CDB" w:rsidRDefault="002728BC" w:rsidP="00FA3D06">
      <w:pPr>
        <w:pStyle w:val="SingleTxtG"/>
      </w:pPr>
      <w:r w:rsidRPr="005E7CDB">
        <w:t>10.</w:t>
      </w:r>
      <w:r w:rsidRPr="005E7CDB">
        <w:tab/>
        <w:t>Suivi</w:t>
      </w:r>
      <w:r w:rsidR="00F5091F" w:rsidRPr="005E7CDB">
        <w:t xml:space="preserve"> </w:t>
      </w:r>
      <w:r w:rsidRPr="005E7CDB">
        <w:t>de</w:t>
      </w:r>
      <w:r w:rsidR="00F5091F" w:rsidRPr="005E7CDB">
        <w:t xml:space="preserve"> </w:t>
      </w:r>
      <w:r w:rsidRPr="005E7CDB">
        <w:t>l’exécution</w:t>
      </w:r>
      <w:r w:rsidR="00F5091F" w:rsidRPr="005E7CDB">
        <w:t xml:space="preserve"> </w:t>
      </w:r>
      <w:r w:rsidRPr="005E7CDB">
        <w:t>du</w:t>
      </w:r>
      <w:r w:rsidR="00F5091F" w:rsidRPr="005E7CDB">
        <w:t xml:space="preserve"> </w:t>
      </w:r>
      <w:r w:rsidRPr="005E7CDB">
        <w:t>plan</w:t>
      </w:r>
      <w:r w:rsidR="00F5091F" w:rsidRPr="005E7CDB">
        <w:t xml:space="preserve"> </w:t>
      </w:r>
      <w:r w:rsidRPr="005E7CDB">
        <w:t>pour</w:t>
      </w:r>
      <w:r w:rsidR="00F5091F" w:rsidRPr="005E7CDB">
        <w:t xml:space="preserve"> </w:t>
      </w:r>
      <w:r w:rsidRPr="005E7CDB">
        <w:t>l’adhésion</w:t>
      </w:r>
      <w:r w:rsidR="00F5091F" w:rsidRPr="005E7CDB">
        <w:t xml:space="preserve"> </w:t>
      </w:r>
      <w:r w:rsidRPr="005E7CDB">
        <w:t>à</w:t>
      </w:r>
      <w:r w:rsidR="00F5091F" w:rsidRPr="005E7CDB">
        <w:t xml:space="preserve"> </w:t>
      </w:r>
      <w:r w:rsidRPr="005E7CDB">
        <w:t>l’ADR</w:t>
      </w:r>
      <w:r w:rsidR="00F5091F" w:rsidRPr="005E7CDB">
        <w:t xml:space="preserve"> </w:t>
      </w:r>
      <w:r w:rsidRPr="005E7CDB">
        <w:t>et</w:t>
      </w:r>
      <w:r w:rsidR="00F5091F" w:rsidRPr="005E7CDB">
        <w:t xml:space="preserve"> </w:t>
      </w:r>
      <w:r w:rsidRPr="005E7CDB">
        <w:t>sa</w:t>
      </w:r>
      <w:r w:rsidR="00F5091F" w:rsidRPr="005E7CDB">
        <w:t xml:space="preserve"> </w:t>
      </w:r>
      <w:r w:rsidRPr="005E7CDB">
        <w:t>mise</w:t>
      </w:r>
      <w:r w:rsidR="00F5091F" w:rsidRPr="005E7CDB">
        <w:t xml:space="preserve"> </w:t>
      </w:r>
      <w:r w:rsidRPr="005E7CDB">
        <w:t>en</w:t>
      </w:r>
      <w:r w:rsidR="00F5091F" w:rsidRPr="005E7CDB">
        <w:t xml:space="preserve"> </w:t>
      </w:r>
      <w:r w:rsidRPr="005E7CDB">
        <w:t>application</w:t>
      </w:r>
      <w:r w:rsidR="00F5091F" w:rsidRPr="005E7CDB">
        <w:t xml:space="preserve"> </w:t>
      </w:r>
      <w:r w:rsidRPr="005E7CDB">
        <w:t>(ECE/TRANS/238)</w:t>
      </w:r>
      <w:r w:rsidR="00F5091F" w:rsidRPr="005E7CDB">
        <w:t xml:space="preserve"> </w:t>
      </w:r>
      <w:r w:rsidRPr="005E7CDB">
        <w:t>à</w:t>
      </w:r>
      <w:r w:rsidR="00F5091F" w:rsidRPr="005E7CDB">
        <w:t xml:space="preserve"> </w:t>
      </w:r>
      <w:r w:rsidRPr="005E7CDB">
        <w:t>l’intention</w:t>
      </w:r>
      <w:r w:rsidR="00F5091F" w:rsidRPr="005E7CDB">
        <w:t xml:space="preserve"> </w:t>
      </w:r>
      <w:r w:rsidRPr="005E7CDB">
        <w:t>des</w:t>
      </w:r>
      <w:r w:rsidR="00F5091F" w:rsidRPr="005E7CDB">
        <w:t xml:space="preserve"> </w:t>
      </w:r>
      <w:r w:rsidRPr="005E7CDB">
        <w:t>nouvelles</w:t>
      </w:r>
      <w:r w:rsidR="00F5091F" w:rsidRPr="005E7CDB">
        <w:t xml:space="preserve"> </w:t>
      </w:r>
      <w:r w:rsidRPr="005E7CDB">
        <w:t>Parties</w:t>
      </w:r>
      <w:r w:rsidR="00F5091F" w:rsidRPr="005E7CDB">
        <w:t xml:space="preserve"> </w:t>
      </w:r>
      <w:r w:rsidRPr="005E7CDB">
        <w:t>contractantes</w:t>
      </w:r>
      <w:r w:rsidR="00F5091F" w:rsidRPr="005E7CDB">
        <w:t xml:space="preserve"> </w:t>
      </w:r>
      <w:r w:rsidRPr="005E7CDB">
        <w:t>à</w:t>
      </w:r>
      <w:r w:rsidR="00F5091F" w:rsidRPr="005E7CDB">
        <w:t xml:space="preserve"> </w:t>
      </w:r>
      <w:r w:rsidRPr="005E7CDB">
        <w:t>l’ADR</w:t>
      </w:r>
      <w:r w:rsidR="00F5091F" w:rsidRPr="005E7CDB">
        <w:t xml:space="preserve"> </w:t>
      </w:r>
      <w:r w:rsidRPr="005E7CDB">
        <w:t>et</w:t>
      </w:r>
      <w:r w:rsidR="00F5091F" w:rsidRPr="005E7CDB">
        <w:t xml:space="preserve"> </w:t>
      </w:r>
      <w:r w:rsidRPr="005E7CDB">
        <w:t>des</w:t>
      </w:r>
      <w:r w:rsidR="00F5091F" w:rsidRPr="005E7CDB">
        <w:t xml:space="preserve"> </w:t>
      </w:r>
      <w:r w:rsidRPr="005E7CDB">
        <w:t>Parties</w:t>
      </w:r>
      <w:r w:rsidR="00F5091F" w:rsidRPr="005E7CDB">
        <w:t xml:space="preserve"> </w:t>
      </w:r>
      <w:r w:rsidRPr="005E7CDB">
        <w:t>contractantes</w:t>
      </w:r>
      <w:r w:rsidR="00F5091F" w:rsidRPr="005E7CDB">
        <w:t xml:space="preserve"> </w:t>
      </w:r>
      <w:r w:rsidRPr="005E7CDB">
        <w:t>existantes.</w:t>
      </w:r>
    </w:p>
    <w:p w:rsidR="002728BC" w:rsidRPr="005E7CDB" w:rsidRDefault="002728BC" w:rsidP="006750E9">
      <w:pPr>
        <w:pStyle w:val="H23G"/>
        <w:rPr>
          <w:rFonts w:eastAsia="MS Mincho"/>
        </w:rPr>
      </w:pPr>
      <w:r w:rsidRPr="005E7CDB">
        <w:tab/>
        <w:t>B.</w:t>
      </w:r>
      <w:r w:rsidRPr="005E7CDB">
        <w:tab/>
        <w:t>Indicateurs</w:t>
      </w:r>
      <w:r w:rsidR="00F5091F" w:rsidRPr="005E7CDB">
        <w:t xml:space="preserve"> </w:t>
      </w:r>
      <w:r w:rsidRPr="005E7CDB">
        <w:t>de</w:t>
      </w:r>
      <w:r w:rsidR="00F5091F" w:rsidRPr="005E7CDB">
        <w:t xml:space="preserve"> </w:t>
      </w:r>
      <w:r w:rsidRPr="005E7CDB">
        <w:t>succès</w:t>
      </w:r>
    </w:p>
    <w:p w:rsidR="002728BC" w:rsidRPr="005E7CDB" w:rsidRDefault="002728BC" w:rsidP="00FA3D06">
      <w:pPr>
        <w:pStyle w:val="H4G"/>
      </w:pPr>
      <w:r w:rsidRPr="005E7CDB">
        <w:tab/>
      </w:r>
      <w:r w:rsidRPr="005E7CDB">
        <w:tab/>
        <w:t>Informations</w:t>
      </w:r>
      <w:r w:rsidR="00F5091F" w:rsidRPr="005E7CDB">
        <w:t xml:space="preserve"> </w:t>
      </w:r>
      <w:r w:rsidRPr="005E7CDB">
        <w:t>des</w:t>
      </w:r>
      <w:r w:rsidR="00F5091F" w:rsidRPr="005E7CDB">
        <w:t xml:space="preserve"> </w:t>
      </w:r>
      <w:r w:rsidRPr="005E7CDB">
        <w:t>pays</w:t>
      </w:r>
      <w:r w:rsidR="00F5091F" w:rsidRPr="005E7CDB">
        <w:t xml:space="preserve"> </w:t>
      </w:r>
      <w:r w:rsidRPr="005E7CDB">
        <w:t>sur</w:t>
      </w:r>
      <w:r w:rsidR="00F5091F" w:rsidRPr="005E7CDB">
        <w:t xml:space="preserve"> </w:t>
      </w:r>
      <w:r w:rsidRPr="005E7CDB">
        <w:t>l’ADR</w:t>
      </w:r>
      <w:r w:rsidR="00F5091F" w:rsidRPr="005E7CDB">
        <w:t xml:space="preserve"> </w:t>
      </w:r>
      <w:r w:rsidRPr="005E7CDB">
        <w:t>et</w:t>
      </w:r>
      <w:r w:rsidR="00F5091F" w:rsidRPr="005E7CDB">
        <w:t xml:space="preserve"> </w:t>
      </w:r>
      <w:r w:rsidRPr="005E7CDB">
        <w:t>notifications</w:t>
      </w:r>
      <w:r w:rsidR="00F5091F" w:rsidRPr="005E7CDB">
        <w:t xml:space="preserve"> </w:t>
      </w:r>
      <w:r w:rsidRPr="005E7CDB">
        <w:t>obligatoires</w:t>
      </w:r>
      <w:r w:rsidR="00F5091F" w:rsidRPr="005E7CDB">
        <w:t xml:space="preserve"> </w:t>
      </w:r>
      <w:r w:rsidRPr="005E7CDB">
        <w:t>(informations</w:t>
      </w:r>
      <w:r w:rsidR="00F5091F" w:rsidRPr="005E7CDB">
        <w:t xml:space="preserve"> </w:t>
      </w:r>
      <w:r w:rsidRPr="005E7CDB">
        <w:t>sur</w:t>
      </w:r>
      <w:r w:rsidR="00F5091F" w:rsidRPr="005E7CDB">
        <w:t xml:space="preserve"> </w:t>
      </w:r>
      <w:r w:rsidRPr="005E7CDB">
        <w:t>les</w:t>
      </w:r>
      <w:r w:rsidR="00F5091F" w:rsidRPr="005E7CDB">
        <w:t xml:space="preserve"> </w:t>
      </w:r>
      <w:r w:rsidRPr="005E7CDB">
        <w:t>certificats</w:t>
      </w:r>
      <w:r w:rsidR="00F5091F" w:rsidRPr="005E7CDB">
        <w:t xml:space="preserve"> </w:t>
      </w:r>
      <w:r w:rsidRPr="005E7CDB">
        <w:t>de</w:t>
      </w:r>
      <w:r w:rsidR="00F5091F" w:rsidRPr="005E7CDB">
        <w:t xml:space="preserve"> </w:t>
      </w:r>
      <w:r w:rsidRPr="005E7CDB">
        <w:t>formation</w:t>
      </w:r>
      <w:r w:rsidR="00F5091F" w:rsidRPr="005E7CDB">
        <w:t xml:space="preserve"> </w:t>
      </w:r>
      <w:r w:rsidRPr="005E7CDB">
        <w:t>des</w:t>
      </w:r>
      <w:r w:rsidR="00F5091F" w:rsidRPr="005E7CDB">
        <w:t xml:space="preserve"> </w:t>
      </w:r>
      <w:r w:rsidRPr="005E7CDB">
        <w:t>conducteurs</w:t>
      </w:r>
      <w:r w:rsidR="00F5091F" w:rsidRPr="005E7CDB">
        <w:t xml:space="preserve"> </w:t>
      </w:r>
      <w:r w:rsidRPr="005E7CDB">
        <w:t>et</w:t>
      </w:r>
      <w:r w:rsidR="00F5091F" w:rsidRPr="005E7CDB">
        <w:t xml:space="preserve"> </w:t>
      </w:r>
      <w:r w:rsidRPr="005E7CDB">
        <w:t>informations</w:t>
      </w:r>
      <w:r w:rsidR="00F5091F" w:rsidRPr="005E7CDB">
        <w:t xml:space="preserve"> </w:t>
      </w:r>
      <w:r w:rsidRPr="005E7CDB">
        <w:t>spécifiées</w:t>
      </w:r>
      <w:r w:rsidR="00F5091F" w:rsidRPr="005E7CDB">
        <w:t xml:space="preserve"> </w:t>
      </w:r>
      <w:r w:rsidRPr="005E7CDB">
        <w:t>à</w:t>
      </w:r>
      <w:r w:rsidR="00F5091F" w:rsidRPr="005E7CDB">
        <w:t xml:space="preserve"> </w:t>
      </w:r>
      <w:r w:rsidRPr="005E7CDB">
        <w:t>l’annexe</w:t>
      </w:r>
      <w:r w:rsidR="00F5091F" w:rsidRPr="005E7CDB">
        <w:t xml:space="preserve"> </w:t>
      </w:r>
      <w:r w:rsidRPr="005E7CDB">
        <w:t>I</w:t>
      </w:r>
      <w:r w:rsidR="00F5091F" w:rsidRPr="005E7CDB">
        <w:t xml:space="preserve"> </w:t>
      </w:r>
      <w:r w:rsidRPr="005E7CDB">
        <w:t>du</w:t>
      </w:r>
      <w:r w:rsidR="00F5091F" w:rsidRPr="005E7CDB">
        <w:t xml:space="preserve"> </w:t>
      </w:r>
      <w:r w:rsidRPr="005E7CDB">
        <w:t>plan)</w:t>
      </w:r>
      <w:r w:rsidR="00F5091F" w:rsidRPr="005E7CDB">
        <w:t xml:space="preserve"> </w:t>
      </w:r>
      <w:r w:rsidRPr="005E7CDB">
        <w:t>complétées</w:t>
      </w:r>
      <w:r w:rsidR="00F5091F" w:rsidRPr="005E7CDB">
        <w:t xml:space="preserve"> </w:t>
      </w:r>
      <w:r w:rsidRPr="005E7CDB">
        <w:t>et</w:t>
      </w:r>
      <w:r w:rsidR="00F5091F" w:rsidRPr="005E7CDB">
        <w:t xml:space="preserve"> </w:t>
      </w:r>
      <w:r w:rsidRPr="005E7CDB">
        <w:t>affichées</w:t>
      </w:r>
      <w:r w:rsidR="00F5091F" w:rsidRPr="005E7CDB">
        <w:t xml:space="preserve"> </w:t>
      </w:r>
      <w:r w:rsidRPr="005E7CDB">
        <w:t>sur</w:t>
      </w:r>
      <w:r w:rsidR="00F5091F" w:rsidRPr="005E7CDB">
        <w:t xml:space="preserve"> </w:t>
      </w:r>
      <w:r w:rsidRPr="005E7CDB">
        <w:t>le</w:t>
      </w:r>
      <w:r w:rsidR="00F5091F" w:rsidRPr="005E7CDB">
        <w:t xml:space="preserve"> </w:t>
      </w:r>
      <w:r w:rsidRPr="005E7CDB">
        <w:t>site</w:t>
      </w:r>
      <w:r w:rsidR="00F5091F" w:rsidRPr="005E7CDB">
        <w:t xml:space="preserve"> </w:t>
      </w:r>
      <w:r w:rsidRPr="005E7CDB">
        <w:t>Web</w:t>
      </w:r>
      <w:r w:rsidR="00F5091F" w:rsidRPr="005E7CDB">
        <w:t xml:space="preserve"> </w:t>
      </w:r>
      <w:r w:rsidRPr="005E7CDB">
        <w:t>de</w:t>
      </w:r>
      <w:r w:rsidR="00F5091F" w:rsidRPr="005E7CDB">
        <w:t xml:space="preserve"> </w:t>
      </w:r>
      <w:r w:rsidRPr="005E7CDB">
        <w:t>la</w:t>
      </w:r>
      <w:r w:rsidR="00F5091F" w:rsidRPr="005E7CDB">
        <w:t xml:space="preserve"> </w:t>
      </w:r>
      <w:r w:rsidRPr="005E7CDB">
        <w:t>CEE</w:t>
      </w:r>
      <w:r w:rsidR="00F5091F" w:rsidRPr="005E7CDB">
        <w:t xml:space="preserve"> </w:t>
      </w:r>
      <w:r w:rsidRPr="005E7CDB">
        <w:t>(IS</w:t>
      </w:r>
      <w:r w:rsidR="00F5091F" w:rsidRPr="005E7CDB">
        <w:t xml:space="preserve"> </w:t>
      </w:r>
      <w:r w:rsidR="005D30A7" w:rsidRPr="005E7CDB">
        <w:t>9.c)</w:t>
      </w:r>
    </w:p>
    <w:p w:rsidR="002728BC" w:rsidRPr="005E7CDB" w:rsidRDefault="002728BC" w:rsidP="00FA3D06">
      <w:pPr>
        <w:pStyle w:val="H4G"/>
      </w:pPr>
      <w:r w:rsidRPr="005E7CDB">
        <w:tab/>
      </w:r>
      <w:r w:rsidRPr="005E7CDB">
        <w:tab/>
        <w:t>Mesure</w:t>
      </w:r>
      <w:r w:rsidR="00F5091F" w:rsidRPr="005E7CDB">
        <w:t xml:space="preserve"> </w:t>
      </w:r>
      <w:r w:rsidRPr="005E7CDB">
        <w:t>des</w:t>
      </w:r>
      <w:r w:rsidR="00F5091F" w:rsidRPr="005E7CDB">
        <w:t xml:space="preserve"> </w:t>
      </w:r>
      <w:r w:rsidRPr="005E7CDB">
        <w:t>résultats</w:t>
      </w:r>
      <w:r w:rsidR="00F5091F" w:rsidRPr="005E7CDB">
        <w:t> </w:t>
      </w:r>
      <w:r w:rsidR="00F5091F" w:rsidRPr="002110A3">
        <w:rPr>
          <w:i w:val="0"/>
        </w:rPr>
        <w:t>:</w:t>
      </w:r>
    </w:p>
    <w:p w:rsidR="002728BC" w:rsidRPr="005E7CDB" w:rsidRDefault="002728BC" w:rsidP="00FA3D06">
      <w:pPr>
        <w:pStyle w:val="SingleTxtG"/>
      </w:pPr>
      <w:r w:rsidRPr="005E7CDB">
        <w:t>Objectif</w:t>
      </w:r>
      <w:r w:rsidR="00F5091F" w:rsidRPr="005E7CDB">
        <w:t xml:space="preserve"> </w:t>
      </w:r>
      <w:r w:rsidRPr="005E7CDB">
        <w:t>2016-2017</w:t>
      </w:r>
      <w:r w:rsidR="00C65F16">
        <w:t> :</w:t>
      </w:r>
      <w:r w:rsidR="00F5091F" w:rsidRPr="005E7CDB">
        <w:t xml:space="preserve"> </w:t>
      </w:r>
      <w:r w:rsidRPr="005E7CDB">
        <w:t>informations</w:t>
      </w:r>
      <w:r w:rsidR="00F5091F" w:rsidRPr="005E7CDB">
        <w:t xml:space="preserve"> </w:t>
      </w:r>
      <w:r w:rsidRPr="005E7CDB">
        <w:t>disponibles</w:t>
      </w:r>
      <w:r w:rsidR="00F5091F" w:rsidRPr="005E7CDB">
        <w:t xml:space="preserve"> </w:t>
      </w:r>
      <w:r w:rsidRPr="005E7CDB">
        <w:t>et</w:t>
      </w:r>
      <w:r w:rsidR="00F5091F" w:rsidRPr="005E7CDB">
        <w:t xml:space="preserve"> </w:t>
      </w:r>
      <w:r w:rsidRPr="005E7CDB">
        <w:t>mises</w:t>
      </w:r>
      <w:r w:rsidR="00F5091F" w:rsidRPr="005E7CDB">
        <w:t xml:space="preserve"> </w:t>
      </w:r>
      <w:r w:rsidRPr="005E7CDB">
        <w:t>à</w:t>
      </w:r>
      <w:r w:rsidR="00F5091F" w:rsidRPr="005E7CDB">
        <w:t xml:space="preserve"> </w:t>
      </w:r>
      <w:r w:rsidRPr="005E7CDB">
        <w:t>jour</w:t>
      </w:r>
      <w:r w:rsidR="00F5091F" w:rsidRPr="005E7CDB">
        <w:t xml:space="preserve"> </w:t>
      </w:r>
      <w:r w:rsidRPr="005E7CDB">
        <w:t>pour</w:t>
      </w:r>
      <w:r w:rsidR="00F5091F" w:rsidRPr="005E7CDB">
        <w:t xml:space="preserve"> </w:t>
      </w:r>
      <w:r w:rsidRPr="005E7CDB">
        <w:t>75</w:t>
      </w:r>
      <w:r w:rsidR="00FA3D06" w:rsidRPr="005E7CDB">
        <w:t> </w:t>
      </w:r>
      <w:r w:rsidRPr="005E7CDB">
        <w:t>%</w:t>
      </w:r>
      <w:r w:rsidR="00F5091F" w:rsidRPr="005E7CDB">
        <w:t xml:space="preserve"> </w:t>
      </w:r>
      <w:r w:rsidRPr="005E7CDB">
        <w:t>des</w:t>
      </w:r>
      <w:r w:rsidR="00F5091F" w:rsidRPr="005E7CDB">
        <w:t xml:space="preserve"> </w:t>
      </w:r>
      <w:r w:rsidRPr="005E7CDB">
        <w:t>Parties</w:t>
      </w:r>
      <w:r w:rsidR="00F5091F" w:rsidRPr="005E7CDB">
        <w:t xml:space="preserve"> </w:t>
      </w:r>
      <w:r w:rsidRPr="005E7CDB">
        <w:t>contractantes</w:t>
      </w:r>
      <w:r w:rsidR="00F5091F" w:rsidRPr="005E7CDB">
        <w:t xml:space="preserve"> </w:t>
      </w:r>
      <w:r w:rsidRPr="005E7CDB">
        <w:t>à</w:t>
      </w:r>
      <w:r w:rsidR="00F5091F" w:rsidRPr="005E7CDB">
        <w:t xml:space="preserve"> </w:t>
      </w:r>
      <w:r w:rsidRPr="005E7CDB">
        <w:t>l’ADR</w:t>
      </w:r>
    </w:p>
    <w:p w:rsidR="002728BC" w:rsidRPr="00C65F16" w:rsidRDefault="002728BC" w:rsidP="00FA3D06">
      <w:pPr>
        <w:pStyle w:val="SingleTxtG"/>
        <w:rPr>
          <w:b/>
        </w:rPr>
      </w:pPr>
      <w:r w:rsidRPr="00C65F16">
        <w:rPr>
          <w:b/>
        </w:rPr>
        <w:t>Résultat</w:t>
      </w:r>
      <w:r w:rsidR="00F5091F" w:rsidRPr="00C65F16">
        <w:rPr>
          <w:b/>
        </w:rPr>
        <w:t xml:space="preserve"> </w:t>
      </w:r>
      <w:r w:rsidRPr="00C65F16">
        <w:rPr>
          <w:b/>
        </w:rPr>
        <w:t>obtenu</w:t>
      </w:r>
      <w:r w:rsidR="00F5091F" w:rsidRPr="00C65F16">
        <w:rPr>
          <w:b/>
        </w:rPr>
        <w:t xml:space="preserve"> </w:t>
      </w:r>
      <w:r w:rsidRPr="00C65F16">
        <w:rPr>
          <w:b/>
        </w:rPr>
        <w:t>en</w:t>
      </w:r>
      <w:r w:rsidR="00F5091F" w:rsidRPr="00C65F16">
        <w:rPr>
          <w:b/>
        </w:rPr>
        <w:t xml:space="preserve"> </w:t>
      </w:r>
      <w:r w:rsidRPr="00C65F16">
        <w:rPr>
          <w:b/>
        </w:rPr>
        <w:t>2016-2017</w:t>
      </w:r>
      <w:r w:rsidR="00F5091F" w:rsidRPr="00C65F16">
        <w:rPr>
          <w:b/>
        </w:rPr>
        <w:t xml:space="preserve"> : </w:t>
      </w:r>
      <w:r w:rsidRPr="00C65F16">
        <w:rPr>
          <w:b/>
        </w:rPr>
        <w:t>Informations</w:t>
      </w:r>
      <w:r w:rsidR="00F5091F" w:rsidRPr="00C65F16">
        <w:rPr>
          <w:b/>
        </w:rPr>
        <w:t xml:space="preserve"> </w:t>
      </w:r>
      <w:r w:rsidRPr="00C65F16">
        <w:rPr>
          <w:b/>
        </w:rPr>
        <w:t>disponibles</w:t>
      </w:r>
      <w:r w:rsidR="00F5091F" w:rsidRPr="00C65F16">
        <w:rPr>
          <w:b/>
        </w:rPr>
        <w:t xml:space="preserve"> </w:t>
      </w:r>
      <w:r w:rsidRPr="00C65F16">
        <w:rPr>
          <w:b/>
        </w:rPr>
        <w:t>pour</w:t>
      </w:r>
      <w:r w:rsidR="00F5091F" w:rsidRPr="00C65F16">
        <w:rPr>
          <w:b/>
        </w:rPr>
        <w:t xml:space="preserve"> </w:t>
      </w:r>
      <w:r w:rsidRPr="00C65F16">
        <w:rPr>
          <w:b/>
        </w:rPr>
        <w:t>75</w:t>
      </w:r>
      <w:r w:rsidR="00FA3D06" w:rsidRPr="00C65F16">
        <w:rPr>
          <w:b/>
        </w:rPr>
        <w:t> </w:t>
      </w:r>
      <w:r w:rsidRPr="00C65F16">
        <w:rPr>
          <w:b/>
        </w:rPr>
        <w:t>%</w:t>
      </w:r>
      <w:r w:rsidR="00F5091F" w:rsidRPr="00C65F16">
        <w:rPr>
          <w:b/>
        </w:rPr>
        <w:t xml:space="preserve"> </w:t>
      </w:r>
      <w:r w:rsidRPr="00C65F16">
        <w:rPr>
          <w:b/>
        </w:rPr>
        <w:t>des</w:t>
      </w:r>
      <w:r w:rsidR="00F5091F" w:rsidRPr="00C65F16">
        <w:rPr>
          <w:b/>
        </w:rPr>
        <w:t xml:space="preserve"> </w:t>
      </w:r>
      <w:r w:rsidRPr="00C65F16">
        <w:rPr>
          <w:b/>
        </w:rPr>
        <w:t>Parties</w:t>
      </w:r>
      <w:r w:rsidR="00F5091F" w:rsidRPr="00C65F16">
        <w:rPr>
          <w:b/>
        </w:rPr>
        <w:t xml:space="preserve"> </w:t>
      </w:r>
      <w:r w:rsidRPr="00C65F16">
        <w:rPr>
          <w:b/>
        </w:rPr>
        <w:t>contractantes</w:t>
      </w:r>
      <w:r w:rsidR="00F5091F" w:rsidRPr="00C65F16">
        <w:rPr>
          <w:b/>
        </w:rPr>
        <w:t xml:space="preserve"> </w:t>
      </w:r>
      <w:r w:rsidRPr="00C65F16">
        <w:rPr>
          <w:b/>
        </w:rPr>
        <w:t>à</w:t>
      </w:r>
      <w:r w:rsidR="00F5091F" w:rsidRPr="00C65F16">
        <w:rPr>
          <w:b/>
        </w:rPr>
        <w:t xml:space="preserve"> </w:t>
      </w:r>
      <w:r w:rsidRPr="00C65F16">
        <w:rPr>
          <w:b/>
        </w:rPr>
        <w:t>l’ADR</w:t>
      </w:r>
    </w:p>
    <w:p w:rsidR="002728BC" w:rsidRPr="005E7CDB" w:rsidRDefault="00FA3D06" w:rsidP="00FA3D06">
      <w:pPr>
        <w:pStyle w:val="H23G"/>
      </w:pPr>
      <w:r w:rsidRPr="005E7CDB">
        <w:tab/>
      </w:r>
      <w:r w:rsidR="002728BC" w:rsidRPr="005E7CDB">
        <w:t>C.</w:t>
      </w:r>
      <w:r w:rsidR="002728BC" w:rsidRPr="005E7CDB">
        <w:tab/>
        <w:t>Évaluation</w:t>
      </w:r>
      <w:r w:rsidR="00F5091F" w:rsidRPr="005E7CDB">
        <w:t xml:space="preserve"> </w:t>
      </w:r>
      <w:r w:rsidR="002728BC" w:rsidRPr="005E7CDB">
        <w:t>des</w:t>
      </w:r>
      <w:r w:rsidR="00F5091F" w:rsidRPr="005E7CDB">
        <w:t xml:space="preserve"> </w:t>
      </w:r>
      <w:r w:rsidR="002728BC" w:rsidRPr="005E7CDB">
        <w:t>résultats</w:t>
      </w:r>
    </w:p>
    <w:p w:rsidR="002728BC" w:rsidRPr="005E7CDB" w:rsidRDefault="002728BC" w:rsidP="003E6D77">
      <w:pPr>
        <w:pStyle w:val="SingleTxtG"/>
      </w:pPr>
      <w:r w:rsidRPr="005E7CDB">
        <w:t>11.</w:t>
      </w:r>
      <w:r w:rsidRPr="005E7CDB">
        <w:tab/>
        <w:t>Avec</w:t>
      </w:r>
      <w:r w:rsidR="00F5091F" w:rsidRPr="005E7CDB">
        <w:t xml:space="preserve"> </w:t>
      </w:r>
      <w:r w:rsidRPr="005E7CDB">
        <w:t>l’adhésion</w:t>
      </w:r>
      <w:r w:rsidR="00F5091F" w:rsidRPr="005E7CDB">
        <w:t xml:space="preserve"> </w:t>
      </w:r>
      <w:r w:rsidRPr="005E7CDB">
        <w:t>de</w:t>
      </w:r>
      <w:r w:rsidR="00F5091F" w:rsidRPr="005E7CDB">
        <w:t xml:space="preserve"> </w:t>
      </w:r>
      <w:r w:rsidRPr="005E7CDB">
        <w:t>la</w:t>
      </w:r>
      <w:r w:rsidR="00F5091F" w:rsidRPr="005E7CDB">
        <w:t xml:space="preserve"> </w:t>
      </w:r>
      <w:r w:rsidRPr="005E7CDB">
        <w:t>Géorgie</w:t>
      </w:r>
      <w:r w:rsidR="00F5091F" w:rsidRPr="005E7CDB">
        <w:t xml:space="preserve"> </w:t>
      </w:r>
      <w:r w:rsidRPr="005E7CDB">
        <w:t>le</w:t>
      </w:r>
      <w:r w:rsidR="00F5091F" w:rsidRPr="005E7CDB">
        <w:t xml:space="preserve"> </w:t>
      </w:r>
      <w:r w:rsidRPr="005E7CDB">
        <w:t>19</w:t>
      </w:r>
      <w:r w:rsidR="003E6D77" w:rsidRPr="005E7CDB">
        <w:t> </w:t>
      </w:r>
      <w:r w:rsidRPr="005E7CDB">
        <w:t>septembre</w:t>
      </w:r>
      <w:r w:rsidR="00F5091F" w:rsidRPr="005E7CDB">
        <w:t xml:space="preserve"> </w:t>
      </w:r>
      <w:r w:rsidRPr="005E7CDB">
        <w:t>2016,</w:t>
      </w:r>
      <w:r w:rsidR="00F5091F" w:rsidRPr="005E7CDB">
        <w:t xml:space="preserve"> </w:t>
      </w:r>
      <w:r w:rsidRPr="005E7CDB">
        <w:t>on</w:t>
      </w:r>
      <w:r w:rsidR="00F5091F" w:rsidRPr="005E7CDB">
        <w:t xml:space="preserve"> </w:t>
      </w:r>
      <w:r w:rsidRPr="005E7CDB">
        <w:t>compte</w:t>
      </w:r>
      <w:r w:rsidR="00F5091F" w:rsidRPr="005E7CDB">
        <w:t xml:space="preserve"> </w:t>
      </w:r>
      <w:r w:rsidRPr="005E7CDB">
        <w:t>maintenant</w:t>
      </w:r>
      <w:r w:rsidR="00F5091F" w:rsidRPr="005E7CDB">
        <w:t xml:space="preserve"> </w:t>
      </w:r>
      <w:r w:rsidRPr="005E7CDB">
        <w:t>49</w:t>
      </w:r>
      <w:r w:rsidR="003E6D77" w:rsidRPr="005E7CDB">
        <w:t> </w:t>
      </w:r>
      <w:r w:rsidRPr="005E7CDB">
        <w:t>Parties</w:t>
      </w:r>
      <w:r w:rsidR="00F5091F" w:rsidRPr="005E7CDB">
        <w:t xml:space="preserve"> </w:t>
      </w:r>
      <w:r w:rsidRPr="005E7CDB">
        <w:t>contractantes</w:t>
      </w:r>
      <w:r w:rsidR="00F5091F" w:rsidRPr="005E7CDB">
        <w:t xml:space="preserve"> </w:t>
      </w:r>
      <w:r w:rsidRPr="005E7CDB">
        <w:t>à</w:t>
      </w:r>
      <w:r w:rsidR="00F5091F" w:rsidRPr="005E7CDB">
        <w:t xml:space="preserve"> </w:t>
      </w:r>
      <w:r w:rsidRPr="005E7CDB">
        <w:t>l’ADR.</w:t>
      </w:r>
      <w:r w:rsidR="00F5091F" w:rsidRPr="005E7CDB">
        <w:t xml:space="preserve"> </w:t>
      </w:r>
    </w:p>
    <w:p w:rsidR="002728BC" w:rsidRPr="005E7CDB" w:rsidRDefault="002728BC" w:rsidP="003E6D77">
      <w:pPr>
        <w:pStyle w:val="SingleTxtG"/>
      </w:pPr>
      <w:r w:rsidRPr="005E7CDB">
        <w:t>12.</w:t>
      </w:r>
      <w:r w:rsidRPr="005E7CDB">
        <w:tab/>
        <w:t>Sur</w:t>
      </w:r>
      <w:r w:rsidR="00F5091F" w:rsidRPr="005E7CDB">
        <w:t xml:space="preserve"> </w:t>
      </w:r>
      <w:r w:rsidRPr="005E7CDB">
        <w:t>le</w:t>
      </w:r>
      <w:r w:rsidR="00F5091F" w:rsidRPr="005E7CDB">
        <w:t xml:space="preserve"> </w:t>
      </w:r>
      <w:r w:rsidRPr="005E7CDB">
        <w:t>site</w:t>
      </w:r>
      <w:r w:rsidR="00F5091F" w:rsidRPr="005E7CDB">
        <w:t xml:space="preserve"> </w:t>
      </w:r>
      <w:r w:rsidRPr="005E7CDB">
        <w:t>Web</w:t>
      </w:r>
      <w:r w:rsidR="00F5091F" w:rsidRPr="005E7CDB">
        <w:t xml:space="preserve"> </w:t>
      </w:r>
      <w:r w:rsidRPr="005E7CDB">
        <w:t>de</w:t>
      </w:r>
      <w:r w:rsidR="00F5091F" w:rsidRPr="005E7CDB">
        <w:t xml:space="preserve"> </w:t>
      </w:r>
      <w:r w:rsidRPr="005E7CDB">
        <w:t>la</w:t>
      </w:r>
      <w:r w:rsidR="00F5091F" w:rsidRPr="005E7CDB">
        <w:t xml:space="preserve"> </w:t>
      </w:r>
      <w:r w:rsidRPr="005E7CDB">
        <w:t>CEE,</w:t>
      </w:r>
      <w:r w:rsidR="00F5091F" w:rsidRPr="005E7CDB">
        <w:t xml:space="preserve"> </w:t>
      </w:r>
      <w:r w:rsidRPr="005E7CDB">
        <w:t>la</w:t>
      </w:r>
      <w:r w:rsidR="00F5091F" w:rsidRPr="005E7CDB">
        <w:t xml:space="preserve"> </w:t>
      </w:r>
      <w:r w:rsidRPr="005E7CDB">
        <w:t>page</w:t>
      </w:r>
      <w:r w:rsidR="00F5091F" w:rsidRPr="005E7CDB">
        <w:t xml:space="preserve"> </w:t>
      </w:r>
      <w:r w:rsidRPr="005E7CDB">
        <w:t>présentant</w:t>
      </w:r>
      <w:r w:rsidR="00F5091F" w:rsidRPr="005E7CDB">
        <w:t xml:space="preserve"> </w:t>
      </w:r>
      <w:r w:rsidRPr="005E7CDB">
        <w:t>des</w:t>
      </w:r>
      <w:r w:rsidR="00F5091F" w:rsidRPr="005E7CDB">
        <w:t xml:space="preserve"> </w:t>
      </w:r>
      <w:r w:rsidRPr="005E7CDB">
        <w:t>informations</w:t>
      </w:r>
      <w:r w:rsidR="00F5091F" w:rsidRPr="005E7CDB">
        <w:t xml:space="preserve"> </w:t>
      </w:r>
      <w:r w:rsidRPr="005E7CDB">
        <w:t>par</w:t>
      </w:r>
      <w:r w:rsidR="00F5091F" w:rsidRPr="005E7CDB">
        <w:t xml:space="preserve"> </w:t>
      </w:r>
      <w:r w:rsidRPr="005E7CDB">
        <w:t>pays</w:t>
      </w:r>
      <w:r w:rsidRPr="005E7CDB">
        <w:rPr>
          <w:rStyle w:val="FootnoteReference"/>
        </w:rPr>
        <w:footnoteReference w:id="6"/>
      </w:r>
      <w:r w:rsidR="00F5091F" w:rsidRPr="005E7CDB">
        <w:t xml:space="preserve"> </w:t>
      </w:r>
      <w:r w:rsidRPr="005E7CDB">
        <w:t>contient</w:t>
      </w:r>
      <w:r w:rsidR="00F5091F" w:rsidRPr="005E7CDB">
        <w:t xml:space="preserve"> </w:t>
      </w:r>
      <w:r w:rsidRPr="005E7CDB">
        <w:t>les</w:t>
      </w:r>
      <w:r w:rsidR="00F5091F" w:rsidRPr="005E7CDB">
        <w:t xml:space="preserve"> </w:t>
      </w:r>
      <w:r w:rsidRPr="005E7CDB">
        <w:t>adresses</w:t>
      </w:r>
      <w:r w:rsidR="00F5091F" w:rsidRPr="005E7CDB">
        <w:t xml:space="preserve"> </w:t>
      </w:r>
      <w:r w:rsidRPr="005E7CDB">
        <w:t>des</w:t>
      </w:r>
      <w:r w:rsidR="00F5091F" w:rsidRPr="005E7CDB">
        <w:t xml:space="preserve"> </w:t>
      </w:r>
      <w:r w:rsidRPr="005E7CDB">
        <w:t>autorités</w:t>
      </w:r>
      <w:r w:rsidR="00F5091F" w:rsidRPr="005E7CDB">
        <w:t xml:space="preserve"> </w:t>
      </w:r>
      <w:r w:rsidRPr="005E7CDB">
        <w:t>et</w:t>
      </w:r>
      <w:r w:rsidR="00F5091F" w:rsidRPr="005E7CDB">
        <w:t xml:space="preserve"> </w:t>
      </w:r>
      <w:r w:rsidRPr="005E7CDB">
        <w:t>des</w:t>
      </w:r>
      <w:r w:rsidR="00F5091F" w:rsidRPr="005E7CDB">
        <w:t xml:space="preserve"> </w:t>
      </w:r>
      <w:r w:rsidRPr="005E7CDB">
        <w:t>organismes</w:t>
      </w:r>
      <w:r w:rsidR="00F5091F" w:rsidRPr="005E7CDB">
        <w:t xml:space="preserve"> </w:t>
      </w:r>
      <w:r w:rsidRPr="005E7CDB">
        <w:t>désignés</w:t>
      </w:r>
      <w:r w:rsidR="00F5091F" w:rsidRPr="005E7CDB">
        <w:t xml:space="preserve"> </w:t>
      </w:r>
      <w:r w:rsidRPr="005E7CDB">
        <w:t>par</w:t>
      </w:r>
      <w:r w:rsidR="00F5091F" w:rsidRPr="005E7CDB">
        <w:t xml:space="preserve"> </w:t>
      </w:r>
      <w:r w:rsidRPr="005E7CDB">
        <w:t>elles</w:t>
      </w:r>
      <w:r w:rsidR="00F5091F" w:rsidRPr="005E7CDB">
        <w:t xml:space="preserve"> </w:t>
      </w:r>
      <w:r w:rsidRPr="005E7CDB">
        <w:t>qui</w:t>
      </w:r>
      <w:r w:rsidR="00F5091F" w:rsidRPr="005E7CDB">
        <w:t xml:space="preserve"> </w:t>
      </w:r>
      <w:r w:rsidRPr="005E7CDB">
        <w:t>sont</w:t>
      </w:r>
      <w:r w:rsidR="00F5091F" w:rsidRPr="005E7CDB">
        <w:t xml:space="preserve"> </w:t>
      </w:r>
      <w:r w:rsidRPr="005E7CDB">
        <w:t>compétents</w:t>
      </w:r>
      <w:r w:rsidR="00F5091F" w:rsidRPr="005E7CDB">
        <w:t xml:space="preserve"> </w:t>
      </w:r>
      <w:r w:rsidRPr="005E7CDB">
        <w:t>selon</w:t>
      </w:r>
      <w:r w:rsidR="00F5091F" w:rsidRPr="005E7CDB">
        <w:t xml:space="preserve"> </w:t>
      </w:r>
      <w:r w:rsidRPr="005E7CDB">
        <w:t>le</w:t>
      </w:r>
      <w:r w:rsidR="00F5091F" w:rsidRPr="005E7CDB">
        <w:t xml:space="preserve"> </w:t>
      </w:r>
      <w:r w:rsidRPr="005E7CDB">
        <w:t>droit</w:t>
      </w:r>
      <w:r w:rsidR="00F5091F" w:rsidRPr="005E7CDB">
        <w:t xml:space="preserve"> </w:t>
      </w:r>
      <w:r w:rsidRPr="005E7CDB">
        <w:t>national</w:t>
      </w:r>
      <w:r w:rsidR="00F5091F" w:rsidRPr="005E7CDB">
        <w:t xml:space="preserve"> </w:t>
      </w:r>
      <w:r w:rsidRPr="005E7CDB">
        <w:t>pour</w:t>
      </w:r>
      <w:r w:rsidR="00F5091F" w:rsidRPr="005E7CDB">
        <w:t xml:space="preserve"> </w:t>
      </w:r>
      <w:r w:rsidRPr="005E7CDB">
        <w:t>l’application</w:t>
      </w:r>
      <w:r w:rsidR="00F5091F" w:rsidRPr="005E7CDB">
        <w:t xml:space="preserve"> </w:t>
      </w:r>
      <w:r w:rsidRPr="005E7CDB">
        <w:t>de</w:t>
      </w:r>
      <w:r w:rsidR="00F5091F" w:rsidRPr="005E7CDB">
        <w:t xml:space="preserve"> </w:t>
      </w:r>
      <w:r w:rsidRPr="005E7CDB">
        <w:t>l’ADR.</w:t>
      </w:r>
      <w:r w:rsidR="00F5091F" w:rsidRPr="005E7CDB">
        <w:t xml:space="preserve"> </w:t>
      </w:r>
      <w:r w:rsidRPr="005E7CDB">
        <w:t>Cette</w:t>
      </w:r>
      <w:r w:rsidR="00F5091F" w:rsidRPr="005E7CDB">
        <w:t xml:space="preserve"> </w:t>
      </w:r>
      <w:r w:rsidRPr="005E7CDB">
        <w:t>page</w:t>
      </w:r>
      <w:r w:rsidR="00F5091F" w:rsidRPr="005E7CDB">
        <w:t xml:space="preserve"> </w:t>
      </w:r>
      <w:r w:rsidRPr="005E7CDB">
        <w:t>est</w:t>
      </w:r>
      <w:r w:rsidR="00F5091F" w:rsidRPr="005E7CDB">
        <w:t xml:space="preserve"> </w:t>
      </w:r>
      <w:r w:rsidRPr="005E7CDB">
        <w:t>régulièrement</w:t>
      </w:r>
      <w:r w:rsidR="00F5091F" w:rsidRPr="005E7CDB">
        <w:t xml:space="preserve"> </w:t>
      </w:r>
      <w:r w:rsidRPr="005E7CDB">
        <w:t>mise</w:t>
      </w:r>
      <w:r w:rsidR="00F5091F" w:rsidRPr="005E7CDB">
        <w:t xml:space="preserve"> </w:t>
      </w:r>
      <w:r w:rsidRPr="005E7CDB">
        <w:t>à</w:t>
      </w:r>
      <w:r w:rsidR="00F5091F" w:rsidRPr="005E7CDB">
        <w:t xml:space="preserve"> </w:t>
      </w:r>
      <w:r w:rsidRPr="005E7CDB">
        <w:t>jour</w:t>
      </w:r>
      <w:r w:rsidR="00F5091F" w:rsidRPr="005E7CDB">
        <w:t xml:space="preserve"> </w:t>
      </w:r>
      <w:r w:rsidRPr="005E7CDB">
        <w:t>par</w:t>
      </w:r>
      <w:r w:rsidR="00F5091F" w:rsidRPr="005E7CDB">
        <w:t xml:space="preserve"> </w:t>
      </w:r>
      <w:r w:rsidRPr="005E7CDB">
        <w:t>le</w:t>
      </w:r>
      <w:r w:rsidR="00F5091F" w:rsidRPr="005E7CDB">
        <w:t xml:space="preserve"> </w:t>
      </w:r>
      <w:r w:rsidRPr="005E7CDB">
        <w:t>secrétariat</w:t>
      </w:r>
      <w:r w:rsidR="00F5091F" w:rsidRPr="005E7CDB">
        <w:t xml:space="preserve"> </w:t>
      </w:r>
      <w:r w:rsidRPr="005E7CDB">
        <w:t>en</w:t>
      </w:r>
      <w:r w:rsidR="00F5091F" w:rsidRPr="005E7CDB">
        <w:t xml:space="preserve"> </w:t>
      </w:r>
      <w:r w:rsidRPr="005E7CDB">
        <w:t>fonction</w:t>
      </w:r>
      <w:r w:rsidR="00F5091F" w:rsidRPr="005E7CDB">
        <w:t xml:space="preserve"> </w:t>
      </w:r>
      <w:r w:rsidRPr="005E7CDB">
        <w:t>des</w:t>
      </w:r>
      <w:r w:rsidR="00F5091F" w:rsidRPr="005E7CDB">
        <w:t xml:space="preserve"> </w:t>
      </w:r>
      <w:r w:rsidRPr="005E7CDB">
        <w:t>informations</w:t>
      </w:r>
      <w:r w:rsidR="00F5091F" w:rsidRPr="005E7CDB">
        <w:t xml:space="preserve"> </w:t>
      </w:r>
      <w:r w:rsidRPr="005E7CDB">
        <w:t>reçues</w:t>
      </w:r>
      <w:r w:rsidR="00F5091F" w:rsidRPr="005E7CDB">
        <w:t xml:space="preserve"> </w:t>
      </w:r>
      <w:r w:rsidRPr="005E7CDB">
        <w:t>des</w:t>
      </w:r>
      <w:r w:rsidR="00F5091F" w:rsidRPr="005E7CDB">
        <w:t xml:space="preserve"> </w:t>
      </w:r>
      <w:r w:rsidRPr="005E7CDB">
        <w:t>Parties</w:t>
      </w:r>
      <w:r w:rsidR="00F5091F" w:rsidRPr="005E7CDB">
        <w:t xml:space="preserve"> </w:t>
      </w:r>
      <w:r w:rsidRPr="005E7CDB">
        <w:t>contractantes.</w:t>
      </w:r>
      <w:r w:rsidR="00F5091F" w:rsidRPr="005E7CDB">
        <w:t xml:space="preserve"> </w:t>
      </w:r>
      <w:r w:rsidRPr="005E7CDB">
        <w:t>Pour</w:t>
      </w:r>
      <w:r w:rsidR="00F5091F" w:rsidRPr="005E7CDB">
        <w:t xml:space="preserve"> </w:t>
      </w:r>
      <w:r w:rsidRPr="005E7CDB">
        <w:t>35</w:t>
      </w:r>
      <w:r w:rsidR="00F5091F" w:rsidRPr="005E7CDB">
        <w:t xml:space="preserve"> </w:t>
      </w:r>
      <w:r w:rsidRPr="005E7CDB">
        <w:t>pays,</w:t>
      </w:r>
      <w:r w:rsidR="00F5091F" w:rsidRPr="005E7CDB">
        <w:t xml:space="preserve"> </w:t>
      </w:r>
      <w:r w:rsidRPr="005E7CDB">
        <w:t>ces</w:t>
      </w:r>
      <w:r w:rsidR="00F5091F" w:rsidRPr="005E7CDB">
        <w:t xml:space="preserve"> </w:t>
      </w:r>
      <w:r w:rsidRPr="005E7CDB">
        <w:t>informations</w:t>
      </w:r>
      <w:r w:rsidR="00F5091F" w:rsidRPr="005E7CDB">
        <w:t xml:space="preserve"> </w:t>
      </w:r>
      <w:r w:rsidRPr="005E7CDB">
        <w:t>sont</w:t>
      </w:r>
      <w:r w:rsidR="00F5091F" w:rsidRPr="005E7CDB">
        <w:t xml:space="preserve"> </w:t>
      </w:r>
      <w:r w:rsidRPr="005E7CDB">
        <w:t>détaillées</w:t>
      </w:r>
      <w:r w:rsidR="00F5091F" w:rsidRPr="005E7CDB">
        <w:t xml:space="preserve"> </w:t>
      </w:r>
      <w:r w:rsidRPr="005E7CDB">
        <w:t>et</w:t>
      </w:r>
      <w:r w:rsidR="00F5091F" w:rsidRPr="005E7CDB">
        <w:t xml:space="preserve"> </w:t>
      </w:r>
      <w:r w:rsidRPr="005E7CDB">
        <w:t>régulièrement</w:t>
      </w:r>
      <w:r w:rsidR="00F5091F" w:rsidRPr="005E7CDB">
        <w:t xml:space="preserve"> </w:t>
      </w:r>
      <w:r w:rsidRPr="005E7CDB">
        <w:t>mises</w:t>
      </w:r>
      <w:r w:rsidR="00F5091F" w:rsidRPr="005E7CDB">
        <w:t xml:space="preserve"> </w:t>
      </w:r>
      <w:r w:rsidRPr="005E7CDB">
        <w:t>à</w:t>
      </w:r>
      <w:r w:rsidR="00F5091F" w:rsidRPr="005E7CDB">
        <w:t xml:space="preserve"> </w:t>
      </w:r>
      <w:r w:rsidRPr="005E7CDB">
        <w:t>jour.</w:t>
      </w:r>
      <w:r w:rsidR="00F5091F" w:rsidRPr="005E7CDB">
        <w:t xml:space="preserve"> </w:t>
      </w:r>
      <w:r w:rsidRPr="005E7CDB">
        <w:t>Pour</w:t>
      </w:r>
      <w:r w:rsidR="00F5091F" w:rsidRPr="005E7CDB">
        <w:t xml:space="preserve"> </w:t>
      </w:r>
      <w:r w:rsidRPr="005E7CDB">
        <w:t>11</w:t>
      </w:r>
      <w:r w:rsidR="00F5091F" w:rsidRPr="005E7CDB">
        <w:t xml:space="preserve"> </w:t>
      </w:r>
      <w:r w:rsidRPr="005E7CDB">
        <w:t>autres</w:t>
      </w:r>
      <w:r w:rsidR="00F5091F" w:rsidRPr="005E7CDB">
        <w:t xml:space="preserve"> </w:t>
      </w:r>
      <w:r w:rsidRPr="005E7CDB">
        <w:t>pays</w:t>
      </w:r>
      <w:r w:rsidR="00F5091F" w:rsidRPr="005E7CDB">
        <w:t xml:space="preserve"> </w:t>
      </w:r>
      <w:r w:rsidRPr="005E7CDB">
        <w:t>(Albanie,</w:t>
      </w:r>
      <w:r w:rsidR="00F5091F" w:rsidRPr="005E7CDB">
        <w:t xml:space="preserve"> </w:t>
      </w:r>
      <w:r w:rsidRPr="005E7CDB">
        <w:t>Andorre,</w:t>
      </w:r>
      <w:r w:rsidR="00F5091F" w:rsidRPr="005E7CDB">
        <w:t xml:space="preserve"> </w:t>
      </w:r>
      <w:r w:rsidRPr="005E7CDB">
        <w:t>Azerbaïdjan,</w:t>
      </w:r>
      <w:r w:rsidR="00F5091F" w:rsidRPr="005E7CDB">
        <w:t xml:space="preserve"> </w:t>
      </w:r>
      <w:r w:rsidRPr="005E7CDB">
        <w:t>Bélarus,</w:t>
      </w:r>
      <w:r w:rsidR="00F5091F" w:rsidRPr="005E7CDB">
        <w:t xml:space="preserve"> </w:t>
      </w:r>
      <w:r w:rsidRPr="005E7CDB">
        <w:t>Chypre,</w:t>
      </w:r>
      <w:r w:rsidR="00F5091F" w:rsidRPr="005E7CDB">
        <w:t xml:space="preserve"> </w:t>
      </w:r>
      <w:r w:rsidRPr="005E7CDB">
        <w:t>Estonie,</w:t>
      </w:r>
      <w:r w:rsidR="00F5091F" w:rsidRPr="005E7CDB">
        <w:t xml:space="preserve"> </w:t>
      </w:r>
      <w:r w:rsidRPr="005E7CDB">
        <w:t>Islande,</w:t>
      </w:r>
      <w:r w:rsidR="00F5091F" w:rsidRPr="005E7CDB">
        <w:t xml:space="preserve"> </w:t>
      </w:r>
      <w:r w:rsidRPr="005E7CDB">
        <w:t>Kazakhstan,</w:t>
      </w:r>
      <w:r w:rsidR="00F5091F" w:rsidRPr="005E7CDB">
        <w:t xml:space="preserve"> </w:t>
      </w:r>
      <w:r w:rsidRPr="005E7CDB">
        <w:t>Liechtenstein,</w:t>
      </w:r>
      <w:r w:rsidR="00F5091F" w:rsidRPr="005E7CDB">
        <w:t xml:space="preserve"> </w:t>
      </w:r>
      <w:r w:rsidRPr="005E7CDB">
        <w:t>Maroc</w:t>
      </w:r>
      <w:r w:rsidR="00B758BD">
        <w:t xml:space="preserve">, </w:t>
      </w:r>
      <w:r w:rsidR="00B758BD" w:rsidRPr="005E7CDB">
        <w:t>Monténégro</w:t>
      </w:r>
      <w:r w:rsidRPr="005E7CDB">
        <w:t>),</w:t>
      </w:r>
      <w:r w:rsidR="00F5091F" w:rsidRPr="005E7CDB">
        <w:t xml:space="preserve"> </w:t>
      </w:r>
      <w:r w:rsidRPr="005E7CDB">
        <w:t>les</w:t>
      </w:r>
      <w:r w:rsidR="00F5091F" w:rsidRPr="005E7CDB">
        <w:t xml:space="preserve"> </w:t>
      </w:r>
      <w:r w:rsidRPr="005E7CDB">
        <w:t>coordonnées</w:t>
      </w:r>
      <w:r w:rsidR="00F5091F" w:rsidRPr="005E7CDB">
        <w:t xml:space="preserve"> </w:t>
      </w:r>
      <w:r w:rsidRPr="005E7CDB">
        <w:t>de</w:t>
      </w:r>
      <w:r w:rsidR="00F5091F" w:rsidRPr="005E7CDB">
        <w:t xml:space="preserve"> </w:t>
      </w:r>
      <w:r w:rsidRPr="005E7CDB">
        <w:t>la</w:t>
      </w:r>
      <w:r w:rsidR="00F5091F" w:rsidRPr="005E7CDB">
        <w:t xml:space="preserve"> </w:t>
      </w:r>
      <w:r w:rsidRPr="005E7CDB">
        <w:t>principale</w:t>
      </w:r>
      <w:r w:rsidR="00F5091F" w:rsidRPr="005E7CDB">
        <w:t xml:space="preserve"> </w:t>
      </w:r>
      <w:r w:rsidRPr="005E7CDB">
        <w:t>autorité</w:t>
      </w:r>
      <w:r w:rsidR="00F5091F" w:rsidRPr="005E7CDB">
        <w:t xml:space="preserve"> </w:t>
      </w:r>
      <w:r w:rsidRPr="005E7CDB">
        <w:t>compétente</w:t>
      </w:r>
      <w:r w:rsidR="00F5091F" w:rsidRPr="005E7CDB">
        <w:t xml:space="preserve"> </w:t>
      </w:r>
      <w:r w:rsidRPr="005E7CDB">
        <w:t>sont</w:t>
      </w:r>
      <w:r w:rsidR="00F5091F" w:rsidRPr="005E7CDB">
        <w:t xml:space="preserve"> </w:t>
      </w:r>
      <w:r w:rsidRPr="005E7CDB">
        <w:t>disponibles.</w:t>
      </w:r>
      <w:r w:rsidR="00F5091F" w:rsidRPr="005E7CDB">
        <w:t xml:space="preserve"> </w:t>
      </w:r>
      <w:r w:rsidRPr="005E7CDB">
        <w:t>Pour</w:t>
      </w:r>
      <w:r w:rsidR="00F5091F" w:rsidRPr="005E7CDB">
        <w:t xml:space="preserve"> </w:t>
      </w:r>
      <w:r w:rsidRPr="005E7CDB">
        <w:t>deux</w:t>
      </w:r>
      <w:r w:rsidR="00F5091F" w:rsidRPr="005E7CDB">
        <w:t xml:space="preserve"> </w:t>
      </w:r>
      <w:r w:rsidRPr="005E7CDB">
        <w:t>pays</w:t>
      </w:r>
      <w:r w:rsidR="00F5091F" w:rsidRPr="005E7CDB">
        <w:t xml:space="preserve"> </w:t>
      </w:r>
      <w:r w:rsidRPr="005E7CDB">
        <w:t>(Géorgie</w:t>
      </w:r>
      <w:r w:rsidR="00F5091F" w:rsidRPr="005E7CDB">
        <w:t xml:space="preserve"> </w:t>
      </w:r>
      <w:r w:rsidRPr="005E7CDB">
        <w:t>et</w:t>
      </w:r>
      <w:r w:rsidR="00F5091F" w:rsidRPr="005E7CDB">
        <w:t xml:space="preserve"> </w:t>
      </w:r>
      <w:r w:rsidRPr="005E7CDB">
        <w:t>Tadjikistan)</w:t>
      </w:r>
      <w:r w:rsidR="00F5091F" w:rsidRPr="005E7CDB">
        <w:t xml:space="preserve"> </w:t>
      </w:r>
      <w:r w:rsidRPr="005E7CDB">
        <w:t>les</w:t>
      </w:r>
      <w:r w:rsidR="00F5091F" w:rsidRPr="005E7CDB">
        <w:t xml:space="preserve"> </w:t>
      </w:r>
      <w:r w:rsidRPr="005E7CDB">
        <w:t>informations</w:t>
      </w:r>
      <w:r w:rsidR="00F5091F" w:rsidRPr="005E7CDB">
        <w:t xml:space="preserve"> </w:t>
      </w:r>
      <w:r w:rsidRPr="005E7CDB">
        <w:t>sont</w:t>
      </w:r>
      <w:r w:rsidR="00F5091F" w:rsidRPr="005E7CDB">
        <w:t xml:space="preserve"> </w:t>
      </w:r>
      <w:r w:rsidRPr="005E7CDB">
        <w:t>absentes.</w:t>
      </w:r>
      <w:r w:rsidR="00F5091F" w:rsidRPr="005E7CDB">
        <w:t xml:space="preserve"> </w:t>
      </w:r>
    </w:p>
    <w:p w:rsidR="002728BC" w:rsidRPr="005E7CDB" w:rsidRDefault="002728BC" w:rsidP="003E6D77">
      <w:pPr>
        <w:pStyle w:val="SingleTxtG"/>
      </w:pPr>
      <w:r w:rsidRPr="005E7CDB">
        <w:t>13.</w:t>
      </w:r>
      <w:r w:rsidRPr="005E7CDB">
        <w:tab/>
        <w:t>La</w:t>
      </w:r>
      <w:r w:rsidR="00F5091F" w:rsidRPr="005E7CDB">
        <w:t xml:space="preserve"> </w:t>
      </w:r>
      <w:r w:rsidRPr="005E7CDB">
        <w:t>page</w:t>
      </w:r>
      <w:r w:rsidR="00F5091F" w:rsidRPr="005E7CDB">
        <w:t xml:space="preserve"> </w:t>
      </w:r>
      <w:r w:rsidRPr="005E7CDB">
        <w:t>consacrée</w:t>
      </w:r>
      <w:r w:rsidR="00F5091F" w:rsidRPr="005E7CDB">
        <w:t xml:space="preserve"> </w:t>
      </w:r>
      <w:r w:rsidRPr="005E7CDB">
        <w:t>aux</w:t>
      </w:r>
      <w:r w:rsidR="00F5091F" w:rsidRPr="005E7CDB">
        <w:t xml:space="preserve"> </w:t>
      </w:r>
      <w:r w:rsidRPr="005E7CDB">
        <w:t>certificats</w:t>
      </w:r>
      <w:r w:rsidR="00F5091F" w:rsidRPr="005E7CDB">
        <w:t xml:space="preserve"> </w:t>
      </w:r>
      <w:r w:rsidRPr="005E7CDB">
        <w:t>de</w:t>
      </w:r>
      <w:r w:rsidR="00F5091F" w:rsidRPr="005E7CDB">
        <w:t xml:space="preserve"> </w:t>
      </w:r>
      <w:r w:rsidRPr="005E7CDB">
        <w:t>conducteur</w:t>
      </w:r>
      <w:r w:rsidR="00F5091F" w:rsidRPr="005E7CDB">
        <w:t xml:space="preserve"> </w:t>
      </w:r>
      <w:r w:rsidRPr="005E7CDB">
        <w:t>ADR</w:t>
      </w:r>
      <w:r w:rsidRPr="005E7CDB">
        <w:rPr>
          <w:rStyle w:val="FootnoteReference"/>
        </w:rPr>
        <w:footnoteReference w:id="7"/>
      </w:r>
      <w:r w:rsidR="00F5091F" w:rsidRPr="005E7CDB">
        <w:t xml:space="preserve"> </w:t>
      </w:r>
      <w:r w:rsidRPr="005E7CDB">
        <w:t>contient</w:t>
      </w:r>
      <w:r w:rsidR="00F5091F" w:rsidRPr="005E7CDB">
        <w:t xml:space="preserve"> </w:t>
      </w:r>
      <w:r w:rsidRPr="005E7CDB">
        <w:t>des</w:t>
      </w:r>
      <w:r w:rsidR="00F5091F" w:rsidRPr="005E7CDB">
        <w:t xml:space="preserve"> </w:t>
      </w:r>
      <w:r w:rsidRPr="005E7CDB">
        <w:t>échantillons</w:t>
      </w:r>
      <w:r w:rsidR="00F5091F" w:rsidRPr="005E7CDB">
        <w:t xml:space="preserve"> </w:t>
      </w:r>
      <w:r w:rsidRPr="005E7CDB">
        <w:t>de</w:t>
      </w:r>
      <w:r w:rsidR="00F5091F" w:rsidRPr="005E7CDB">
        <w:t xml:space="preserve"> </w:t>
      </w:r>
      <w:r w:rsidRPr="005E7CDB">
        <w:t>certificats</w:t>
      </w:r>
      <w:r w:rsidR="00F5091F" w:rsidRPr="005E7CDB">
        <w:t xml:space="preserve"> </w:t>
      </w:r>
      <w:r w:rsidRPr="005E7CDB">
        <w:t>ADR</w:t>
      </w:r>
      <w:r w:rsidR="00F5091F" w:rsidRPr="005E7CDB">
        <w:t xml:space="preserve"> </w:t>
      </w:r>
      <w:r w:rsidRPr="005E7CDB">
        <w:t>de</w:t>
      </w:r>
      <w:r w:rsidR="00F5091F" w:rsidRPr="005E7CDB">
        <w:t xml:space="preserve"> </w:t>
      </w:r>
      <w:r w:rsidRPr="005E7CDB">
        <w:t>formation</w:t>
      </w:r>
      <w:r w:rsidR="00F5091F" w:rsidRPr="005E7CDB">
        <w:t xml:space="preserve"> </w:t>
      </w:r>
      <w:r w:rsidRPr="005E7CDB">
        <w:t>de</w:t>
      </w:r>
      <w:r w:rsidR="00F5091F" w:rsidRPr="005E7CDB">
        <w:t xml:space="preserve"> </w:t>
      </w:r>
      <w:r w:rsidRPr="005E7CDB">
        <w:t>conducteur,</w:t>
      </w:r>
      <w:r w:rsidR="00F5091F" w:rsidRPr="005E7CDB">
        <w:t xml:space="preserve"> </w:t>
      </w:r>
      <w:r w:rsidRPr="005E7CDB">
        <w:t>délivrés</w:t>
      </w:r>
      <w:r w:rsidR="00F5091F" w:rsidRPr="005E7CDB">
        <w:t xml:space="preserve"> </w:t>
      </w:r>
      <w:r w:rsidRPr="005E7CDB">
        <w:t>conformément</w:t>
      </w:r>
      <w:r w:rsidR="00F5091F" w:rsidRPr="005E7CDB">
        <w:t xml:space="preserve"> </w:t>
      </w:r>
      <w:r w:rsidRPr="005E7CDB">
        <w:t>aux</w:t>
      </w:r>
      <w:r w:rsidR="00F5091F" w:rsidRPr="005E7CDB">
        <w:t xml:space="preserve"> </w:t>
      </w:r>
      <w:r w:rsidRPr="005E7CDB">
        <w:t>prescriptions</w:t>
      </w:r>
      <w:r w:rsidR="00F5091F" w:rsidRPr="005E7CDB">
        <w:t xml:space="preserve"> </w:t>
      </w:r>
      <w:r w:rsidRPr="005E7CDB">
        <w:t>du</w:t>
      </w:r>
      <w:r w:rsidR="00F5091F" w:rsidRPr="005E7CDB">
        <w:t xml:space="preserve"> </w:t>
      </w:r>
      <w:r w:rsidRPr="005E7CDB">
        <w:t>8.2.2.8.5</w:t>
      </w:r>
      <w:r w:rsidR="00F5091F" w:rsidRPr="005E7CDB">
        <w:t xml:space="preserve"> </w:t>
      </w:r>
      <w:r w:rsidR="002C3B5B">
        <w:t>de l’</w:t>
      </w:r>
      <w:r w:rsidRPr="005E7CDB">
        <w:t>ADR.</w:t>
      </w:r>
      <w:r w:rsidR="00F5091F" w:rsidRPr="005E7CDB">
        <w:t xml:space="preserve"> </w:t>
      </w:r>
      <w:r w:rsidRPr="005E7CDB">
        <w:t>Trente-quatre</w:t>
      </w:r>
      <w:r w:rsidR="00F5091F" w:rsidRPr="005E7CDB">
        <w:t xml:space="preserve"> </w:t>
      </w:r>
      <w:r w:rsidRPr="005E7CDB">
        <w:t>pays</w:t>
      </w:r>
      <w:r w:rsidR="00F5091F" w:rsidRPr="005E7CDB">
        <w:t xml:space="preserve"> </w:t>
      </w:r>
      <w:r w:rsidRPr="005E7CDB">
        <w:t>ont</w:t>
      </w:r>
      <w:r w:rsidR="00F5091F" w:rsidRPr="005E7CDB">
        <w:t xml:space="preserve"> </w:t>
      </w:r>
      <w:r w:rsidRPr="005E7CDB">
        <w:t>envoyé</w:t>
      </w:r>
      <w:r w:rsidR="00F5091F" w:rsidRPr="005E7CDB">
        <w:t xml:space="preserve"> </w:t>
      </w:r>
      <w:r w:rsidRPr="005E7CDB">
        <w:t>leur</w:t>
      </w:r>
      <w:r w:rsidR="00F5091F" w:rsidRPr="005E7CDB">
        <w:t xml:space="preserve"> </w:t>
      </w:r>
      <w:r w:rsidRPr="005E7CDB">
        <w:t>modèle</w:t>
      </w:r>
      <w:r w:rsidR="00F5091F" w:rsidRPr="005E7CDB">
        <w:t xml:space="preserve"> </w:t>
      </w:r>
      <w:r w:rsidRPr="005E7CDB">
        <w:t>de</w:t>
      </w:r>
      <w:r w:rsidR="00F5091F" w:rsidRPr="005E7CDB">
        <w:t xml:space="preserve"> </w:t>
      </w:r>
      <w:r w:rsidRPr="005E7CDB">
        <w:t>certificat.</w:t>
      </w:r>
      <w:r w:rsidR="00F5091F" w:rsidRPr="005E7CDB">
        <w:t xml:space="preserve"> </w:t>
      </w:r>
      <w:r w:rsidRPr="005E7CDB">
        <w:t>En</w:t>
      </w:r>
      <w:r w:rsidR="00F5091F" w:rsidRPr="005E7CDB">
        <w:t xml:space="preserve"> </w:t>
      </w:r>
      <w:r w:rsidRPr="005E7CDB">
        <w:t>ce</w:t>
      </w:r>
      <w:r w:rsidR="00F5091F" w:rsidRPr="005E7CDB">
        <w:t xml:space="preserve"> </w:t>
      </w:r>
      <w:r w:rsidRPr="005E7CDB">
        <w:t>qui</w:t>
      </w:r>
      <w:r w:rsidR="00F5091F" w:rsidRPr="005E7CDB">
        <w:t xml:space="preserve"> </w:t>
      </w:r>
      <w:r w:rsidRPr="005E7CDB">
        <w:t>concerne</w:t>
      </w:r>
      <w:r w:rsidR="00F5091F" w:rsidRPr="005E7CDB">
        <w:t xml:space="preserve"> </w:t>
      </w:r>
      <w:r w:rsidRPr="005E7CDB">
        <w:t>les</w:t>
      </w:r>
      <w:r w:rsidR="00F5091F" w:rsidRPr="005E7CDB">
        <w:t xml:space="preserve"> </w:t>
      </w:r>
      <w:r w:rsidRPr="005E7CDB">
        <w:t>autres</w:t>
      </w:r>
      <w:r w:rsidR="00F5091F" w:rsidRPr="005E7CDB">
        <w:t xml:space="preserve"> </w:t>
      </w:r>
      <w:r w:rsidRPr="005E7CDB">
        <w:t>pays,</w:t>
      </w:r>
      <w:r w:rsidR="00F5091F" w:rsidRPr="005E7CDB">
        <w:t xml:space="preserve"> </w:t>
      </w:r>
      <w:r w:rsidRPr="005E7CDB">
        <w:t>on</w:t>
      </w:r>
      <w:r w:rsidR="00F5091F" w:rsidRPr="005E7CDB">
        <w:t xml:space="preserve"> </w:t>
      </w:r>
      <w:r w:rsidRPr="005E7CDB">
        <w:t>ne</w:t>
      </w:r>
      <w:r w:rsidR="00F5091F" w:rsidRPr="005E7CDB">
        <w:t xml:space="preserve"> </w:t>
      </w:r>
      <w:r w:rsidRPr="005E7CDB">
        <w:t>sait</w:t>
      </w:r>
      <w:r w:rsidR="00F5091F" w:rsidRPr="005E7CDB">
        <w:t xml:space="preserve"> </w:t>
      </w:r>
      <w:r w:rsidRPr="005E7CDB">
        <w:t>pas</w:t>
      </w:r>
      <w:r w:rsidR="00F5091F" w:rsidRPr="005E7CDB">
        <w:t xml:space="preserve"> </w:t>
      </w:r>
      <w:r w:rsidRPr="005E7CDB">
        <w:t>si</w:t>
      </w:r>
      <w:r w:rsidR="00F5091F" w:rsidRPr="005E7CDB">
        <w:t xml:space="preserve"> </w:t>
      </w:r>
      <w:r w:rsidRPr="005E7CDB">
        <w:t>des</w:t>
      </w:r>
      <w:r w:rsidR="00F5091F" w:rsidRPr="005E7CDB">
        <w:t xml:space="preserve"> </w:t>
      </w:r>
      <w:r w:rsidRPr="005E7CDB">
        <w:t>certificats</w:t>
      </w:r>
      <w:r w:rsidR="00F5091F" w:rsidRPr="005E7CDB">
        <w:t xml:space="preserve"> </w:t>
      </w:r>
      <w:r w:rsidRPr="005E7CDB">
        <w:t>y</w:t>
      </w:r>
      <w:r w:rsidR="00F5091F" w:rsidRPr="005E7CDB">
        <w:t xml:space="preserve"> </w:t>
      </w:r>
      <w:r w:rsidRPr="005E7CDB">
        <w:t>sont</w:t>
      </w:r>
      <w:r w:rsidR="00F5091F" w:rsidRPr="005E7CDB">
        <w:t xml:space="preserve"> </w:t>
      </w:r>
      <w:r w:rsidRPr="005E7CDB">
        <w:t>délivrés.</w:t>
      </w:r>
    </w:p>
    <w:p w:rsidR="002728BC" w:rsidRPr="005E7CDB" w:rsidRDefault="002728BC" w:rsidP="003E6D77">
      <w:pPr>
        <w:pStyle w:val="SingleTxtG"/>
      </w:pPr>
      <w:r w:rsidRPr="005E7CDB">
        <w:t>14.</w:t>
      </w:r>
      <w:r w:rsidRPr="005E7CDB">
        <w:tab/>
        <w:t>La</w:t>
      </w:r>
      <w:r w:rsidR="00F5091F" w:rsidRPr="005E7CDB">
        <w:t xml:space="preserve"> </w:t>
      </w:r>
      <w:r w:rsidRPr="005E7CDB">
        <w:t>page</w:t>
      </w:r>
      <w:r w:rsidR="00F5091F" w:rsidRPr="005E7CDB">
        <w:t xml:space="preserve"> </w:t>
      </w:r>
      <w:r w:rsidRPr="005E7CDB">
        <w:t>consacrée</w:t>
      </w:r>
      <w:r w:rsidR="00F5091F" w:rsidRPr="005E7CDB">
        <w:t xml:space="preserve"> </w:t>
      </w:r>
      <w:r w:rsidRPr="005E7CDB">
        <w:t>aux</w:t>
      </w:r>
      <w:r w:rsidR="00F5091F" w:rsidRPr="005E7CDB">
        <w:t xml:space="preserve"> </w:t>
      </w:r>
      <w:r w:rsidRPr="005E7CDB">
        <w:t>versions</w:t>
      </w:r>
      <w:r w:rsidR="00F5091F" w:rsidRPr="005E7CDB">
        <w:t xml:space="preserve"> </w:t>
      </w:r>
      <w:r w:rsidRPr="005E7CDB">
        <w:t>linguistiques</w:t>
      </w:r>
      <w:r w:rsidR="00F5091F" w:rsidRPr="005E7CDB">
        <w:t xml:space="preserve"> </w:t>
      </w:r>
      <w:r w:rsidRPr="005E7CDB">
        <w:t>(ADR,</w:t>
      </w:r>
      <w:r w:rsidR="00F5091F" w:rsidRPr="005E7CDB">
        <w:t xml:space="preserve"> </w:t>
      </w:r>
      <w:r w:rsidRPr="005E7CDB">
        <w:t>consignes</w:t>
      </w:r>
      <w:r w:rsidR="00F5091F" w:rsidRPr="005E7CDB">
        <w:t xml:space="preserve"> </w:t>
      </w:r>
      <w:r w:rsidRPr="005E7CDB">
        <w:t>écrites)</w:t>
      </w:r>
      <w:r w:rsidRPr="005E7CDB">
        <w:rPr>
          <w:rStyle w:val="FootnoteReference"/>
        </w:rPr>
        <w:footnoteReference w:id="8"/>
      </w:r>
      <w:r w:rsidR="00F5091F" w:rsidRPr="005E7CDB">
        <w:t xml:space="preserve"> </w:t>
      </w:r>
      <w:r w:rsidRPr="005E7CDB">
        <w:t>contient</w:t>
      </w:r>
      <w:r w:rsidR="00F5091F" w:rsidRPr="005E7CDB">
        <w:t xml:space="preserve"> </w:t>
      </w:r>
      <w:r w:rsidRPr="005E7CDB">
        <w:t>les</w:t>
      </w:r>
      <w:r w:rsidR="00F5091F" w:rsidRPr="005E7CDB">
        <w:t xml:space="preserve"> </w:t>
      </w:r>
      <w:r w:rsidRPr="005E7CDB">
        <w:t>traductions</w:t>
      </w:r>
      <w:r w:rsidR="00F5091F" w:rsidRPr="005E7CDB">
        <w:t xml:space="preserve"> </w:t>
      </w:r>
      <w:r w:rsidRPr="005E7CDB">
        <w:t>officielles</w:t>
      </w:r>
      <w:r w:rsidR="00F5091F" w:rsidRPr="005E7CDB">
        <w:t xml:space="preserve"> </w:t>
      </w:r>
      <w:r w:rsidRPr="005E7CDB">
        <w:t>des</w:t>
      </w:r>
      <w:r w:rsidR="00F5091F" w:rsidRPr="005E7CDB">
        <w:t xml:space="preserve"> </w:t>
      </w:r>
      <w:r w:rsidRPr="005E7CDB">
        <w:t>consignes</w:t>
      </w:r>
      <w:r w:rsidR="00F5091F" w:rsidRPr="005E7CDB">
        <w:t xml:space="preserve"> </w:t>
      </w:r>
      <w:r w:rsidRPr="005E7CDB">
        <w:t>écrites</w:t>
      </w:r>
      <w:r w:rsidR="00F5091F" w:rsidRPr="005E7CDB">
        <w:t xml:space="preserve"> </w:t>
      </w:r>
      <w:r w:rsidRPr="005E7CDB">
        <w:t>conformément</w:t>
      </w:r>
      <w:r w:rsidR="00F5091F" w:rsidRPr="005E7CDB">
        <w:t xml:space="preserve"> </w:t>
      </w:r>
      <w:r w:rsidRPr="005E7CDB">
        <w:t>à</w:t>
      </w:r>
      <w:r w:rsidR="00F5091F" w:rsidRPr="005E7CDB">
        <w:t xml:space="preserve"> </w:t>
      </w:r>
      <w:r w:rsidRPr="005E7CDB">
        <w:t>la</w:t>
      </w:r>
      <w:r w:rsidR="00F5091F" w:rsidRPr="005E7CDB">
        <w:t xml:space="preserve"> </w:t>
      </w:r>
      <w:r w:rsidRPr="005E7CDB">
        <w:t>section</w:t>
      </w:r>
      <w:r w:rsidR="00F5091F" w:rsidRPr="005E7CDB">
        <w:t xml:space="preserve"> </w:t>
      </w:r>
      <w:r w:rsidRPr="005E7CDB">
        <w:t>5.4.3.4</w:t>
      </w:r>
      <w:r w:rsidR="00F5091F" w:rsidRPr="005E7CDB">
        <w:t xml:space="preserve"> </w:t>
      </w:r>
      <w:r w:rsidRPr="005E7CDB">
        <w:t>de</w:t>
      </w:r>
      <w:r w:rsidR="00F5091F" w:rsidRPr="005E7CDB">
        <w:t xml:space="preserve"> </w:t>
      </w:r>
      <w:r w:rsidRPr="005E7CDB">
        <w:t>l’ADR</w:t>
      </w:r>
      <w:r w:rsidR="00F5091F" w:rsidRPr="005E7CDB">
        <w:t xml:space="preserve"> </w:t>
      </w:r>
      <w:r w:rsidRPr="005E7CDB">
        <w:t>envoyées</w:t>
      </w:r>
      <w:r w:rsidR="00F5091F" w:rsidRPr="005E7CDB">
        <w:t xml:space="preserve"> </w:t>
      </w:r>
      <w:r w:rsidRPr="005E7CDB">
        <w:t>par</w:t>
      </w:r>
      <w:r w:rsidR="00F5091F" w:rsidRPr="005E7CDB">
        <w:t xml:space="preserve"> </w:t>
      </w:r>
      <w:r w:rsidRPr="005E7CDB">
        <w:t>les</w:t>
      </w:r>
      <w:r w:rsidR="00F5091F" w:rsidRPr="005E7CDB">
        <w:t xml:space="preserve"> </w:t>
      </w:r>
      <w:r w:rsidRPr="005E7CDB">
        <w:t>autorités</w:t>
      </w:r>
      <w:r w:rsidR="00F5091F" w:rsidRPr="005E7CDB">
        <w:t xml:space="preserve"> </w:t>
      </w:r>
      <w:r w:rsidRPr="005E7CDB">
        <w:t>compétentes.</w:t>
      </w:r>
      <w:r w:rsidR="00F5091F" w:rsidRPr="005E7CDB">
        <w:t xml:space="preserve"> </w:t>
      </w:r>
      <w:r w:rsidRPr="005E7CDB">
        <w:t>En</w:t>
      </w:r>
      <w:r w:rsidR="00F5091F" w:rsidRPr="005E7CDB">
        <w:t xml:space="preserve"> </w:t>
      </w:r>
      <w:r w:rsidRPr="005E7CDB">
        <w:t>tant</w:t>
      </w:r>
      <w:r w:rsidR="00F5091F" w:rsidRPr="005E7CDB">
        <w:t xml:space="preserve"> </w:t>
      </w:r>
      <w:r w:rsidRPr="005E7CDB">
        <w:t>qu’instrument</w:t>
      </w:r>
      <w:r w:rsidR="00F5091F" w:rsidRPr="005E7CDB">
        <w:t xml:space="preserve"> </w:t>
      </w:r>
      <w:r w:rsidRPr="005E7CDB">
        <w:t>utile</w:t>
      </w:r>
      <w:r w:rsidR="00F5091F" w:rsidRPr="005E7CDB">
        <w:t xml:space="preserve"> </w:t>
      </w:r>
      <w:r w:rsidRPr="005E7CDB">
        <w:t>en</w:t>
      </w:r>
      <w:r w:rsidR="00F5091F" w:rsidRPr="005E7CDB">
        <w:t xml:space="preserve"> </w:t>
      </w:r>
      <w:r w:rsidRPr="005E7CDB">
        <w:t>situation</w:t>
      </w:r>
      <w:r w:rsidR="00F5091F" w:rsidRPr="005E7CDB">
        <w:t xml:space="preserve"> </w:t>
      </w:r>
      <w:r w:rsidRPr="005E7CDB">
        <w:t>d’urgence</w:t>
      </w:r>
      <w:r w:rsidR="00F5091F" w:rsidRPr="005E7CDB">
        <w:t xml:space="preserve"> </w:t>
      </w:r>
      <w:r w:rsidRPr="005E7CDB">
        <w:t>lors</w:t>
      </w:r>
      <w:r w:rsidR="00F5091F" w:rsidRPr="005E7CDB">
        <w:t xml:space="preserve"> </w:t>
      </w:r>
      <w:r w:rsidRPr="005E7CDB">
        <w:t>d’un</w:t>
      </w:r>
      <w:r w:rsidR="00F5091F" w:rsidRPr="005E7CDB">
        <w:t xml:space="preserve"> </w:t>
      </w:r>
      <w:r w:rsidRPr="005E7CDB">
        <w:t>accident</w:t>
      </w:r>
      <w:r w:rsidR="00F5091F" w:rsidRPr="005E7CDB">
        <w:t xml:space="preserve"> </w:t>
      </w:r>
      <w:r w:rsidRPr="005E7CDB">
        <w:t>pouvant</w:t>
      </w:r>
      <w:r w:rsidR="00F5091F" w:rsidRPr="005E7CDB">
        <w:t xml:space="preserve"> </w:t>
      </w:r>
      <w:r w:rsidRPr="005E7CDB">
        <w:t>survenir</w:t>
      </w:r>
      <w:r w:rsidR="00F5091F" w:rsidRPr="005E7CDB">
        <w:t xml:space="preserve"> </w:t>
      </w:r>
      <w:r w:rsidRPr="005E7CDB">
        <w:t>au</w:t>
      </w:r>
      <w:r w:rsidR="00F5091F" w:rsidRPr="005E7CDB">
        <w:t xml:space="preserve"> </w:t>
      </w:r>
      <w:r w:rsidRPr="005E7CDB">
        <w:t>cours</w:t>
      </w:r>
      <w:r w:rsidR="00F5091F" w:rsidRPr="005E7CDB">
        <w:t xml:space="preserve"> </w:t>
      </w:r>
      <w:r w:rsidRPr="005E7CDB">
        <w:t>du</w:t>
      </w:r>
      <w:r w:rsidR="00F5091F" w:rsidRPr="005E7CDB">
        <w:t xml:space="preserve"> </w:t>
      </w:r>
      <w:r w:rsidRPr="005E7CDB">
        <w:t>transport,</w:t>
      </w:r>
      <w:r w:rsidR="00F5091F" w:rsidRPr="005E7CDB">
        <w:t xml:space="preserve"> </w:t>
      </w:r>
      <w:r w:rsidRPr="005E7CDB">
        <w:t>ces</w:t>
      </w:r>
      <w:r w:rsidR="00F5091F" w:rsidRPr="005E7CDB">
        <w:t xml:space="preserve"> </w:t>
      </w:r>
      <w:r w:rsidRPr="005E7CDB">
        <w:t>consignes</w:t>
      </w:r>
      <w:r w:rsidR="00F5091F" w:rsidRPr="005E7CDB">
        <w:t xml:space="preserve"> </w:t>
      </w:r>
      <w:r w:rsidRPr="005E7CDB">
        <w:t>écrites</w:t>
      </w:r>
      <w:r w:rsidR="00F5091F" w:rsidRPr="005E7CDB">
        <w:t xml:space="preserve"> </w:t>
      </w:r>
      <w:r w:rsidRPr="005E7CDB">
        <w:t>doivent</w:t>
      </w:r>
      <w:r w:rsidR="00F5091F" w:rsidRPr="005E7CDB">
        <w:t xml:space="preserve"> </w:t>
      </w:r>
      <w:r w:rsidRPr="005E7CDB">
        <w:t>être</w:t>
      </w:r>
      <w:r w:rsidR="00F5091F" w:rsidRPr="005E7CDB">
        <w:t xml:space="preserve"> </w:t>
      </w:r>
      <w:r w:rsidRPr="005E7CDB">
        <w:t>remises</w:t>
      </w:r>
      <w:r w:rsidR="00F5091F" w:rsidRPr="005E7CDB">
        <w:t xml:space="preserve"> </w:t>
      </w:r>
      <w:r w:rsidRPr="005E7CDB">
        <w:t>aux</w:t>
      </w:r>
      <w:r w:rsidR="00F5091F" w:rsidRPr="005E7CDB">
        <w:t xml:space="preserve"> </w:t>
      </w:r>
      <w:r w:rsidRPr="005E7CDB">
        <w:t>membres</w:t>
      </w:r>
      <w:r w:rsidR="00F5091F" w:rsidRPr="005E7CDB">
        <w:t xml:space="preserve"> </w:t>
      </w:r>
      <w:r w:rsidRPr="005E7CDB">
        <w:t>de</w:t>
      </w:r>
      <w:r w:rsidR="00F5091F" w:rsidRPr="005E7CDB">
        <w:t xml:space="preserve"> </w:t>
      </w:r>
      <w:r w:rsidRPr="005E7CDB">
        <w:t>l’équipage</w:t>
      </w:r>
      <w:r w:rsidR="00F5091F" w:rsidRPr="005E7CDB">
        <w:t xml:space="preserve"> </w:t>
      </w:r>
      <w:r w:rsidRPr="005E7CDB">
        <w:t>du</w:t>
      </w:r>
      <w:r w:rsidR="00F5091F" w:rsidRPr="005E7CDB">
        <w:t xml:space="preserve"> </w:t>
      </w:r>
      <w:r w:rsidRPr="005E7CDB">
        <w:t>véhicule</w:t>
      </w:r>
      <w:r w:rsidR="00F5091F" w:rsidRPr="005E7CDB">
        <w:t xml:space="preserve"> </w:t>
      </w:r>
      <w:r w:rsidRPr="005E7CDB">
        <w:t>en</w:t>
      </w:r>
      <w:r w:rsidR="00F5091F" w:rsidRPr="005E7CDB">
        <w:t xml:space="preserve"> </w:t>
      </w:r>
      <w:r w:rsidRPr="005E7CDB">
        <w:t>une</w:t>
      </w:r>
      <w:r w:rsidR="00F5091F" w:rsidRPr="005E7CDB">
        <w:t xml:space="preserve"> </w:t>
      </w:r>
      <w:r w:rsidRPr="005E7CDB">
        <w:t>(des)</w:t>
      </w:r>
      <w:r w:rsidR="00F5091F" w:rsidRPr="005E7CDB">
        <w:t xml:space="preserve"> </w:t>
      </w:r>
      <w:r w:rsidRPr="005E7CDB">
        <w:t>langue(s)</w:t>
      </w:r>
      <w:r w:rsidR="00F5091F" w:rsidRPr="005E7CDB">
        <w:t xml:space="preserve"> </w:t>
      </w:r>
      <w:r w:rsidRPr="005E7CDB">
        <w:t>que</w:t>
      </w:r>
      <w:r w:rsidR="00F5091F" w:rsidRPr="005E7CDB">
        <w:t xml:space="preserve"> </w:t>
      </w:r>
      <w:r w:rsidRPr="005E7CDB">
        <w:t>chaque</w:t>
      </w:r>
      <w:r w:rsidR="00F5091F" w:rsidRPr="005E7CDB">
        <w:t xml:space="preserve"> </w:t>
      </w:r>
      <w:r w:rsidRPr="005E7CDB">
        <w:t>membre</w:t>
      </w:r>
      <w:r w:rsidR="00F5091F" w:rsidRPr="005E7CDB">
        <w:t xml:space="preserve"> </w:t>
      </w:r>
      <w:r w:rsidRPr="005E7CDB">
        <w:t>peut</w:t>
      </w:r>
      <w:r w:rsidR="00F5091F" w:rsidRPr="005E7CDB">
        <w:t xml:space="preserve"> </w:t>
      </w:r>
      <w:r w:rsidRPr="005E7CDB">
        <w:t>lire</w:t>
      </w:r>
      <w:r w:rsidR="00F5091F" w:rsidRPr="005E7CDB">
        <w:t xml:space="preserve"> </w:t>
      </w:r>
      <w:r w:rsidRPr="005E7CDB">
        <w:t>et</w:t>
      </w:r>
      <w:r w:rsidR="00F5091F" w:rsidRPr="005E7CDB">
        <w:t xml:space="preserve"> </w:t>
      </w:r>
      <w:r w:rsidRPr="005E7CDB">
        <w:t>comprendre.</w:t>
      </w:r>
      <w:r w:rsidR="00F5091F" w:rsidRPr="005E7CDB">
        <w:t xml:space="preserve"> </w:t>
      </w:r>
      <w:r w:rsidRPr="005E7CDB">
        <w:t>Pour</w:t>
      </w:r>
      <w:r w:rsidR="00F5091F" w:rsidRPr="005E7CDB">
        <w:t xml:space="preserve"> </w:t>
      </w:r>
      <w:r w:rsidRPr="005E7CDB">
        <w:t>10</w:t>
      </w:r>
      <w:r w:rsidR="00F5091F" w:rsidRPr="005E7CDB">
        <w:t xml:space="preserve"> </w:t>
      </w:r>
      <w:r w:rsidRPr="005E7CDB">
        <w:t>pays</w:t>
      </w:r>
      <w:r w:rsidR="00F5091F" w:rsidRPr="005E7CDB">
        <w:t xml:space="preserve"> </w:t>
      </w:r>
      <w:r w:rsidRPr="005E7CDB">
        <w:t>(Albanie,</w:t>
      </w:r>
      <w:r w:rsidR="00F5091F" w:rsidRPr="005E7CDB">
        <w:t xml:space="preserve"> </w:t>
      </w:r>
      <w:r w:rsidRPr="005E7CDB">
        <w:t>Andorre,</w:t>
      </w:r>
      <w:r w:rsidR="00F5091F" w:rsidRPr="005E7CDB">
        <w:t xml:space="preserve"> </w:t>
      </w:r>
      <w:r w:rsidRPr="005E7CDB">
        <w:t>Azerbaïdjan,</w:t>
      </w:r>
      <w:r w:rsidR="00F5091F" w:rsidRPr="005E7CDB">
        <w:t xml:space="preserve"> </w:t>
      </w:r>
      <w:r w:rsidRPr="005E7CDB">
        <w:t>Croatie,</w:t>
      </w:r>
      <w:r w:rsidR="00F5091F" w:rsidRPr="005E7CDB">
        <w:t xml:space="preserve"> </w:t>
      </w:r>
      <w:r w:rsidRPr="005E7CDB">
        <w:t>ex</w:t>
      </w:r>
      <w:r w:rsidR="002C3B5B">
        <w:noBreakHyphen/>
      </w:r>
      <w:r w:rsidRPr="005E7CDB">
        <w:t>République</w:t>
      </w:r>
      <w:r w:rsidR="00F5091F" w:rsidRPr="005E7CDB">
        <w:t xml:space="preserve"> </w:t>
      </w:r>
      <w:r w:rsidRPr="005E7CDB">
        <w:t>yougoslave</w:t>
      </w:r>
      <w:r w:rsidR="00F5091F" w:rsidRPr="005E7CDB">
        <w:t xml:space="preserve"> </w:t>
      </w:r>
      <w:r w:rsidRPr="005E7CDB">
        <w:t>de</w:t>
      </w:r>
      <w:r w:rsidR="00F5091F" w:rsidRPr="005E7CDB">
        <w:t xml:space="preserve"> </w:t>
      </w:r>
      <w:r w:rsidRPr="005E7CDB">
        <w:t>Macédoine,</w:t>
      </w:r>
      <w:r w:rsidR="00F5091F" w:rsidRPr="005E7CDB">
        <w:t xml:space="preserve"> </w:t>
      </w:r>
      <w:r w:rsidRPr="005E7CDB">
        <w:t>Islande,</w:t>
      </w:r>
      <w:r w:rsidR="00F5091F" w:rsidRPr="005E7CDB">
        <w:t xml:space="preserve"> </w:t>
      </w:r>
      <w:r w:rsidRPr="005E7CDB">
        <w:t>Maroc,</w:t>
      </w:r>
      <w:r w:rsidR="00F5091F" w:rsidRPr="005E7CDB">
        <w:t xml:space="preserve"> </w:t>
      </w:r>
      <w:r w:rsidR="0055208E" w:rsidRPr="005E7CDB">
        <w:t xml:space="preserve">Monténégro, </w:t>
      </w:r>
      <w:r w:rsidRPr="005E7CDB">
        <w:t>Tunisie</w:t>
      </w:r>
      <w:r w:rsidR="00F5091F" w:rsidRPr="005E7CDB">
        <w:t xml:space="preserve"> </w:t>
      </w:r>
      <w:r w:rsidRPr="005E7CDB">
        <w:t>et</w:t>
      </w:r>
      <w:r w:rsidR="00F5091F" w:rsidRPr="005E7CDB">
        <w:t xml:space="preserve"> </w:t>
      </w:r>
      <w:r w:rsidRPr="005E7CDB">
        <w:t>Ukraine),</w:t>
      </w:r>
      <w:r w:rsidR="00F5091F" w:rsidRPr="005E7CDB">
        <w:t xml:space="preserve"> </w:t>
      </w:r>
      <w:r w:rsidRPr="005E7CDB">
        <w:t>la</w:t>
      </w:r>
      <w:r w:rsidR="00F5091F" w:rsidRPr="005E7CDB">
        <w:t xml:space="preserve"> </w:t>
      </w:r>
      <w:r w:rsidRPr="005E7CDB">
        <w:t>traduction</w:t>
      </w:r>
      <w:r w:rsidR="00F5091F" w:rsidRPr="005E7CDB">
        <w:t xml:space="preserve"> </w:t>
      </w:r>
      <w:r w:rsidRPr="005E7CDB">
        <w:t>dans</w:t>
      </w:r>
      <w:r w:rsidR="00F5091F" w:rsidRPr="005E7CDB">
        <w:t xml:space="preserve"> </w:t>
      </w:r>
      <w:r w:rsidRPr="005E7CDB">
        <w:t>la</w:t>
      </w:r>
      <w:r w:rsidR="00F5091F" w:rsidRPr="005E7CDB">
        <w:t xml:space="preserve"> </w:t>
      </w:r>
      <w:r w:rsidRPr="005E7CDB">
        <w:t>(les)</w:t>
      </w:r>
      <w:r w:rsidR="00F5091F" w:rsidRPr="005E7CDB">
        <w:t xml:space="preserve"> </w:t>
      </w:r>
      <w:r w:rsidRPr="005E7CDB">
        <w:t>langue</w:t>
      </w:r>
      <w:r w:rsidR="0055208E">
        <w:t>(s)</w:t>
      </w:r>
      <w:r w:rsidR="00F5091F" w:rsidRPr="005E7CDB">
        <w:t xml:space="preserve"> </w:t>
      </w:r>
      <w:r w:rsidRPr="005E7CDB">
        <w:t>officielle(s)</w:t>
      </w:r>
      <w:r w:rsidR="00F5091F" w:rsidRPr="005E7CDB">
        <w:t xml:space="preserve"> </w:t>
      </w:r>
      <w:r w:rsidRPr="005E7CDB">
        <w:t>du</w:t>
      </w:r>
      <w:r w:rsidR="00F5091F" w:rsidRPr="005E7CDB">
        <w:t xml:space="preserve"> </w:t>
      </w:r>
      <w:r w:rsidRPr="005E7CDB">
        <w:t>pays</w:t>
      </w:r>
      <w:r w:rsidR="00F5091F" w:rsidRPr="005E7CDB">
        <w:t xml:space="preserve"> </w:t>
      </w:r>
      <w:r w:rsidRPr="005E7CDB">
        <w:t>n’est</w:t>
      </w:r>
      <w:r w:rsidR="00F5091F" w:rsidRPr="005E7CDB">
        <w:t xml:space="preserve"> </w:t>
      </w:r>
      <w:r w:rsidRPr="005E7CDB">
        <w:t>pas</w:t>
      </w:r>
      <w:r w:rsidR="00F5091F" w:rsidRPr="005E7CDB">
        <w:t xml:space="preserve"> </w:t>
      </w:r>
      <w:r w:rsidRPr="005E7CDB">
        <w:t>disponible</w:t>
      </w:r>
      <w:r w:rsidR="00F5091F" w:rsidRPr="005E7CDB">
        <w:t xml:space="preserve"> </w:t>
      </w:r>
      <w:r w:rsidRPr="005E7CDB">
        <w:t>sur</w:t>
      </w:r>
      <w:r w:rsidR="00F5091F" w:rsidRPr="005E7CDB">
        <w:t xml:space="preserve"> </w:t>
      </w:r>
      <w:r w:rsidRPr="005E7CDB">
        <w:t>le</w:t>
      </w:r>
      <w:r w:rsidR="00F5091F" w:rsidRPr="005E7CDB">
        <w:t xml:space="preserve"> </w:t>
      </w:r>
      <w:r w:rsidRPr="005E7CDB">
        <w:t>site</w:t>
      </w:r>
      <w:r w:rsidR="00F5091F" w:rsidRPr="005E7CDB">
        <w:t xml:space="preserve"> </w:t>
      </w:r>
      <w:r w:rsidRPr="005E7CDB">
        <w:t>Web.</w:t>
      </w:r>
      <w:r w:rsidR="00F5091F" w:rsidRPr="005E7CDB">
        <w:t xml:space="preserve"> </w:t>
      </w:r>
      <w:r w:rsidRPr="005E7CDB">
        <w:t>D’autres</w:t>
      </w:r>
      <w:r w:rsidR="00F5091F" w:rsidRPr="005E7CDB">
        <w:t xml:space="preserve"> </w:t>
      </w:r>
      <w:r w:rsidRPr="005E7CDB">
        <w:t>langues</w:t>
      </w:r>
      <w:r w:rsidR="00F5091F" w:rsidRPr="005E7CDB">
        <w:t xml:space="preserve"> </w:t>
      </w:r>
      <w:r w:rsidRPr="005E7CDB">
        <w:t>majeures</w:t>
      </w:r>
      <w:r w:rsidR="00F5091F" w:rsidRPr="005E7CDB">
        <w:t xml:space="preserve"> </w:t>
      </w:r>
      <w:r w:rsidRPr="005E7CDB">
        <w:t>non</w:t>
      </w:r>
      <w:r w:rsidR="00F5091F" w:rsidRPr="005E7CDB">
        <w:t xml:space="preserve"> </w:t>
      </w:r>
      <w:r w:rsidRPr="005E7CDB">
        <w:t>officielles</w:t>
      </w:r>
      <w:r w:rsidR="00F5091F" w:rsidRPr="005E7CDB">
        <w:t xml:space="preserve"> </w:t>
      </w:r>
      <w:r w:rsidRPr="005E7CDB">
        <w:t>utilisées</w:t>
      </w:r>
      <w:r w:rsidR="00F5091F" w:rsidRPr="005E7CDB">
        <w:t xml:space="preserve"> </w:t>
      </w:r>
      <w:r w:rsidRPr="005E7CDB">
        <w:t>dans</w:t>
      </w:r>
      <w:r w:rsidR="00F5091F" w:rsidRPr="005E7CDB">
        <w:t xml:space="preserve"> </w:t>
      </w:r>
      <w:r w:rsidRPr="005E7CDB">
        <w:t>le</w:t>
      </w:r>
      <w:r w:rsidR="00F5091F" w:rsidRPr="005E7CDB">
        <w:t xml:space="preserve"> </w:t>
      </w:r>
      <w:r w:rsidRPr="005E7CDB">
        <w:t>pays</w:t>
      </w:r>
      <w:r w:rsidR="00F5091F" w:rsidRPr="005E7CDB">
        <w:t xml:space="preserve"> </w:t>
      </w:r>
      <w:r w:rsidRPr="005E7CDB">
        <w:t>peuvent</w:t>
      </w:r>
      <w:r w:rsidR="00F5091F" w:rsidRPr="005E7CDB">
        <w:t xml:space="preserve"> </w:t>
      </w:r>
      <w:r w:rsidRPr="005E7CDB">
        <w:t>être</w:t>
      </w:r>
      <w:r w:rsidR="00F5091F" w:rsidRPr="005E7CDB">
        <w:t xml:space="preserve"> </w:t>
      </w:r>
      <w:r w:rsidRPr="005E7CDB">
        <w:t>disponibles.</w:t>
      </w:r>
      <w:r w:rsidR="00F5091F" w:rsidRPr="005E7CDB">
        <w:t xml:space="preserve"> </w:t>
      </w:r>
      <w:r w:rsidRPr="005E7CDB">
        <w:t>Pour</w:t>
      </w:r>
      <w:r w:rsidR="00F5091F" w:rsidRPr="005E7CDB">
        <w:t xml:space="preserve"> </w:t>
      </w:r>
      <w:r w:rsidRPr="005E7CDB">
        <w:t>les</w:t>
      </w:r>
      <w:r w:rsidR="00F5091F" w:rsidRPr="005E7CDB">
        <w:t xml:space="preserve"> </w:t>
      </w:r>
      <w:r w:rsidRPr="005E7CDB">
        <w:t>autres</w:t>
      </w:r>
      <w:r w:rsidR="00F5091F" w:rsidRPr="005E7CDB">
        <w:t xml:space="preserve"> </w:t>
      </w:r>
      <w:r w:rsidRPr="005E7CDB">
        <w:t>pays</w:t>
      </w:r>
      <w:r w:rsidR="00F5091F" w:rsidRPr="005E7CDB">
        <w:t xml:space="preserve"> </w:t>
      </w:r>
      <w:r w:rsidRPr="005E7CDB">
        <w:t>(79</w:t>
      </w:r>
      <w:r w:rsidR="003E6D77" w:rsidRPr="005E7CDB">
        <w:t> </w:t>
      </w:r>
      <w:r w:rsidRPr="005E7CDB">
        <w:t>%),</w:t>
      </w:r>
      <w:r w:rsidR="00F5091F" w:rsidRPr="005E7CDB">
        <w:t xml:space="preserve"> </w:t>
      </w:r>
      <w:r w:rsidRPr="005E7CDB">
        <w:t>au</w:t>
      </w:r>
      <w:r w:rsidR="00F5091F" w:rsidRPr="005E7CDB">
        <w:t xml:space="preserve"> </w:t>
      </w:r>
      <w:r w:rsidRPr="005E7CDB">
        <w:t>moins</w:t>
      </w:r>
      <w:r w:rsidR="00F5091F" w:rsidRPr="005E7CDB">
        <w:t xml:space="preserve"> </w:t>
      </w:r>
      <w:r w:rsidRPr="005E7CDB">
        <w:t>une</w:t>
      </w:r>
      <w:r w:rsidR="00F5091F" w:rsidRPr="005E7CDB">
        <w:t xml:space="preserve"> </w:t>
      </w:r>
      <w:r w:rsidRPr="005E7CDB">
        <w:t>langue</w:t>
      </w:r>
      <w:r w:rsidR="00F5091F" w:rsidRPr="005E7CDB">
        <w:t xml:space="preserve"> </w:t>
      </w:r>
      <w:r w:rsidRPr="005E7CDB">
        <w:t>officielle</w:t>
      </w:r>
      <w:r w:rsidR="00F5091F" w:rsidRPr="005E7CDB">
        <w:t xml:space="preserve"> </w:t>
      </w:r>
      <w:r w:rsidRPr="005E7CDB">
        <w:t>est</w:t>
      </w:r>
      <w:r w:rsidR="00F5091F" w:rsidRPr="005E7CDB">
        <w:t xml:space="preserve"> </w:t>
      </w:r>
      <w:r w:rsidRPr="005E7CDB">
        <w:t>disponible.</w:t>
      </w:r>
    </w:p>
    <w:p w:rsidR="002728BC" w:rsidRPr="005E7CDB" w:rsidRDefault="002728BC" w:rsidP="00DE6CA4">
      <w:pPr>
        <w:pStyle w:val="SingleTxtG"/>
        <w:rPr>
          <w:spacing w:val="-2"/>
        </w:rPr>
      </w:pPr>
      <w:r w:rsidRPr="005E7CDB">
        <w:rPr>
          <w:spacing w:val="-2"/>
        </w:rPr>
        <w:t>15.</w:t>
      </w:r>
      <w:r w:rsidRPr="005E7CDB">
        <w:rPr>
          <w:spacing w:val="-2"/>
        </w:rPr>
        <w:tab/>
        <w:t>La</w:t>
      </w:r>
      <w:r w:rsidR="00F5091F" w:rsidRPr="005E7CDB">
        <w:rPr>
          <w:spacing w:val="-2"/>
        </w:rPr>
        <w:t xml:space="preserve"> </w:t>
      </w:r>
      <w:r w:rsidRPr="005E7CDB">
        <w:rPr>
          <w:spacing w:val="-2"/>
        </w:rPr>
        <w:t>page</w:t>
      </w:r>
      <w:r w:rsidR="00F5091F" w:rsidRPr="005E7CDB">
        <w:rPr>
          <w:spacing w:val="-2"/>
        </w:rPr>
        <w:t xml:space="preserve"> </w:t>
      </w:r>
      <w:r w:rsidRPr="005E7CDB">
        <w:rPr>
          <w:spacing w:val="-2"/>
        </w:rPr>
        <w:t>consacrée</w:t>
      </w:r>
      <w:r w:rsidR="00F5091F" w:rsidRPr="005E7CDB">
        <w:rPr>
          <w:spacing w:val="-2"/>
        </w:rPr>
        <w:t xml:space="preserve"> </w:t>
      </w:r>
      <w:r w:rsidRPr="005E7CDB">
        <w:rPr>
          <w:spacing w:val="-2"/>
        </w:rPr>
        <w:t>aux</w:t>
      </w:r>
      <w:r w:rsidR="00F5091F" w:rsidRPr="005E7CDB">
        <w:rPr>
          <w:spacing w:val="-2"/>
        </w:rPr>
        <w:t xml:space="preserve"> </w:t>
      </w:r>
      <w:r w:rsidRPr="005E7CDB">
        <w:rPr>
          <w:spacing w:val="-2"/>
        </w:rPr>
        <w:t>accords</w:t>
      </w:r>
      <w:r w:rsidR="00F5091F" w:rsidRPr="005E7CDB">
        <w:rPr>
          <w:spacing w:val="-2"/>
        </w:rPr>
        <w:t xml:space="preserve"> </w:t>
      </w:r>
      <w:r w:rsidRPr="005E7CDB">
        <w:rPr>
          <w:spacing w:val="-2"/>
        </w:rPr>
        <w:t>multilatéraux</w:t>
      </w:r>
      <w:r w:rsidRPr="005E7CDB">
        <w:rPr>
          <w:rStyle w:val="FootnoteReference"/>
          <w:spacing w:val="-2"/>
        </w:rPr>
        <w:footnoteReference w:id="9"/>
      </w:r>
      <w:r w:rsidR="00F5091F" w:rsidRPr="005E7CDB">
        <w:rPr>
          <w:spacing w:val="-2"/>
        </w:rPr>
        <w:t xml:space="preserve"> </w:t>
      </w:r>
      <w:r w:rsidRPr="005E7CDB">
        <w:rPr>
          <w:spacing w:val="-2"/>
        </w:rPr>
        <w:t>contient</w:t>
      </w:r>
      <w:r w:rsidR="00F5091F" w:rsidRPr="005E7CDB">
        <w:rPr>
          <w:spacing w:val="-2"/>
        </w:rPr>
        <w:t xml:space="preserve"> </w:t>
      </w:r>
      <w:r w:rsidRPr="005E7CDB">
        <w:rPr>
          <w:spacing w:val="-2"/>
        </w:rPr>
        <w:t>la</w:t>
      </w:r>
      <w:r w:rsidR="00F5091F" w:rsidRPr="005E7CDB">
        <w:rPr>
          <w:spacing w:val="-2"/>
        </w:rPr>
        <w:t xml:space="preserve"> </w:t>
      </w:r>
      <w:r w:rsidRPr="005E7CDB">
        <w:rPr>
          <w:spacing w:val="-2"/>
        </w:rPr>
        <w:t>liste</w:t>
      </w:r>
      <w:r w:rsidR="00F5091F" w:rsidRPr="005E7CDB">
        <w:rPr>
          <w:spacing w:val="-2"/>
        </w:rPr>
        <w:t xml:space="preserve"> </w:t>
      </w:r>
      <w:r w:rsidRPr="005E7CDB">
        <w:rPr>
          <w:spacing w:val="-2"/>
        </w:rPr>
        <w:t>des</w:t>
      </w:r>
      <w:r w:rsidR="00F5091F" w:rsidRPr="005E7CDB">
        <w:rPr>
          <w:spacing w:val="-2"/>
        </w:rPr>
        <w:t xml:space="preserve"> </w:t>
      </w:r>
      <w:r w:rsidRPr="005E7CDB">
        <w:rPr>
          <w:spacing w:val="-2"/>
        </w:rPr>
        <w:t>accords</w:t>
      </w:r>
      <w:r w:rsidR="00F5091F" w:rsidRPr="005E7CDB">
        <w:rPr>
          <w:spacing w:val="-2"/>
        </w:rPr>
        <w:t xml:space="preserve"> </w:t>
      </w:r>
      <w:r w:rsidRPr="005E7CDB">
        <w:rPr>
          <w:spacing w:val="-2"/>
        </w:rPr>
        <w:t>bilatéraux</w:t>
      </w:r>
      <w:r w:rsidR="00F5091F" w:rsidRPr="005E7CDB">
        <w:rPr>
          <w:spacing w:val="-2"/>
        </w:rPr>
        <w:t xml:space="preserve"> </w:t>
      </w:r>
      <w:r w:rsidRPr="005E7CDB">
        <w:rPr>
          <w:spacing w:val="-2"/>
        </w:rPr>
        <w:t>et</w:t>
      </w:r>
      <w:r w:rsidR="00F5091F" w:rsidRPr="005E7CDB">
        <w:rPr>
          <w:spacing w:val="-2"/>
        </w:rPr>
        <w:t xml:space="preserve"> </w:t>
      </w:r>
      <w:r w:rsidRPr="005E7CDB">
        <w:rPr>
          <w:spacing w:val="-2"/>
        </w:rPr>
        <w:t>multilatéraux</w:t>
      </w:r>
      <w:r w:rsidR="00F5091F" w:rsidRPr="005E7CDB">
        <w:rPr>
          <w:spacing w:val="-2"/>
        </w:rPr>
        <w:t xml:space="preserve"> </w:t>
      </w:r>
      <w:r w:rsidRPr="005E7CDB">
        <w:rPr>
          <w:spacing w:val="-2"/>
        </w:rPr>
        <w:t>valides,</w:t>
      </w:r>
      <w:r w:rsidR="00F5091F" w:rsidRPr="005E7CDB">
        <w:rPr>
          <w:spacing w:val="-2"/>
        </w:rPr>
        <w:t xml:space="preserve"> </w:t>
      </w:r>
      <w:r w:rsidRPr="005E7CDB">
        <w:rPr>
          <w:spacing w:val="-2"/>
        </w:rPr>
        <w:t>conclus</w:t>
      </w:r>
      <w:r w:rsidR="00F5091F" w:rsidRPr="005E7CDB">
        <w:rPr>
          <w:spacing w:val="-2"/>
        </w:rPr>
        <w:t xml:space="preserve"> </w:t>
      </w:r>
      <w:r w:rsidRPr="005E7CDB">
        <w:rPr>
          <w:spacing w:val="-2"/>
        </w:rPr>
        <w:t>conformément</w:t>
      </w:r>
      <w:r w:rsidR="00F5091F" w:rsidRPr="005E7CDB">
        <w:rPr>
          <w:spacing w:val="-2"/>
        </w:rPr>
        <w:t xml:space="preserve"> </w:t>
      </w:r>
      <w:r w:rsidRPr="005E7CDB">
        <w:rPr>
          <w:spacing w:val="-2"/>
        </w:rPr>
        <w:t>à</w:t>
      </w:r>
      <w:r w:rsidR="00F5091F" w:rsidRPr="005E7CDB">
        <w:rPr>
          <w:spacing w:val="-2"/>
        </w:rPr>
        <w:t xml:space="preserve"> </w:t>
      </w:r>
      <w:r w:rsidRPr="005E7CDB">
        <w:rPr>
          <w:spacing w:val="-2"/>
        </w:rPr>
        <w:t>la</w:t>
      </w:r>
      <w:r w:rsidR="00F5091F" w:rsidRPr="005E7CDB">
        <w:rPr>
          <w:spacing w:val="-2"/>
        </w:rPr>
        <w:t xml:space="preserve"> </w:t>
      </w:r>
      <w:r w:rsidRPr="005E7CDB">
        <w:rPr>
          <w:spacing w:val="-2"/>
        </w:rPr>
        <w:t>section</w:t>
      </w:r>
      <w:r w:rsidR="00F5091F" w:rsidRPr="005E7CDB">
        <w:rPr>
          <w:spacing w:val="-2"/>
        </w:rPr>
        <w:t xml:space="preserve"> </w:t>
      </w:r>
      <w:r w:rsidRPr="005E7CDB">
        <w:rPr>
          <w:spacing w:val="-2"/>
        </w:rPr>
        <w:t>1.5.1</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l’ADR.</w:t>
      </w:r>
      <w:r w:rsidR="00F5091F" w:rsidRPr="005E7CDB">
        <w:rPr>
          <w:spacing w:val="-2"/>
        </w:rPr>
        <w:t xml:space="preserve"> </w:t>
      </w:r>
      <w:r w:rsidRPr="005E7CDB">
        <w:rPr>
          <w:spacing w:val="-2"/>
        </w:rPr>
        <w:t>Cette</w:t>
      </w:r>
      <w:r w:rsidR="00F5091F" w:rsidRPr="005E7CDB">
        <w:rPr>
          <w:spacing w:val="-2"/>
        </w:rPr>
        <w:t xml:space="preserve"> </w:t>
      </w:r>
      <w:r w:rsidRPr="005E7CDB">
        <w:rPr>
          <w:spacing w:val="-2"/>
        </w:rPr>
        <w:t>page</w:t>
      </w:r>
      <w:r w:rsidR="00F5091F" w:rsidRPr="005E7CDB">
        <w:rPr>
          <w:spacing w:val="-2"/>
        </w:rPr>
        <w:t xml:space="preserve"> </w:t>
      </w:r>
      <w:r w:rsidRPr="005E7CDB">
        <w:rPr>
          <w:spacing w:val="-2"/>
        </w:rPr>
        <w:t>est</w:t>
      </w:r>
      <w:r w:rsidR="00F5091F" w:rsidRPr="005E7CDB">
        <w:rPr>
          <w:spacing w:val="-2"/>
        </w:rPr>
        <w:t xml:space="preserve"> </w:t>
      </w:r>
      <w:r w:rsidRPr="005E7CDB">
        <w:rPr>
          <w:spacing w:val="-2"/>
        </w:rPr>
        <w:t>mise</w:t>
      </w:r>
      <w:r w:rsidR="00F5091F" w:rsidRPr="005E7CDB">
        <w:rPr>
          <w:spacing w:val="-2"/>
        </w:rPr>
        <w:t xml:space="preserve"> </w:t>
      </w:r>
      <w:r w:rsidRPr="005E7CDB">
        <w:rPr>
          <w:spacing w:val="-2"/>
        </w:rPr>
        <w:t>à</w:t>
      </w:r>
      <w:r w:rsidR="00F5091F" w:rsidRPr="005E7CDB">
        <w:rPr>
          <w:spacing w:val="-2"/>
        </w:rPr>
        <w:t xml:space="preserve"> </w:t>
      </w:r>
      <w:r w:rsidRPr="005E7CDB">
        <w:rPr>
          <w:spacing w:val="-2"/>
        </w:rPr>
        <w:t>jour</w:t>
      </w:r>
      <w:r w:rsidR="00F5091F" w:rsidRPr="005E7CDB">
        <w:rPr>
          <w:spacing w:val="-2"/>
        </w:rPr>
        <w:t xml:space="preserve"> </w:t>
      </w:r>
      <w:r w:rsidRPr="005E7CDB">
        <w:rPr>
          <w:spacing w:val="-2"/>
        </w:rPr>
        <w:t>toutes</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semaines</w:t>
      </w:r>
      <w:r w:rsidR="00F5091F" w:rsidRPr="005E7CDB">
        <w:rPr>
          <w:spacing w:val="-2"/>
        </w:rPr>
        <w:t xml:space="preserve"> </w:t>
      </w:r>
      <w:r w:rsidRPr="005E7CDB">
        <w:rPr>
          <w:spacing w:val="-2"/>
        </w:rPr>
        <w:t>par</w:t>
      </w:r>
      <w:r w:rsidR="00F5091F" w:rsidRPr="005E7CDB">
        <w:rPr>
          <w:spacing w:val="-2"/>
        </w:rPr>
        <w:t xml:space="preserve"> </w:t>
      </w:r>
      <w:r w:rsidRPr="005E7CDB">
        <w:rPr>
          <w:spacing w:val="-2"/>
        </w:rPr>
        <w:t>le</w:t>
      </w:r>
      <w:r w:rsidR="00F5091F" w:rsidRPr="005E7CDB">
        <w:rPr>
          <w:spacing w:val="-2"/>
        </w:rPr>
        <w:t xml:space="preserve"> </w:t>
      </w:r>
      <w:r w:rsidRPr="005E7CDB">
        <w:rPr>
          <w:spacing w:val="-2"/>
        </w:rPr>
        <w:t>secrétariat</w:t>
      </w:r>
      <w:r w:rsidR="00F5091F" w:rsidRPr="005E7CDB">
        <w:rPr>
          <w:spacing w:val="-2"/>
        </w:rPr>
        <w:t xml:space="preserve"> </w:t>
      </w:r>
      <w:r w:rsidRPr="005E7CDB">
        <w:rPr>
          <w:spacing w:val="-2"/>
        </w:rPr>
        <w:t>à</w:t>
      </w:r>
      <w:r w:rsidR="00F5091F" w:rsidRPr="005E7CDB">
        <w:rPr>
          <w:spacing w:val="-2"/>
        </w:rPr>
        <w:t xml:space="preserve"> </w:t>
      </w:r>
      <w:r w:rsidRPr="005E7CDB">
        <w:rPr>
          <w:spacing w:val="-2"/>
        </w:rPr>
        <w:t>l’aide</w:t>
      </w:r>
      <w:r w:rsidR="00F5091F" w:rsidRPr="005E7CDB">
        <w:rPr>
          <w:spacing w:val="-2"/>
        </w:rPr>
        <w:t xml:space="preserve"> </w:t>
      </w:r>
      <w:r w:rsidRPr="005E7CDB">
        <w:rPr>
          <w:spacing w:val="-2"/>
        </w:rPr>
        <w:t>des</w:t>
      </w:r>
      <w:r w:rsidR="00F5091F" w:rsidRPr="005E7CDB">
        <w:rPr>
          <w:spacing w:val="-2"/>
        </w:rPr>
        <w:t xml:space="preserve"> </w:t>
      </w:r>
      <w:r w:rsidRPr="005E7CDB">
        <w:rPr>
          <w:spacing w:val="-2"/>
        </w:rPr>
        <w:t>informations</w:t>
      </w:r>
      <w:r w:rsidR="00F5091F" w:rsidRPr="005E7CDB">
        <w:rPr>
          <w:spacing w:val="-2"/>
        </w:rPr>
        <w:t xml:space="preserve"> </w:t>
      </w:r>
      <w:r w:rsidRPr="005E7CDB">
        <w:rPr>
          <w:spacing w:val="-2"/>
        </w:rPr>
        <w:t>reçues</w:t>
      </w:r>
      <w:r w:rsidR="00F5091F" w:rsidRPr="005E7CDB">
        <w:rPr>
          <w:spacing w:val="-2"/>
        </w:rPr>
        <w:t xml:space="preserve"> </w:t>
      </w:r>
      <w:r w:rsidRPr="005E7CDB">
        <w:rPr>
          <w:spacing w:val="-2"/>
        </w:rPr>
        <w:t>des</w:t>
      </w:r>
      <w:r w:rsidR="00F5091F" w:rsidRPr="005E7CDB">
        <w:rPr>
          <w:spacing w:val="-2"/>
        </w:rPr>
        <w:t xml:space="preserve"> </w:t>
      </w:r>
      <w:r w:rsidRPr="005E7CDB">
        <w:rPr>
          <w:spacing w:val="-2"/>
        </w:rPr>
        <w:t>autorités</w:t>
      </w:r>
      <w:r w:rsidR="00F5091F" w:rsidRPr="005E7CDB">
        <w:rPr>
          <w:spacing w:val="-2"/>
        </w:rPr>
        <w:t xml:space="preserve"> </w:t>
      </w:r>
      <w:r w:rsidRPr="005E7CDB">
        <w:rPr>
          <w:spacing w:val="-2"/>
        </w:rPr>
        <w:t>compétentes</w:t>
      </w:r>
      <w:r w:rsidR="00F5091F" w:rsidRPr="005E7CDB">
        <w:rPr>
          <w:spacing w:val="-2"/>
        </w:rPr>
        <w:t xml:space="preserve"> </w:t>
      </w:r>
      <w:r w:rsidRPr="005E7CDB">
        <w:rPr>
          <w:spacing w:val="-2"/>
        </w:rPr>
        <w:t>pour</w:t>
      </w:r>
      <w:r w:rsidR="00F5091F" w:rsidRPr="005E7CDB">
        <w:rPr>
          <w:spacing w:val="-2"/>
        </w:rPr>
        <w:t xml:space="preserve"> </w:t>
      </w:r>
      <w:r w:rsidRPr="005E7CDB">
        <w:rPr>
          <w:spacing w:val="-2"/>
        </w:rPr>
        <w:t>l’ADR.</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informations</w:t>
      </w:r>
      <w:r w:rsidR="00F5091F" w:rsidRPr="005E7CDB">
        <w:rPr>
          <w:spacing w:val="-2"/>
        </w:rPr>
        <w:t xml:space="preserve"> </w:t>
      </w:r>
      <w:r w:rsidRPr="005E7CDB">
        <w:rPr>
          <w:spacing w:val="-2"/>
        </w:rPr>
        <w:t>disponibles</w:t>
      </w:r>
      <w:r w:rsidR="00F5091F" w:rsidRPr="005E7CDB">
        <w:rPr>
          <w:spacing w:val="-2"/>
        </w:rPr>
        <w:t xml:space="preserve"> </w:t>
      </w:r>
      <w:r w:rsidRPr="005E7CDB">
        <w:rPr>
          <w:spacing w:val="-2"/>
        </w:rPr>
        <w:t>sur</w:t>
      </w:r>
      <w:r w:rsidR="00F5091F" w:rsidRPr="005E7CDB">
        <w:rPr>
          <w:spacing w:val="-2"/>
        </w:rPr>
        <w:t xml:space="preserve"> </w:t>
      </w:r>
      <w:r w:rsidRPr="005E7CDB">
        <w:rPr>
          <w:spacing w:val="-2"/>
        </w:rPr>
        <w:t>cette</w:t>
      </w:r>
      <w:r w:rsidR="00F5091F" w:rsidRPr="005E7CDB">
        <w:rPr>
          <w:spacing w:val="-2"/>
        </w:rPr>
        <w:t xml:space="preserve"> </w:t>
      </w:r>
      <w:r w:rsidRPr="005E7CDB">
        <w:rPr>
          <w:spacing w:val="-2"/>
        </w:rPr>
        <w:t>page</w:t>
      </w:r>
      <w:r w:rsidR="00F5091F" w:rsidRPr="005E7CDB">
        <w:rPr>
          <w:spacing w:val="-2"/>
        </w:rPr>
        <w:t xml:space="preserve"> </w:t>
      </w:r>
      <w:r w:rsidRPr="005E7CDB">
        <w:rPr>
          <w:spacing w:val="-2"/>
        </w:rPr>
        <w:t>sont</w:t>
      </w:r>
      <w:r w:rsidR="00F5091F" w:rsidRPr="005E7CDB">
        <w:rPr>
          <w:spacing w:val="-2"/>
        </w:rPr>
        <w:t xml:space="preserve"> </w:t>
      </w:r>
      <w:r w:rsidRPr="005E7CDB">
        <w:rPr>
          <w:spacing w:val="-2"/>
        </w:rPr>
        <w:t>jugées</w:t>
      </w:r>
      <w:r w:rsidR="00F5091F" w:rsidRPr="005E7CDB">
        <w:rPr>
          <w:spacing w:val="-2"/>
        </w:rPr>
        <w:t xml:space="preserve"> </w:t>
      </w:r>
      <w:r w:rsidRPr="005E7CDB">
        <w:rPr>
          <w:spacing w:val="-2"/>
        </w:rPr>
        <w:t>complètes.</w:t>
      </w:r>
    </w:p>
    <w:p w:rsidR="002728BC" w:rsidRPr="005E7CDB" w:rsidRDefault="002728BC" w:rsidP="00DE6CA4">
      <w:pPr>
        <w:pStyle w:val="SingleTxtG"/>
      </w:pPr>
      <w:r w:rsidRPr="005E7CDB">
        <w:t>16.</w:t>
      </w:r>
      <w:r w:rsidRPr="005E7CDB">
        <w:tab/>
        <w:t>La</w:t>
      </w:r>
      <w:r w:rsidR="00F5091F" w:rsidRPr="005E7CDB">
        <w:t xml:space="preserve"> </w:t>
      </w:r>
      <w:r w:rsidRPr="005E7CDB">
        <w:t>page</w:t>
      </w:r>
      <w:r w:rsidR="00F5091F" w:rsidRPr="005E7CDB">
        <w:t xml:space="preserve"> </w:t>
      </w:r>
      <w:r w:rsidRPr="005E7CDB">
        <w:t>consacrée</w:t>
      </w:r>
      <w:r w:rsidR="00F5091F" w:rsidRPr="005E7CDB">
        <w:t xml:space="preserve"> </w:t>
      </w:r>
      <w:r w:rsidRPr="005E7CDB">
        <w:t>aux</w:t>
      </w:r>
      <w:r w:rsidR="00F5091F" w:rsidRPr="005E7CDB">
        <w:t xml:space="preserve"> </w:t>
      </w:r>
      <w:r w:rsidRPr="005E7CDB">
        <w:t>rapports</w:t>
      </w:r>
      <w:r w:rsidR="00F5091F" w:rsidRPr="005E7CDB">
        <w:t xml:space="preserve"> </w:t>
      </w:r>
      <w:r w:rsidRPr="005E7CDB">
        <w:t>d’accident</w:t>
      </w:r>
      <w:r w:rsidRPr="005E7CDB">
        <w:rPr>
          <w:rStyle w:val="FootnoteReference"/>
        </w:rPr>
        <w:footnoteReference w:id="10"/>
      </w:r>
      <w:r w:rsidR="00F5091F" w:rsidRPr="005E7CDB">
        <w:t xml:space="preserve"> </w:t>
      </w:r>
      <w:r w:rsidRPr="005E7CDB">
        <w:t>contient</w:t>
      </w:r>
      <w:r w:rsidR="00F5091F" w:rsidRPr="005E7CDB">
        <w:t xml:space="preserve"> </w:t>
      </w:r>
      <w:r w:rsidRPr="005E7CDB">
        <w:t>les</w:t>
      </w:r>
      <w:r w:rsidR="00F5091F" w:rsidRPr="005E7CDB">
        <w:t xml:space="preserve"> </w:t>
      </w:r>
      <w:r w:rsidRPr="005E7CDB">
        <w:t>rapports</w:t>
      </w:r>
      <w:r w:rsidR="00F5091F" w:rsidRPr="005E7CDB">
        <w:t xml:space="preserve"> </w:t>
      </w:r>
      <w:r w:rsidRPr="005E7CDB">
        <w:t>sur</w:t>
      </w:r>
      <w:r w:rsidR="00F5091F" w:rsidRPr="005E7CDB">
        <w:t xml:space="preserve"> </w:t>
      </w:r>
      <w:r w:rsidRPr="005E7CDB">
        <w:t>les</w:t>
      </w:r>
      <w:r w:rsidR="00F5091F" w:rsidRPr="005E7CDB">
        <w:t xml:space="preserve"> </w:t>
      </w:r>
      <w:r w:rsidRPr="005E7CDB">
        <w:t>cas</w:t>
      </w:r>
      <w:r w:rsidR="00F5091F" w:rsidRPr="005E7CDB">
        <w:t xml:space="preserve"> </w:t>
      </w:r>
      <w:r w:rsidRPr="005E7CDB">
        <w:t>d’accidents</w:t>
      </w:r>
      <w:r w:rsidR="00F5091F" w:rsidRPr="005E7CDB">
        <w:t xml:space="preserve"> </w:t>
      </w:r>
      <w:r w:rsidRPr="005E7CDB">
        <w:t>ou</w:t>
      </w:r>
      <w:r w:rsidR="00F5091F" w:rsidRPr="005E7CDB">
        <w:t xml:space="preserve"> </w:t>
      </w:r>
      <w:r w:rsidRPr="005E7CDB">
        <w:t>d’incidents</w:t>
      </w:r>
      <w:r w:rsidR="00F5091F" w:rsidRPr="005E7CDB">
        <w:t xml:space="preserve"> </w:t>
      </w:r>
      <w:r w:rsidRPr="005E7CDB">
        <w:t>graves,</w:t>
      </w:r>
      <w:r w:rsidR="00F5091F" w:rsidRPr="005E7CDB">
        <w:t xml:space="preserve"> </w:t>
      </w:r>
      <w:r w:rsidRPr="005E7CDB">
        <w:t>notifiés</w:t>
      </w:r>
      <w:r w:rsidR="00F5091F" w:rsidRPr="005E7CDB">
        <w:t xml:space="preserve"> </w:t>
      </w:r>
      <w:r w:rsidRPr="005E7CDB">
        <w:t>par</w:t>
      </w:r>
      <w:r w:rsidR="00F5091F" w:rsidRPr="005E7CDB">
        <w:t xml:space="preserve"> </w:t>
      </w:r>
      <w:r w:rsidRPr="005E7CDB">
        <w:t>les</w:t>
      </w:r>
      <w:r w:rsidR="00F5091F" w:rsidRPr="005E7CDB">
        <w:t xml:space="preserve"> </w:t>
      </w:r>
      <w:r w:rsidRPr="005E7CDB">
        <w:t>Parties</w:t>
      </w:r>
      <w:r w:rsidR="00F5091F" w:rsidRPr="005E7CDB">
        <w:t xml:space="preserve"> </w:t>
      </w:r>
      <w:r w:rsidRPr="005E7CDB">
        <w:t>contractantes</w:t>
      </w:r>
      <w:r w:rsidR="00F5091F" w:rsidRPr="005E7CDB">
        <w:t xml:space="preserve"> </w:t>
      </w:r>
      <w:r w:rsidRPr="005E7CDB">
        <w:t>conformément</w:t>
      </w:r>
      <w:r w:rsidR="00F5091F" w:rsidRPr="005E7CDB">
        <w:t xml:space="preserve"> </w:t>
      </w:r>
      <w:r w:rsidRPr="005E7CDB">
        <w:t>au</w:t>
      </w:r>
      <w:r w:rsidR="00F5091F" w:rsidRPr="005E7CDB">
        <w:t xml:space="preserve"> </w:t>
      </w:r>
      <w:r w:rsidRPr="005E7CDB">
        <w:t>1.8.5.2</w:t>
      </w:r>
      <w:r w:rsidR="00F5091F" w:rsidRPr="005E7CDB">
        <w:t xml:space="preserve"> </w:t>
      </w:r>
      <w:r w:rsidRPr="005E7CDB">
        <w:t>de</w:t>
      </w:r>
      <w:r w:rsidR="00F5091F" w:rsidRPr="005E7CDB">
        <w:t xml:space="preserve"> </w:t>
      </w:r>
      <w:r w:rsidRPr="005E7CDB">
        <w:t>l’ADR.</w:t>
      </w:r>
      <w:r w:rsidR="00F5091F" w:rsidRPr="005E7CDB">
        <w:t xml:space="preserve"> </w:t>
      </w:r>
      <w:r w:rsidRPr="005E7CDB">
        <w:t>Depuis</w:t>
      </w:r>
      <w:r w:rsidR="00F5091F" w:rsidRPr="005E7CDB">
        <w:t xml:space="preserve"> </w:t>
      </w:r>
      <w:r w:rsidRPr="005E7CDB">
        <w:t>2004,</w:t>
      </w:r>
      <w:r w:rsidR="00F5091F" w:rsidRPr="005E7CDB">
        <w:t xml:space="preserve"> </w:t>
      </w:r>
      <w:r w:rsidRPr="005E7CDB">
        <w:t>les</w:t>
      </w:r>
      <w:r w:rsidR="00F5091F" w:rsidRPr="005E7CDB">
        <w:t xml:space="preserve"> </w:t>
      </w:r>
      <w:r w:rsidRPr="005E7CDB">
        <w:t>rapports</w:t>
      </w:r>
      <w:r w:rsidR="00F5091F" w:rsidRPr="005E7CDB">
        <w:t xml:space="preserve"> </w:t>
      </w:r>
      <w:r w:rsidRPr="005E7CDB">
        <w:t>reçus</w:t>
      </w:r>
      <w:r w:rsidR="00F5091F" w:rsidRPr="005E7CDB">
        <w:t xml:space="preserve"> </w:t>
      </w:r>
      <w:r w:rsidRPr="005E7CDB">
        <w:t>des</w:t>
      </w:r>
      <w:r w:rsidR="00F5091F" w:rsidRPr="005E7CDB">
        <w:t xml:space="preserve"> </w:t>
      </w:r>
      <w:r w:rsidRPr="005E7CDB">
        <w:t>Parties</w:t>
      </w:r>
      <w:r w:rsidR="00F5091F" w:rsidRPr="005E7CDB">
        <w:t xml:space="preserve"> </w:t>
      </w:r>
      <w:r w:rsidRPr="005E7CDB">
        <w:t>contractantes</w:t>
      </w:r>
      <w:r w:rsidR="00F5091F" w:rsidRPr="005E7CDB">
        <w:t xml:space="preserve"> </w:t>
      </w:r>
      <w:r w:rsidRPr="005E7CDB">
        <w:t>ont</w:t>
      </w:r>
      <w:r w:rsidR="00F5091F" w:rsidRPr="005E7CDB">
        <w:t xml:space="preserve"> </w:t>
      </w:r>
      <w:r w:rsidRPr="005E7CDB">
        <w:t>été</w:t>
      </w:r>
      <w:r w:rsidR="00F5091F" w:rsidRPr="005E7CDB">
        <w:t xml:space="preserve"> </w:t>
      </w:r>
      <w:r w:rsidRPr="005E7CDB">
        <w:t>publiés</w:t>
      </w:r>
      <w:r w:rsidR="00F5091F" w:rsidRPr="005E7CDB">
        <w:t xml:space="preserve"> </w:t>
      </w:r>
      <w:r w:rsidRPr="005E7CDB">
        <w:t>sur</w:t>
      </w:r>
      <w:r w:rsidR="00F5091F" w:rsidRPr="005E7CDB">
        <w:t xml:space="preserve"> </w:t>
      </w:r>
      <w:r w:rsidRPr="005E7CDB">
        <w:t>le</w:t>
      </w:r>
      <w:r w:rsidR="00F5091F" w:rsidRPr="005E7CDB">
        <w:t xml:space="preserve"> </w:t>
      </w:r>
      <w:r w:rsidRPr="005E7CDB">
        <w:t>site</w:t>
      </w:r>
      <w:r w:rsidR="00F5091F" w:rsidRPr="005E7CDB">
        <w:t xml:space="preserve"> </w:t>
      </w:r>
      <w:r w:rsidRPr="005E7CDB">
        <w:t>Web</w:t>
      </w:r>
      <w:r w:rsidR="00F5091F" w:rsidRPr="005E7CDB">
        <w:t xml:space="preserve"> </w:t>
      </w:r>
      <w:r w:rsidRPr="005E7CDB">
        <w:t>de</w:t>
      </w:r>
      <w:r w:rsidR="00F5091F" w:rsidRPr="005E7CDB">
        <w:t xml:space="preserve"> </w:t>
      </w:r>
      <w:r w:rsidRPr="005E7CDB">
        <w:t>la</w:t>
      </w:r>
      <w:r w:rsidR="00F5091F" w:rsidRPr="005E7CDB">
        <w:t xml:space="preserve"> </w:t>
      </w:r>
      <w:r w:rsidRPr="005E7CDB">
        <w:t>CEE,</w:t>
      </w:r>
      <w:r w:rsidR="00F5091F" w:rsidRPr="005E7CDB">
        <w:t xml:space="preserve"> </w:t>
      </w:r>
      <w:r w:rsidRPr="005E7CDB">
        <w:t>mais</w:t>
      </w:r>
      <w:r w:rsidR="00F5091F" w:rsidRPr="005E7CDB">
        <w:t xml:space="preserve"> </w:t>
      </w:r>
      <w:r w:rsidRPr="005E7CDB">
        <w:t>seulement</w:t>
      </w:r>
      <w:r w:rsidR="00F5091F" w:rsidRPr="005E7CDB">
        <w:t xml:space="preserve"> </w:t>
      </w:r>
      <w:r w:rsidRPr="005E7CDB">
        <w:t>avec</w:t>
      </w:r>
      <w:r w:rsidR="00F5091F" w:rsidRPr="005E7CDB">
        <w:t xml:space="preserve"> </w:t>
      </w:r>
      <w:r w:rsidRPr="005E7CDB">
        <w:t>la</w:t>
      </w:r>
      <w:r w:rsidR="00F5091F" w:rsidRPr="005E7CDB">
        <w:t xml:space="preserve"> </w:t>
      </w:r>
      <w:r w:rsidRPr="005E7CDB">
        <w:t>permission</w:t>
      </w:r>
      <w:r w:rsidR="00F5091F" w:rsidRPr="005E7CDB">
        <w:t xml:space="preserve"> </w:t>
      </w:r>
      <w:r w:rsidRPr="005E7CDB">
        <w:t>de</w:t>
      </w:r>
      <w:r w:rsidR="00F5091F" w:rsidRPr="005E7CDB">
        <w:t xml:space="preserve"> </w:t>
      </w:r>
      <w:r w:rsidRPr="005E7CDB">
        <w:t>l’autorité</w:t>
      </w:r>
      <w:r w:rsidR="00F5091F" w:rsidRPr="005E7CDB">
        <w:t xml:space="preserve"> </w:t>
      </w:r>
      <w:r w:rsidRPr="005E7CDB">
        <w:t>compétente,</w:t>
      </w:r>
      <w:r w:rsidR="00F5091F" w:rsidRPr="005E7CDB">
        <w:t xml:space="preserve"> </w:t>
      </w:r>
      <w:r w:rsidRPr="005E7CDB">
        <w:t>car</w:t>
      </w:r>
      <w:r w:rsidR="00F5091F" w:rsidRPr="005E7CDB">
        <w:t xml:space="preserve"> </w:t>
      </w:r>
      <w:r w:rsidRPr="005E7CDB">
        <w:t>certains</w:t>
      </w:r>
      <w:r w:rsidR="00F5091F" w:rsidRPr="005E7CDB">
        <w:t xml:space="preserve"> </w:t>
      </w:r>
      <w:r w:rsidRPr="005E7CDB">
        <w:t>rapports</w:t>
      </w:r>
      <w:r w:rsidR="00F5091F" w:rsidRPr="005E7CDB">
        <w:t xml:space="preserve"> </w:t>
      </w:r>
      <w:r w:rsidRPr="005E7CDB">
        <w:t>peuvent</w:t>
      </w:r>
      <w:r w:rsidR="00F5091F" w:rsidRPr="005E7CDB">
        <w:t xml:space="preserve"> </w:t>
      </w:r>
      <w:r w:rsidRPr="005E7CDB">
        <w:t>renfermer</w:t>
      </w:r>
      <w:r w:rsidR="00F5091F" w:rsidRPr="005E7CDB">
        <w:t xml:space="preserve"> </w:t>
      </w:r>
      <w:r w:rsidRPr="005E7CDB">
        <w:t>des</w:t>
      </w:r>
      <w:r w:rsidR="00F5091F" w:rsidRPr="005E7CDB">
        <w:t xml:space="preserve"> </w:t>
      </w:r>
      <w:r w:rsidRPr="005E7CDB">
        <w:t>informations</w:t>
      </w:r>
      <w:r w:rsidR="00F5091F" w:rsidRPr="005E7CDB">
        <w:t xml:space="preserve"> </w:t>
      </w:r>
      <w:r w:rsidRPr="005E7CDB">
        <w:t>confidentielles.</w:t>
      </w:r>
    </w:p>
    <w:p w:rsidR="002728BC" w:rsidRPr="005E7CDB" w:rsidRDefault="002728BC" w:rsidP="00DE6CA4">
      <w:pPr>
        <w:pStyle w:val="H23G"/>
        <w:rPr>
          <w:rFonts w:eastAsia="MS Mincho"/>
        </w:rPr>
      </w:pPr>
      <w:r w:rsidRPr="005E7CDB">
        <w:tab/>
        <w:t>D.</w:t>
      </w:r>
      <w:r w:rsidRPr="005E7CDB">
        <w:tab/>
        <w:t>Enseignements</w:t>
      </w:r>
      <w:r w:rsidR="00F5091F" w:rsidRPr="005E7CDB">
        <w:t xml:space="preserve"> </w:t>
      </w:r>
      <w:r w:rsidRPr="005E7CDB">
        <w:t>tirés/améliorations</w:t>
      </w:r>
      <w:r w:rsidR="00F5091F" w:rsidRPr="005E7CDB">
        <w:t xml:space="preserve"> </w:t>
      </w:r>
      <w:r w:rsidRPr="005E7CDB">
        <w:t>à</w:t>
      </w:r>
      <w:r w:rsidR="00F5091F" w:rsidRPr="005E7CDB">
        <w:t xml:space="preserve"> </w:t>
      </w:r>
      <w:r w:rsidRPr="005E7CDB">
        <w:t>apporter</w:t>
      </w:r>
    </w:p>
    <w:p w:rsidR="002728BC" w:rsidRPr="005E7CDB" w:rsidRDefault="002728BC" w:rsidP="00DE6CA4">
      <w:pPr>
        <w:pStyle w:val="SingleTxtG"/>
        <w:rPr>
          <w:spacing w:val="-2"/>
        </w:rPr>
      </w:pPr>
      <w:r w:rsidRPr="005E7CDB">
        <w:rPr>
          <w:spacing w:val="-2"/>
        </w:rPr>
        <w:t>[17.</w:t>
      </w:r>
      <w:r w:rsidRPr="005E7CDB">
        <w:rPr>
          <w:spacing w:val="-2"/>
        </w:rPr>
        <w:tab/>
        <w:t>À</w:t>
      </w:r>
      <w:r w:rsidR="00F5091F" w:rsidRPr="005E7CDB">
        <w:rPr>
          <w:spacing w:val="-2"/>
        </w:rPr>
        <w:t xml:space="preserve"> </w:t>
      </w:r>
      <w:r w:rsidRPr="005E7CDB">
        <w:rPr>
          <w:spacing w:val="-2"/>
        </w:rPr>
        <w:t>sa</w:t>
      </w:r>
      <w:r w:rsidR="00F5091F" w:rsidRPr="005E7CDB">
        <w:rPr>
          <w:spacing w:val="-2"/>
        </w:rPr>
        <w:t xml:space="preserve"> </w:t>
      </w:r>
      <w:r w:rsidRPr="005E7CDB">
        <w:rPr>
          <w:spacing w:val="-2"/>
        </w:rPr>
        <w:t>103</w:t>
      </w:r>
      <w:r w:rsidRPr="005E7CDB">
        <w:rPr>
          <w:spacing w:val="-2"/>
          <w:vertAlign w:val="superscript"/>
        </w:rPr>
        <w:t>e</w:t>
      </w:r>
      <w:r w:rsidR="00DE6CA4" w:rsidRPr="005E7CDB">
        <w:rPr>
          <w:spacing w:val="-2"/>
        </w:rPr>
        <w:t> </w:t>
      </w:r>
      <w:r w:rsidRPr="005E7CDB">
        <w:rPr>
          <w:spacing w:val="-2"/>
        </w:rPr>
        <w:t>session,</w:t>
      </w:r>
      <w:r w:rsidR="00F5091F" w:rsidRPr="005E7CDB">
        <w:rPr>
          <w:spacing w:val="-2"/>
        </w:rPr>
        <w:t xml:space="preserve"> </w:t>
      </w:r>
      <w:r w:rsidRPr="005E7CDB">
        <w:rPr>
          <w:spacing w:val="-2"/>
        </w:rPr>
        <w:t>le</w:t>
      </w:r>
      <w:r w:rsidR="00F5091F" w:rsidRPr="005E7CDB">
        <w:rPr>
          <w:spacing w:val="-2"/>
        </w:rPr>
        <w:t xml:space="preserve"> </w:t>
      </w:r>
      <w:r w:rsidRPr="005E7CDB">
        <w:rPr>
          <w:spacing w:val="-2"/>
        </w:rPr>
        <w:t>Groupe</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travail</w:t>
      </w:r>
      <w:r w:rsidR="00F5091F" w:rsidRPr="005E7CDB">
        <w:rPr>
          <w:spacing w:val="-2"/>
        </w:rPr>
        <w:t xml:space="preserve"> </w:t>
      </w:r>
      <w:r w:rsidRPr="005E7CDB">
        <w:rPr>
          <w:spacing w:val="-2"/>
        </w:rPr>
        <w:t>a</w:t>
      </w:r>
      <w:r w:rsidR="00F5091F" w:rsidRPr="005E7CDB">
        <w:rPr>
          <w:spacing w:val="-2"/>
        </w:rPr>
        <w:t xml:space="preserve"> </w:t>
      </w:r>
      <w:r w:rsidRPr="005E7CDB">
        <w:rPr>
          <w:spacing w:val="-2"/>
        </w:rPr>
        <w:t>conclu</w:t>
      </w:r>
      <w:r w:rsidR="00F5091F" w:rsidRPr="005E7CDB">
        <w:rPr>
          <w:spacing w:val="-2"/>
        </w:rPr>
        <w:t xml:space="preserve"> </w:t>
      </w:r>
      <w:r w:rsidRPr="005E7CDB">
        <w:rPr>
          <w:spacing w:val="-2"/>
        </w:rPr>
        <w:t>que</w:t>
      </w:r>
      <w:r w:rsidR="00F5091F" w:rsidRPr="005E7CDB">
        <w:rPr>
          <w:spacing w:val="-2"/>
        </w:rPr>
        <w:t xml:space="preserve"> </w:t>
      </w:r>
      <w:r w:rsidRPr="005E7CDB">
        <w:rPr>
          <w:spacing w:val="-2"/>
        </w:rPr>
        <w:t>plus</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75</w:t>
      </w:r>
      <w:r w:rsidR="00DE6CA4" w:rsidRPr="005E7CDB">
        <w:rPr>
          <w:spacing w:val="-2"/>
        </w:rPr>
        <w:t> </w:t>
      </w:r>
      <w:r w:rsidRPr="005E7CDB">
        <w:rPr>
          <w:spacing w:val="-2"/>
        </w:rPr>
        <w:t>%</w:t>
      </w:r>
      <w:r w:rsidR="00F5091F" w:rsidRPr="005E7CDB">
        <w:rPr>
          <w:spacing w:val="-2"/>
        </w:rPr>
        <w:t xml:space="preserve"> </w:t>
      </w:r>
      <w:r w:rsidRPr="005E7CDB">
        <w:rPr>
          <w:spacing w:val="-2"/>
        </w:rPr>
        <w:t>des</w:t>
      </w:r>
      <w:r w:rsidR="00F5091F" w:rsidRPr="005E7CDB">
        <w:rPr>
          <w:spacing w:val="-2"/>
        </w:rPr>
        <w:t xml:space="preserve"> </w:t>
      </w:r>
      <w:r w:rsidRPr="005E7CDB">
        <w:rPr>
          <w:spacing w:val="-2"/>
        </w:rPr>
        <w:t>informations</w:t>
      </w:r>
      <w:r w:rsidR="00F5091F" w:rsidRPr="005E7CDB">
        <w:rPr>
          <w:spacing w:val="-2"/>
        </w:rPr>
        <w:t xml:space="preserve"> </w:t>
      </w:r>
      <w:r w:rsidRPr="005E7CDB">
        <w:rPr>
          <w:spacing w:val="-2"/>
        </w:rPr>
        <w:t>étaient</w:t>
      </w:r>
      <w:r w:rsidR="00F5091F" w:rsidRPr="005E7CDB">
        <w:rPr>
          <w:spacing w:val="-2"/>
        </w:rPr>
        <w:t xml:space="preserve"> </w:t>
      </w:r>
      <w:r w:rsidRPr="005E7CDB">
        <w:rPr>
          <w:spacing w:val="-2"/>
        </w:rPr>
        <w:t>disponibles.</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informations</w:t>
      </w:r>
      <w:r w:rsidR="00F5091F" w:rsidRPr="005E7CDB">
        <w:rPr>
          <w:spacing w:val="-2"/>
        </w:rPr>
        <w:t xml:space="preserve"> </w:t>
      </w:r>
      <w:r w:rsidRPr="005E7CDB">
        <w:rPr>
          <w:spacing w:val="-2"/>
        </w:rPr>
        <w:t>sur</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pays</w:t>
      </w:r>
      <w:r w:rsidR="00F5091F" w:rsidRPr="005E7CDB">
        <w:rPr>
          <w:spacing w:val="-2"/>
        </w:rPr>
        <w:t xml:space="preserve"> </w:t>
      </w:r>
      <w:r w:rsidRPr="005E7CDB">
        <w:rPr>
          <w:spacing w:val="-2"/>
        </w:rPr>
        <w:t>pourraient</w:t>
      </w:r>
      <w:r w:rsidR="00F5091F" w:rsidRPr="005E7CDB">
        <w:rPr>
          <w:spacing w:val="-2"/>
        </w:rPr>
        <w:t xml:space="preserve"> </w:t>
      </w:r>
      <w:r w:rsidRPr="005E7CDB">
        <w:rPr>
          <w:spacing w:val="-2"/>
        </w:rPr>
        <w:t>être</w:t>
      </w:r>
      <w:r w:rsidR="00F5091F" w:rsidRPr="005E7CDB">
        <w:rPr>
          <w:spacing w:val="-2"/>
        </w:rPr>
        <w:t xml:space="preserve"> </w:t>
      </w:r>
      <w:r w:rsidRPr="005E7CDB">
        <w:rPr>
          <w:spacing w:val="-2"/>
        </w:rPr>
        <w:t>améliorées</w:t>
      </w:r>
      <w:r w:rsidR="00F5091F" w:rsidRPr="005E7CDB">
        <w:rPr>
          <w:spacing w:val="-2"/>
        </w:rPr>
        <w:t xml:space="preserve"> </w:t>
      </w:r>
      <w:r w:rsidRPr="005E7CDB">
        <w:rPr>
          <w:spacing w:val="-2"/>
        </w:rPr>
        <w:t>en</w:t>
      </w:r>
      <w:r w:rsidR="00F5091F" w:rsidRPr="005E7CDB">
        <w:rPr>
          <w:spacing w:val="-2"/>
        </w:rPr>
        <w:t xml:space="preserve"> </w:t>
      </w:r>
      <w:r w:rsidRPr="005E7CDB">
        <w:rPr>
          <w:spacing w:val="-2"/>
        </w:rPr>
        <w:t>particulier</w:t>
      </w:r>
      <w:r w:rsidR="00F5091F" w:rsidRPr="005E7CDB">
        <w:rPr>
          <w:spacing w:val="-2"/>
        </w:rPr>
        <w:t xml:space="preserve"> </w:t>
      </w:r>
      <w:r w:rsidRPr="005E7CDB">
        <w:rPr>
          <w:spacing w:val="-2"/>
        </w:rPr>
        <w:t>en</w:t>
      </w:r>
      <w:r w:rsidR="00F5091F" w:rsidRPr="005E7CDB">
        <w:rPr>
          <w:spacing w:val="-2"/>
        </w:rPr>
        <w:t xml:space="preserve"> </w:t>
      </w:r>
      <w:r w:rsidRPr="005E7CDB">
        <w:rPr>
          <w:spacing w:val="-2"/>
        </w:rPr>
        <w:t>ce</w:t>
      </w:r>
      <w:r w:rsidR="00F5091F" w:rsidRPr="005E7CDB">
        <w:rPr>
          <w:spacing w:val="-2"/>
        </w:rPr>
        <w:t xml:space="preserve"> </w:t>
      </w:r>
      <w:r w:rsidRPr="005E7CDB">
        <w:rPr>
          <w:spacing w:val="-2"/>
        </w:rPr>
        <w:t>qui</w:t>
      </w:r>
      <w:r w:rsidR="00F5091F" w:rsidRPr="005E7CDB">
        <w:rPr>
          <w:spacing w:val="-2"/>
        </w:rPr>
        <w:t xml:space="preserve"> </w:t>
      </w:r>
      <w:r w:rsidRPr="005E7CDB">
        <w:rPr>
          <w:spacing w:val="-2"/>
        </w:rPr>
        <w:t>concerne</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pays</w:t>
      </w:r>
      <w:r w:rsidR="00F5091F" w:rsidRPr="005E7CDB">
        <w:rPr>
          <w:spacing w:val="-2"/>
        </w:rPr>
        <w:t xml:space="preserve"> </w:t>
      </w:r>
      <w:r w:rsidRPr="005E7CDB">
        <w:rPr>
          <w:spacing w:val="-2"/>
        </w:rPr>
        <w:t>pour</w:t>
      </w:r>
      <w:r w:rsidR="00F5091F" w:rsidRPr="005E7CDB">
        <w:rPr>
          <w:spacing w:val="-2"/>
        </w:rPr>
        <w:t xml:space="preserve"> </w:t>
      </w:r>
      <w:r w:rsidRPr="005E7CDB">
        <w:rPr>
          <w:spacing w:val="-2"/>
        </w:rPr>
        <w:t>lesquels</w:t>
      </w:r>
      <w:r w:rsidR="00F5091F" w:rsidRPr="005E7CDB">
        <w:rPr>
          <w:spacing w:val="-2"/>
        </w:rPr>
        <w:t xml:space="preserve"> </w:t>
      </w:r>
      <w:r w:rsidRPr="005E7CDB">
        <w:rPr>
          <w:spacing w:val="-2"/>
        </w:rPr>
        <w:t>seules</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coordonnées</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l’autorité</w:t>
      </w:r>
      <w:r w:rsidR="00F5091F" w:rsidRPr="005E7CDB">
        <w:rPr>
          <w:spacing w:val="-2"/>
        </w:rPr>
        <w:t xml:space="preserve"> </w:t>
      </w:r>
      <w:r w:rsidRPr="005E7CDB">
        <w:rPr>
          <w:spacing w:val="-2"/>
        </w:rPr>
        <w:t>compétente</w:t>
      </w:r>
      <w:r w:rsidR="00F5091F" w:rsidRPr="005E7CDB">
        <w:rPr>
          <w:spacing w:val="-2"/>
        </w:rPr>
        <w:t xml:space="preserve"> </w:t>
      </w:r>
      <w:r w:rsidRPr="005E7CDB">
        <w:rPr>
          <w:spacing w:val="-2"/>
        </w:rPr>
        <w:t>principale</w:t>
      </w:r>
      <w:r w:rsidR="00F5091F" w:rsidRPr="005E7CDB">
        <w:rPr>
          <w:spacing w:val="-2"/>
        </w:rPr>
        <w:t xml:space="preserve"> </w:t>
      </w:r>
      <w:r w:rsidRPr="005E7CDB">
        <w:rPr>
          <w:spacing w:val="-2"/>
        </w:rPr>
        <w:t>sont</w:t>
      </w:r>
      <w:r w:rsidR="00F5091F" w:rsidRPr="005E7CDB">
        <w:rPr>
          <w:spacing w:val="-2"/>
        </w:rPr>
        <w:t xml:space="preserve"> </w:t>
      </w:r>
      <w:r w:rsidRPr="005E7CDB">
        <w:rPr>
          <w:spacing w:val="-2"/>
        </w:rPr>
        <w:t>disponibles.</w:t>
      </w:r>
      <w:r w:rsidR="00F5091F" w:rsidRPr="005E7CDB">
        <w:rPr>
          <w:spacing w:val="-2"/>
        </w:rPr>
        <w:t xml:space="preserve"> </w:t>
      </w:r>
      <w:r w:rsidRPr="005E7CDB">
        <w:rPr>
          <w:spacing w:val="-2"/>
        </w:rPr>
        <w:t>Le</w:t>
      </w:r>
      <w:r w:rsidR="00F5091F" w:rsidRPr="005E7CDB">
        <w:rPr>
          <w:spacing w:val="-2"/>
        </w:rPr>
        <w:t xml:space="preserve"> </w:t>
      </w:r>
      <w:r w:rsidRPr="005E7CDB">
        <w:rPr>
          <w:spacing w:val="-2"/>
        </w:rPr>
        <w:t>Groupe</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travail</w:t>
      </w:r>
      <w:r w:rsidR="00F5091F" w:rsidRPr="005E7CDB">
        <w:rPr>
          <w:spacing w:val="-2"/>
        </w:rPr>
        <w:t xml:space="preserve"> </w:t>
      </w:r>
      <w:r w:rsidRPr="005E7CDB">
        <w:rPr>
          <w:spacing w:val="-2"/>
        </w:rPr>
        <w:t>a</w:t>
      </w:r>
      <w:r w:rsidR="00F5091F" w:rsidRPr="005E7CDB">
        <w:rPr>
          <w:spacing w:val="-2"/>
        </w:rPr>
        <w:t xml:space="preserve"> </w:t>
      </w:r>
      <w:r w:rsidRPr="005E7CDB">
        <w:rPr>
          <w:spacing w:val="-2"/>
        </w:rPr>
        <w:t>spécifié</w:t>
      </w:r>
      <w:r w:rsidR="00F5091F" w:rsidRPr="005E7CDB">
        <w:rPr>
          <w:spacing w:val="-2"/>
        </w:rPr>
        <w:t xml:space="preserve"> </w:t>
      </w:r>
      <w:r w:rsidRPr="005E7CDB">
        <w:rPr>
          <w:spacing w:val="-2"/>
        </w:rPr>
        <w:t>qu’au</w:t>
      </w:r>
      <w:r w:rsidR="00F5091F" w:rsidRPr="005E7CDB">
        <w:rPr>
          <w:spacing w:val="-2"/>
        </w:rPr>
        <w:t xml:space="preserve"> </w:t>
      </w:r>
      <w:r w:rsidRPr="005E7CDB">
        <w:rPr>
          <w:spacing w:val="-2"/>
        </w:rPr>
        <w:t>moins</w:t>
      </w:r>
      <w:r w:rsidR="00F5091F" w:rsidRPr="005E7CDB">
        <w:rPr>
          <w:spacing w:val="-2"/>
        </w:rPr>
        <w:t xml:space="preserve"> </w:t>
      </w:r>
      <w:r w:rsidRPr="005E7CDB">
        <w:rPr>
          <w:spacing w:val="-2"/>
        </w:rPr>
        <w:t>une</w:t>
      </w:r>
      <w:r w:rsidR="00F5091F" w:rsidRPr="005E7CDB">
        <w:rPr>
          <w:spacing w:val="-2"/>
        </w:rPr>
        <w:t xml:space="preserve"> </w:t>
      </w:r>
      <w:r w:rsidRPr="005E7CDB">
        <w:rPr>
          <w:spacing w:val="-2"/>
        </w:rPr>
        <w:t>adresse</w:t>
      </w:r>
      <w:r w:rsidR="00F5091F" w:rsidRPr="005E7CDB">
        <w:rPr>
          <w:spacing w:val="-2"/>
        </w:rPr>
        <w:t xml:space="preserve"> </w:t>
      </w:r>
      <w:r w:rsidRPr="005E7CDB">
        <w:rPr>
          <w:spacing w:val="-2"/>
        </w:rPr>
        <w:t>électronique</w:t>
      </w:r>
      <w:r w:rsidR="00F5091F" w:rsidRPr="005E7CDB">
        <w:rPr>
          <w:spacing w:val="-2"/>
        </w:rPr>
        <w:t xml:space="preserve"> </w:t>
      </w:r>
      <w:r w:rsidRPr="005E7CDB">
        <w:rPr>
          <w:spacing w:val="-2"/>
        </w:rPr>
        <w:t>serait</w:t>
      </w:r>
      <w:r w:rsidR="00F5091F" w:rsidRPr="005E7CDB">
        <w:rPr>
          <w:spacing w:val="-2"/>
        </w:rPr>
        <w:t xml:space="preserve"> </w:t>
      </w:r>
      <w:r w:rsidRPr="005E7CDB">
        <w:rPr>
          <w:spacing w:val="-2"/>
        </w:rPr>
        <w:t>utile</w:t>
      </w:r>
      <w:r w:rsidR="00F5091F" w:rsidRPr="005E7CDB">
        <w:rPr>
          <w:spacing w:val="-2"/>
        </w:rPr>
        <w:t xml:space="preserve"> </w:t>
      </w:r>
      <w:r w:rsidRPr="005E7CDB">
        <w:rPr>
          <w:spacing w:val="-2"/>
        </w:rPr>
        <w:t>pour</w:t>
      </w:r>
      <w:r w:rsidR="00F5091F" w:rsidRPr="005E7CDB">
        <w:rPr>
          <w:spacing w:val="-2"/>
        </w:rPr>
        <w:t xml:space="preserve"> </w:t>
      </w:r>
      <w:r w:rsidRPr="005E7CDB">
        <w:rPr>
          <w:spacing w:val="-2"/>
        </w:rPr>
        <w:t>faciliter</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communications</w:t>
      </w:r>
      <w:r w:rsidR="00F5091F" w:rsidRPr="005E7CDB">
        <w:rPr>
          <w:spacing w:val="-2"/>
        </w:rPr>
        <w:t xml:space="preserve"> </w:t>
      </w:r>
      <w:r w:rsidRPr="005E7CDB">
        <w:rPr>
          <w:spacing w:val="-2"/>
        </w:rPr>
        <w:t>entre</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Parties</w:t>
      </w:r>
      <w:r w:rsidR="00F5091F" w:rsidRPr="005E7CDB">
        <w:rPr>
          <w:spacing w:val="-2"/>
        </w:rPr>
        <w:t xml:space="preserve"> </w:t>
      </w:r>
      <w:r w:rsidRPr="005E7CDB">
        <w:rPr>
          <w:spacing w:val="-2"/>
        </w:rPr>
        <w:t>contractantes.</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pays</w:t>
      </w:r>
      <w:r w:rsidR="00F5091F" w:rsidRPr="005E7CDB">
        <w:rPr>
          <w:spacing w:val="-2"/>
        </w:rPr>
        <w:t xml:space="preserve"> </w:t>
      </w:r>
      <w:r w:rsidRPr="005E7CDB">
        <w:rPr>
          <w:spacing w:val="-2"/>
        </w:rPr>
        <w:t>pour</w:t>
      </w:r>
      <w:r w:rsidR="00F5091F" w:rsidRPr="005E7CDB">
        <w:rPr>
          <w:spacing w:val="-2"/>
        </w:rPr>
        <w:t xml:space="preserve"> </w:t>
      </w:r>
      <w:r w:rsidRPr="005E7CDB">
        <w:rPr>
          <w:spacing w:val="-2"/>
        </w:rPr>
        <w:t>lesquels</w:t>
      </w:r>
      <w:r w:rsidR="00F5091F" w:rsidRPr="005E7CDB">
        <w:rPr>
          <w:spacing w:val="-2"/>
        </w:rPr>
        <w:t xml:space="preserve"> </w:t>
      </w:r>
      <w:r w:rsidRPr="005E7CDB">
        <w:rPr>
          <w:spacing w:val="-2"/>
        </w:rPr>
        <w:t>ces</w:t>
      </w:r>
      <w:r w:rsidR="00F5091F" w:rsidRPr="005E7CDB">
        <w:rPr>
          <w:spacing w:val="-2"/>
        </w:rPr>
        <w:t xml:space="preserve"> </w:t>
      </w:r>
      <w:r w:rsidRPr="005E7CDB">
        <w:rPr>
          <w:spacing w:val="-2"/>
        </w:rPr>
        <w:t>informations</w:t>
      </w:r>
      <w:r w:rsidR="00F5091F" w:rsidRPr="005E7CDB">
        <w:rPr>
          <w:spacing w:val="-2"/>
        </w:rPr>
        <w:t xml:space="preserve"> </w:t>
      </w:r>
      <w:r w:rsidRPr="005E7CDB">
        <w:rPr>
          <w:spacing w:val="-2"/>
        </w:rPr>
        <w:t>ne</w:t>
      </w:r>
      <w:r w:rsidR="00F5091F" w:rsidRPr="005E7CDB">
        <w:rPr>
          <w:spacing w:val="-2"/>
        </w:rPr>
        <w:t xml:space="preserve"> </w:t>
      </w:r>
      <w:r w:rsidRPr="005E7CDB">
        <w:rPr>
          <w:spacing w:val="-2"/>
        </w:rPr>
        <w:t>sont</w:t>
      </w:r>
      <w:r w:rsidR="00F5091F" w:rsidRPr="005E7CDB">
        <w:rPr>
          <w:spacing w:val="-2"/>
        </w:rPr>
        <w:t xml:space="preserve"> </w:t>
      </w:r>
      <w:r w:rsidRPr="005E7CDB">
        <w:rPr>
          <w:spacing w:val="-2"/>
        </w:rPr>
        <w:t>pas</w:t>
      </w:r>
      <w:r w:rsidR="00F5091F" w:rsidRPr="005E7CDB">
        <w:rPr>
          <w:spacing w:val="-2"/>
        </w:rPr>
        <w:t xml:space="preserve"> </w:t>
      </w:r>
      <w:r w:rsidRPr="005E7CDB">
        <w:rPr>
          <w:spacing w:val="-2"/>
        </w:rPr>
        <w:t>disponibles</w:t>
      </w:r>
      <w:r w:rsidR="00F5091F" w:rsidRPr="005E7CDB">
        <w:rPr>
          <w:spacing w:val="-2"/>
        </w:rPr>
        <w:t xml:space="preserve"> </w:t>
      </w:r>
      <w:r w:rsidRPr="005E7CDB">
        <w:rPr>
          <w:spacing w:val="-2"/>
        </w:rPr>
        <w:t>sont</w:t>
      </w:r>
      <w:r w:rsidR="00F5091F" w:rsidRPr="005E7CDB">
        <w:rPr>
          <w:spacing w:val="-2"/>
        </w:rPr>
        <w:t xml:space="preserve"> </w:t>
      </w:r>
      <w:r w:rsidRPr="005E7CDB">
        <w:rPr>
          <w:spacing w:val="-2"/>
        </w:rPr>
        <w:t>invités</w:t>
      </w:r>
      <w:r w:rsidR="00F5091F" w:rsidRPr="005E7CDB">
        <w:rPr>
          <w:spacing w:val="-2"/>
        </w:rPr>
        <w:t xml:space="preserve"> </w:t>
      </w:r>
      <w:r w:rsidRPr="005E7CDB">
        <w:rPr>
          <w:spacing w:val="-2"/>
        </w:rPr>
        <w:t>à</w:t>
      </w:r>
      <w:r w:rsidR="00F5091F" w:rsidRPr="005E7CDB">
        <w:rPr>
          <w:spacing w:val="-2"/>
        </w:rPr>
        <w:t xml:space="preserve"> </w:t>
      </w:r>
      <w:r w:rsidRPr="005E7CDB">
        <w:rPr>
          <w:spacing w:val="-2"/>
        </w:rPr>
        <w:t>communiquer</w:t>
      </w:r>
      <w:r w:rsidR="00F5091F" w:rsidRPr="005E7CDB">
        <w:rPr>
          <w:spacing w:val="-2"/>
        </w:rPr>
        <w:t xml:space="preserve"> </w:t>
      </w:r>
      <w:r w:rsidRPr="005E7CDB">
        <w:rPr>
          <w:spacing w:val="-2"/>
        </w:rPr>
        <w:t>au</w:t>
      </w:r>
      <w:r w:rsidR="00F5091F" w:rsidRPr="005E7CDB">
        <w:rPr>
          <w:spacing w:val="-2"/>
        </w:rPr>
        <w:t xml:space="preserve"> </w:t>
      </w:r>
      <w:r w:rsidRPr="005E7CDB">
        <w:rPr>
          <w:spacing w:val="-2"/>
        </w:rPr>
        <w:t>secrétariat</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la</w:t>
      </w:r>
      <w:r w:rsidR="00F5091F" w:rsidRPr="005E7CDB">
        <w:rPr>
          <w:spacing w:val="-2"/>
        </w:rPr>
        <w:t xml:space="preserve"> </w:t>
      </w:r>
      <w:r w:rsidRPr="005E7CDB">
        <w:rPr>
          <w:spacing w:val="-2"/>
        </w:rPr>
        <w:t>CEE</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adresses</w:t>
      </w:r>
      <w:r w:rsidR="00F5091F" w:rsidRPr="005E7CDB">
        <w:rPr>
          <w:spacing w:val="-2"/>
        </w:rPr>
        <w:t xml:space="preserve"> </w:t>
      </w:r>
      <w:r w:rsidRPr="005E7CDB">
        <w:rPr>
          <w:spacing w:val="-2"/>
        </w:rPr>
        <w:t>des</w:t>
      </w:r>
      <w:r w:rsidR="00F5091F" w:rsidRPr="005E7CDB">
        <w:rPr>
          <w:spacing w:val="-2"/>
        </w:rPr>
        <w:t xml:space="preserve"> </w:t>
      </w:r>
      <w:r w:rsidRPr="005E7CDB">
        <w:rPr>
          <w:spacing w:val="-2"/>
        </w:rPr>
        <w:t>autorités</w:t>
      </w:r>
      <w:r w:rsidR="00F5091F" w:rsidRPr="005E7CDB">
        <w:rPr>
          <w:spacing w:val="-2"/>
        </w:rPr>
        <w:t xml:space="preserve"> </w:t>
      </w:r>
      <w:r w:rsidRPr="005E7CDB">
        <w:rPr>
          <w:spacing w:val="-2"/>
        </w:rPr>
        <w:t>et</w:t>
      </w:r>
      <w:r w:rsidR="00F5091F" w:rsidRPr="005E7CDB">
        <w:rPr>
          <w:spacing w:val="-2"/>
        </w:rPr>
        <w:t xml:space="preserve"> </w:t>
      </w:r>
      <w:r w:rsidRPr="005E7CDB">
        <w:rPr>
          <w:spacing w:val="-2"/>
        </w:rPr>
        <w:t>des</w:t>
      </w:r>
      <w:r w:rsidR="00F5091F" w:rsidRPr="005E7CDB">
        <w:rPr>
          <w:spacing w:val="-2"/>
        </w:rPr>
        <w:t xml:space="preserve"> </w:t>
      </w:r>
      <w:r w:rsidRPr="005E7CDB">
        <w:rPr>
          <w:spacing w:val="-2"/>
        </w:rPr>
        <w:t>organismes</w:t>
      </w:r>
      <w:r w:rsidR="00F5091F" w:rsidRPr="005E7CDB">
        <w:rPr>
          <w:spacing w:val="-2"/>
        </w:rPr>
        <w:t xml:space="preserve"> </w:t>
      </w:r>
      <w:r w:rsidRPr="005E7CDB">
        <w:rPr>
          <w:spacing w:val="-2"/>
        </w:rPr>
        <w:t>désignés</w:t>
      </w:r>
      <w:r w:rsidR="00F5091F" w:rsidRPr="005E7CDB">
        <w:rPr>
          <w:spacing w:val="-2"/>
        </w:rPr>
        <w:t xml:space="preserve"> </w:t>
      </w:r>
      <w:r w:rsidRPr="005E7CDB">
        <w:rPr>
          <w:spacing w:val="-2"/>
        </w:rPr>
        <w:t>par</w:t>
      </w:r>
      <w:r w:rsidR="00F5091F" w:rsidRPr="005E7CDB">
        <w:rPr>
          <w:spacing w:val="-2"/>
        </w:rPr>
        <w:t xml:space="preserve"> </w:t>
      </w:r>
      <w:r w:rsidRPr="005E7CDB">
        <w:rPr>
          <w:spacing w:val="-2"/>
        </w:rPr>
        <w:t>elles</w:t>
      </w:r>
      <w:r w:rsidR="00F5091F" w:rsidRPr="005E7CDB">
        <w:rPr>
          <w:spacing w:val="-2"/>
        </w:rPr>
        <w:t xml:space="preserve"> </w:t>
      </w:r>
      <w:r w:rsidRPr="005E7CDB">
        <w:rPr>
          <w:spacing w:val="-2"/>
        </w:rPr>
        <w:t>qui</w:t>
      </w:r>
      <w:r w:rsidR="00F5091F" w:rsidRPr="005E7CDB">
        <w:rPr>
          <w:spacing w:val="-2"/>
        </w:rPr>
        <w:t xml:space="preserve"> </w:t>
      </w:r>
      <w:r w:rsidRPr="005E7CDB">
        <w:rPr>
          <w:spacing w:val="-2"/>
        </w:rPr>
        <w:t>sont</w:t>
      </w:r>
      <w:r w:rsidR="00F5091F" w:rsidRPr="005E7CDB">
        <w:rPr>
          <w:spacing w:val="-2"/>
        </w:rPr>
        <w:t xml:space="preserve"> </w:t>
      </w:r>
      <w:r w:rsidRPr="005E7CDB">
        <w:rPr>
          <w:spacing w:val="-2"/>
        </w:rPr>
        <w:t>compétents</w:t>
      </w:r>
      <w:r w:rsidR="00F5091F" w:rsidRPr="005E7CDB">
        <w:rPr>
          <w:spacing w:val="-2"/>
        </w:rPr>
        <w:t xml:space="preserve"> </w:t>
      </w:r>
      <w:r w:rsidRPr="005E7CDB">
        <w:rPr>
          <w:spacing w:val="-2"/>
        </w:rPr>
        <w:t>selon</w:t>
      </w:r>
      <w:r w:rsidR="00F5091F" w:rsidRPr="005E7CDB">
        <w:rPr>
          <w:spacing w:val="-2"/>
        </w:rPr>
        <w:t xml:space="preserve"> </w:t>
      </w:r>
      <w:r w:rsidRPr="005E7CDB">
        <w:rPr>
          <w:spacing w:val="-2"/>
        </w:rPr>
        <w:t>le</w:t>
      </w:r>
      <w:r w:rsidR="00F5091F" w:rsidRPr="005E7CDB">
        <w:rPr>
          <w:spacing w:val="-2"/>
        </w:rPr>
        <w:t xml:space="preserve"> </w:t>
      </w:r>
      <w:r w:rsidRPr="005E7CDB">
        <w:rPr>
          <w:spacing w:val="-2"/>
        </w:rPr>
        <w:t>droit</w:t>
      </w:r>
      <w:r w:rsidR="00F5091F" w:rsidRPr="005E7CDB">
        <w:rPr>
          <w:spacing w:val="-2"/>
        </w:rPr>
        <w:t xml:space="preserve"> </w:t>
      </w:r>
      <w:r w:rsidRPr="005E7CDB">
        <w:rPr>
          <w:spacing w:val="-2"/>
        </w:rPr>
        <w:t>national</w:t>
      </w:r>
      <w:r w:rsidR="00F5091F" w:rsidRPr="005E7CDB">
        <w:rPr>
          <w:spacing w:val="-2"/>
        </w:rPr>
        <w:t xml:space="preserve"> </w:t>
      </w:r>
      <w:r w:rsidRPr="005E7CDB">
        <w:rPr>
          <w:spacing w:val="-2"/>
        </w:rPr>
        <w:t>pour</w:t>
      </w:r>
      <w:r w:rsidR="00F5091F" w:rsidRPr="005E7CDB">
        <w:rPr>
          <w:spacing w:val="-2"/>
        </w:rPr>
        <w:t xml:space="preserve"> </w:t>
      </w:r>
      <w:r w:rsidRPr="005E7CDB">
        <w:rPr>
          <w:spacing w:val="-2"/>
        </w:rPr>
        <w:t>l’application</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l’ADR,</w:t>
      </w:r>
      <w:r w:rsidR="00F5091F" w:rsidRPr="005E7CDB">
        <w:rPr>
          <w:spacing w:val="-2"/>
        </w:rPr>
        <w:t xml:space="preserve"> </w:t>
      </w:r>
      <w:r w:rsidRPr="005E7CDB">
        <w:rPr>
          <w:spacing w:val="-2"/>
        </w:rPr>
        <w:t>en</w:t>
      </w:r>
      <w:r w:rsidR="00F5091F" w:rsidRPr="005E7CDB">
        <w:rPr>
          <w:spacing w:val="-2"/>
        </w:rPr>
        <w:t xml:space="preserve"> </w:t>
      </w:r>
      <w:r w:rsidRPr="005E7CDB">
        <w:rPr>
          <w:spacing w:val="-2"/>
        </w:rPr>
        <w:t>mentionnant</w:t>
      </w:r>
      <w:r w:rsidR="00F5091F" w:rsidRPr="005E7CDB">
        <w:rPr>
          <w:spacing w:val="-2"/>
        </w:rPr>
        <w:t xml:space="preserve"> </w:t>
      </w:r>
      <w:r w:rsidRPr="005E7CDB">
        <w:rPr>
          <w:spacing w:val="-2"/>
        </w:rPr>
        <w:t>dans</w:t>
      </w:r>
      <w:r w:rsidR="00F5091F" w:rsidRPr="005E7CDB">
        <w:rPr>
          <w:spacing w:val="-2"/>
        </w:rPr>
        <w:t xml:space="preserve"> </w:t>
      </w:r>
      <w:r w:rsidRPr="005E7CDB">
        <w:rPr>
          <w:spacing w:val="-2"/>
        </w:rPr>
        <w:t>chaque</w:t>
      </w:r>
      <w:r w:rsidR="00F5091F" w:rsidRPr="005E7CDB">
        <w:rPr>
          <w:spacing w:val="-2"/>
        </w:rPr>
        <w:t xml:space="preserve"> </w:t>
      </w:r>
      <w:r w:rsidRPr="005E7CDB">
        <w:rPr>
          <w:spacing w:val="-2"/>
        </w:rPr>
        <w:t>cas</w:t>
      </w:r>
      <w:r w:rsidR="00F5091F" w:rsidRPr="005E7CDB">
        <w:rPr>
          <w:spacing w:val="-2"/>
        </w:rPr>
        <w:t xml:space="preserve"> </w:t>
      </w:r>
      <w:r w:rsidRPr="005E7CDB">
        <w:rPr>
          <w:spacing w:val="-2"/>
        </w:rPr>
        <w:t>la</w:t>
      </w:r>
      <w:r w:rsidR="00F5091F" w:rsidRPr="005E7CDB">
        <w:rPr>
          <w:spacing w:val="-2"/>
        </w:rPr>
        <w:t xml:space="preserve"> </w:t>
      </w:r>
      <w:r w:rsidRPr="005E7CDB">
        <w:rPr>
          <w:spacing w:val="-2"/>
        </w:rPr>
        <w:t>disposition</w:t>
      </w:r>
      <w:r w:rsidR="00F5091F" w:rsidRPr="005E7CDB">
        <w:rPr>
          <w:spacing w:val="-2"/>
        </w:rPr>
        <w:t xml:space="preserve"> </w:t>
      </w:r>
      <w:r w:rsidRPr="005E7CDB">
        <w:rPr>
          <w:spacing w:val="-2"/>
        </w:rPr>
        <w:t>pertinente</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l’ADR,</w:t>
      </w:r>
      <w:r w:rsidR="00F5091F" w:rsidRPr="005E7CDB">
        <w:rPr>
          <w:spacing w:val="-2"/>
        </w:rPr>
        <w:t xml:space="preserve"> </w:t>
      </w:r>
      <w:r w:rsidRPr="005E7CDB">
        <w:rPr>
          <w:spacing w:val="-2"/>
        </w:rPr>
        <w:t>ainsi</w:t>
      </w:r>
      <w:r w:rsidR="00F5091F" w:rsidRPr="005E7CDB">
        <w:rPr>
          <w:spacing w:val="-2"/>
        </w:rPr>
        <w:t xml:space="preserve"> </w:t>
      </w:r>
      <w:r w:rsidRPr="005E7CDB">
        <w:rPr>
          <w:spacing w:val="-2"/>
        </w:rPr>
        <w:t>que</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adresses</w:t>
      </w:r>
      <w:r w:rsidR="00F5091F" w:rsidRPr="005E7CDB">
        <w:rPr>
          <w:spacing w:val="-2"/>
        </w:rPr>
        <w:t xml:space="preserve"> </w:t>
      </w:r>
      <w:r w:rsidRPr="005E7CDB">
        <w:rPr>
          <w:spacing w:val="-2"/>
        </w:rPr>
        <w:t>auxquelles</w:t>
      </w:r>
      <w:r w:rsidR="00F5091F" w:rsidRPr="005E7CDB">
        <w:rPr>
          <w:spacing w:val="-2"/>
        </w:rPr>
        <w:t xml:space="preserve"> </w:t>
      </w:r>
      <w:r w:rsidRPr="005E7CDB">
        <w:rPr>
          <w:spacing w:val="-2"/>
        </w:rPr>
        <w:t>il</w:t>
      </w:r>
      <w:r w:rsidR="00F5091F" w:rsidRPr="005E7CDB">
        <w:rPr>
          <w:spacing w:val="-2"/>
        </w:rPr>
        <w:t xml:space="preserve"> </w:t>
      </w:r>
      <w:r w:rsidRPr="005E7CDB">
        <w:rPr>
          <w:spacing w:val="-2"/>
        </w:rPr>
        <w:t>y</w:t>
      </w:r>
      <w:r w:rsidR="00F5091F" w:rsidRPr="005E7CDB">
        <w:rPr>
          <w:spacing w:val="-2"/>
        </w:rPr>
        <w:t xml:space="preserve"> </w:t>
      </w:r>
      <w:r w:rsidRPr="005E7CDB">
        <w:rPr>
          <w:spacing w:val="-2"/>
        </w:rPr>
        <w:t>a</w:t>
      </w:r>
      <w:r w:rsidR="00F5091F" w:rsidRPr="005E7CDB">
        <w:rPr>
          <w:spacing w:val="-2"/>
        </w:rPr>
        <w:t xml:space="preserve"> </w:t>
      </w:r>
      <w:r w:rsidRPr="005E7CDB">
        <w:rPr>
          <w:spacing w:val="-2"/>
        </w:rPr>
        <w:t>lieu</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soumettre</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demandes</w:t>
      </w:r>
      <w:r w:rsidR="00F5091F" w:rsidRPr="005E7CDB">
        <w:rPr>
          <w:spacing w:val="-2"/>
        </w:rPr>
        <w:t xml:space="preserve"> </w:t>
      </w:r>
      <w:r w:rsidRPr="005E7CDB">
        <w:rPr>
          <w:spacing w:val="-2"/>
        </w:rPr>
        <w:t>s’y</w:t>
      </w:r>
      <w:r w:rsidR="00F5091F" w:rsidRPr="005E7CDB">
        <w:rPr>
          <w:spacing w:val="-2"/>
        </w:rPr>
        <w:t xml:space="preserve"> </w:t>
      </w:r>
      <w:r w:rsidRPr="005E7CDB">
        <w:rPr>
          <w:spacing w:val="-2"/>
        </w:rPr>
        <w:t>rapportant.</w:t>
      </w:r>
      <w:r w:rsidR="00F5091F" w:rsidRPr="005E7CDB">
        <w:rPr>
          <w:spacing w:val="-2"/>
        </w:rPr>
        <w:t xml:space="preserve"> </w:t>
      </w:r>
      <w:r w:rsidRPr="005E7CDB">
        <w:rPr>
          <w:spacing w:val="-2"/>
        </w:rPr>
        <w:t>Le</w:t>
      </w:r>
      <w:r w:rsidR="00F5091F" w:rsidRPr="005E7CDB">
        <w:rPr>
          <w:spacing w:val="-2"/>
        </w:rPr>
        <w:t xml:space="preserve"> </w:t>
      </w:r>
      <w:r w:rsidRPr="005E7CDB">
        <w:rPr>
          <w:spacing w:val="-2"/>
        </w:rPr>
        <w:t>cas</w:t>
      </w:r>
      <w:r w:rsidR="00F5091F" w:rsidRPr="005E7CDB">
        <w:rPr>
          <w:spacing w:val="-2"/>
        </w:rPr>
        <w:t xml:space="preserve"> </w:t>
      </w:r>
      <w:r w:rsidRPr="005E7CDB">
        <w:rPr>
          <w:spacing w:val="-2"/>
        </w:rPr>
        <w:t>échéant,</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pays</w:t>
      </w:r>
      <w:r w:rsidR="00F5091F" w:rsidRPr="005E7CDB">
        <w:rPr>
          <w:spacing w:val="-2"/>
        </w:rPr>
        <w:t xml:space="preserve"> </w:t>
      </w:r>
      <w:r w:rsidRPr="005E7CDB">
        <w:rPr>
          <w:spacing w:val="-2"/>
        </w:rPr>
        <w:t>sont</w:t>
      </w:r>
      <w:r w:rsidR="00F5091F" w:rsidRPr="005E7CDB">
        <w:rPr>
          <w:spacing w:val="-2"/>
        </w:rPr>
        <w:t xml:space="preserve"> </w:t>
      </w:r>
      <w:r w:rsidRPr="005E7CDB">
        <w:rPr>
          <w:spacing w:val="-2"/>
        </w:rPr>
        <w:t>invités</w:t>
      </w:r>
      <w:r w:rsidR="00F5091F" w:rsidRPr="005E7CDB">
        <w:rPr>
          <w:spacing w:val="-2"/>
        </w:rPr>
        <w:t xml:space="preserve"> </w:t>
      </w:r>
      <w:r w:rsidRPr="005E7CDB">
        <w:rPr>
          <w:spacing w:val="-2"/>
        </w:rPr>
        <w:t>à</w:t>
      </w:r>
      <w:r w:rsidR="00F5091F" w:rsidRPr="005E7CDB">
        <w:rPr>
          <w:spacing w:val="-2"/>
        </w:rPr>
        <w:t xml:space="preserve"> </w:t>
      </w:r>
      <w:r w:rsidRPr="005E7CDB">
        <w:rPr>
          <w:spacing w:val="-2"/>
        </w:rPr>
        <w:t>confirmer</w:t>
      </w:r>
      <w:r w:rsidR="00F5091F" w:rsidRPr="005E7CDB">
        <w:rPr>
          <w:spacing w:val="-2"/>
        </w:rPr>
        <w:t xml:space="preserve"> </w:t>
      </w:r>
      <w:r w:rsidRPr="005E7CDB">
        <w:rPr>
          <w:spacing w:val="-2"/>
        </w:rPr>
        <w:t>que</w:t>
      </w:r>
      <w:r w:rsidR="00F5091F" w:rsidRPr="005E7CDB">
        <w:rPr>
          <w:spacing w:val="-2"/>
        </w:rPr>
        <w:t xml:space="preserve"> </w:t>
      </w:r>
      <w:r w:rsidRPr="005E7CDB">
        <w:rPr>
          <w:spacing w:val="-2"/>
        </w:rPr>
        <w:t>seule</w:t>
      </w:r>
      <w:r w:rsidR="00F5091F" w:rsidRPr="005E7CDB">
        <w:rPr>
          <w:spacing w:val="-2"/>
        </w:rPr>
        <w:t xml:space="preserve"> </w:t>
      </w:r>
      <w:r w:rsidRPr="005E7CDB">
        <w:rPr>
          <w:spacing w:val="-2"/>
        </w:rPr>
        <w:t>l’autorité</w:t>
      </w:r>
      <w:r w:rsidR="00F5091F" w:rsidRPr="005E7CDB">
        <w:rPr>
          <w:spacing w:val="-2"/>
        </w:rPr>
        <w:t xml:space="preserve"> </w:t>
      </w:r>
      <w:r w:rsidRPr="005E7CDB">
        <w:rPr>
          <w:spacing w:val="-2"/>
        </w:rPr>
        <w:t>compétente</w:t>
      </w:r>
      <w:r w:rsidR="00F5091F" w:rsidRPr="005E7CDB">
        <w:rPr>
          <w:spacing w:val="-2"/>
        </w:rPr>
        <w:t xml:space="preserve"> </w:t>
      </w:r>
      <w:r w:rsidRPr="005E7CDB">
        <w:rPr>
          <w:spacing w:val="-2"/>
        </w:rPr>
        <w:t>principale</w:t>
      </w:r>
      <w:r w:rsidR="00F5091F" w:rsidRPr="005E7CDB">
        <w:rPr>
          <w:spacing w:val="-2"/>
        </w:rPr>
        <w:t xml:space="preserve"> </w:t>
      </w:r>
      <w:r w:rsidRPr="005E7CDB">
        <w:rPr>
          <w:spacing w:val="-2"/>
        </w:rPr>
        <w:t>a</w:t>
      </w:r>
      <w:r w:rsidR="00F5091F" w:rsidRPr="005E7CDB">
        <w:rPr>
          <w:spacing w:val="-2"/>
        </w:rPr>
        <w:t xml:space="preserve"> </w:t>
      </w:r>
      <w:r w:rsidRPr="005E7CDB">
        <w:rPr>
          <w:spacing w:val="-2"/>
        </w:rPr>
        <w:t>compétence</w:t>
      </w:r>
      <w:r w:rsidR="00F5091F" w:rsidRPr="005E7CDB">
        <w:rPr>
          <w:spacing w:val="-2"/>
        </w:rPr>
        <w:t xml:space="preserve"> </w:t>
      </w:r>
      <w:r w:rsidRPr="005E7CDB">
        <w:rPr>
          <w:spacing w:val="-2"/>
        </w:rPr>
        <w:t>pour</w:t>
      </w:r>
      <w:r w:rsidR="00F5091F" w:rsidRPr="005E7CDB">
        <w:rPr>
          <w:spacing w:val="-2"/>
        </w:rPr>
        <w:t xml:space="preserve"> </w:t>
      </w:r>
      <w:r w:rsidRPr="005E7CDB">
        <w:rPr>
          <w:spacing w:val="-2"/>
        </w:rPr>
        <w:t>toutes</w:t>
      </w:r>
      <w:r w:rsidR="00F5091F" w:rsidRPr="005E7CDB">
        <w:rPr>
          <w:spacing w:val="-2"/>
        </w:rPr>
        <w:t xml:space="preserve"> </w:t>
      </w:r>
      <w:r w:rsidRPr="005E7CDB">
        <w:rPr>
          <w:spacing w:val="-2"/>
        </w:rPr>
        <w:t>les</w:t>
      </w:r>
      <w:r w:rsidR="00F5091F" w:rsidRPr="005E7CDB">
        <w:rPr>
          <w:spacing w:val="-2"/>
        </w:rPr>
        <w:t xml:space="preserve"> </w:t>
      </w:r>
      <w:r w:rsidRPr="005E7CDB">
        <w:rPr>
          <w:spacing w:val="-2"/>
        </w:rPr>
        <w:t>prescriptions</w:t>
      </w:r>
      <w:r w:rsidR="00F5091F" w:rsidRPr="005E7CDB">
        <w:rPr>
          <w:spacing w:val="-2"/>
        </w:rPr>
        <w:t xml:space="preserve"> </w:t>
      </w:r>
      <w:r w:rsidRPr="005E7CDB">
        <w:rPr>
          <w:spacing w:val="-2"/>
        </w:rPr>
        <w:t>de</w:t>
      </w:r>
      <w:r w:rsidR="00F5091F" w:rsidRPr="005E7CDB">
        <w:rPr>
          <w:spacing w:val="-2"/>
        </w:rPr>
        <w:t xml:space="preserve"> </w:t>
      </w:r>
      <w:r w:rsidRPr="005E7CDB">
        <w:rPr>
          <w:spacing w:val="-2"/>
        </w:rPr>
        <w:t>l’ADR.</w:t>
      </w:r>
      <w:r w:rsidR="00E64498" w:rsidRPr="005E7CDB">
        <w:rPr>
          <w:spacing w:val="-2"/>
        </w:rPr>
        <w:t>]</w:t>
      </w:r>
    </w:p>
    <w:p w:rsidR="002728BC" w:rsidRPr="005E7CDB" w:rsidRDefault="002728BC" w:rsidP="00DE6CA4">
      <w:pPr>
        <w:pStyle w:val="SingleTxtG"/>
      </w:pPr>
      <w:r w:rsidRPr="005E7CDB">
        <w:t>18.</w:t>
      </w:r>
      <w:r w:rsidRPr="005E7CDB">
        <w:tab/>
        <w:t>Le</w:t>
      </w:r>
      <w:r w:rsidR="00F5091F" w:rsidRPr="005E7CDB">
        <w:t xml:space="preserve"> </w:t>
      </w:r>
      <w:r w:rsidRPr="005E7CDB">
        <w:t>Groupe</w:t>
      </w:r>
      <w:r w:rsidR="00F5091F" w:rsidRPr="005E7CDB">
        <w:t xml:space="preserve"> </w:t>
      </w:r>
      <w:r w:rsidRPr="005E7CDB">
        <w:t>de</w:t>
      </w:r>
      <w:r w:rsidR="00F5091F" w:rsidRPr="005E7CDB">
        <w:t xml:space="preserve"> </w:t>
      </w:r>
      <w:r w:rsidRPr="005E7CDB">
        <w:t>travail</w:t>
      </w:r>
      <w:r w:rsidR="00F5091F" w:rsidRPr="005E7CDB">
        <w:t xml:space="preserve"> </w:t>
      </w:r>
      <w:r w:rsidRPr="005E7CDB">
        <w:t>a</w:t>
      </w:r>
      <w:r w:rsidR="00F5091F" w:rsidRPr="005E7CDB">
        <w:t xml:space="preserve"> </w:t>
      </w:r>
      <w:r w:rsidRPr="005E7CDB">
        <w:t>également</w:t>
      </w:r>
      <w:r w:rsidR="00F5091F" w:rsidRPr="005E7CDB">
        <w:t xml:space="preserve"> </w:t>
      </w:r>
      <w:r w:rsidRPr="005E7CDB">
        <w:t>invité</w:t>
      </w:r>
      <w:r w:rsidR="00F5091F" w:rsidRPr="005E7CDB">
        <w:t xml:space="preserve"> </w:t>
      </w:r>
      <w:r w:rsidRPr="005E7CDB">
        <w:t>les</w:t>
      </w:r>
      <w:r w:rsidR="00F5091F" w:rsidRPr="005E7CDB">
        <w:t xml:space="preserve"> </w:t>
      </w:r>
      <w:r w:rsidRPr="005E7CDB">
        <w:t>pays</w:t>
      </w:r>
      <w:r w:rsidR="00F5091F" w:rsidRPr="005E7CDB">
        <w:t xml:space="preserve"> </w:t>
      </w:r>
      <w:r w:rsidRPr="005E7CDB">
        <w:t>qui</w:t>
      </w:r>
      <w:r w:rsidR="00F5091F" w:rsidRPr="005E7CDB">
        <w:t xml:space="preserve"> </w:t>
      </w:r>
      <w:r w:rsidRPr="005E7CDB">
        <w:t>ne</w:t>
      </w:r>
      <w:r w:rsidR="00F5091F" w:rsidRPr="005E7CDB">
        <w:t xml:space="preserve"> </w:t>
      </w:r>
      <w:r w:rsidRPr="005E7CDB">
        <w:t>l’avaient</w:t>
      </w:r>
      <w:r w:rsidR="00F5091F" w:rsidRPr="005E7CDB">
        <w:t xml:space="preserve"> </w:t>
      </w:r>
      <w:r w:rsidRPr="005E7CDB">
        <w:t>pas</w:t>
      </w:r>
      <w:r w:rsidR="00F5091F" w:rsidRPr="005E7CDB">
        <w:t xml:space="preserve"> </w:t>
      </w:r>
      <w:r w:rsidRPr="005E7CDB">
        <w:t>encore</w:t>
      </w:r>
      <w:r w:rsidR="00F5091F" w:rsidRPr="005E7CDB">
        <w:t xml:space="preserve"> </w:t>
      </w:r>
      <w:r w:rsidRPr="005E7CDB">
        <w:t>fait</w:t>
      </w:r>
      <w:r w:rsidR="00F5091F" w:rsidRPr="005E7CDB">
        <w:t xml:space="preserve"> </w:t>
      </w:r>
      <w:r w:rsidRPr="005E7CDB">
        <w:t>à</w:t>
      </w:r>
      <w:r w:rsidR="00F5091F" w:rsidRPr="005E7CDB">
        <w:t xml:space="preserve"> </w:t>
      </w:r>
      <w:r w:rsidRPr="005E7CDB">
        <w:t>envoyer</w:t>
      </w:r>
      <w:r w:rsidR="00F5091F" w:rsidRPr="005E7CDB">
        <w:t xml:space="preserve"> </w:t>
      </w:r>
      <w:r w:rsidRPr="005E7CDB">
        <w:t>les</w:t>
      </w:r>
      <w:r w:rsidR="00F5091F" w:rsidRPr="005E7CDB">
        <w:t xml:space="preserve"> </w:t>
      </w:r>
      <w:r w:rsidRPr="005E7CDB">
        <w:t>modèles</w:t>
      </w:r>
      <w:r w:rsidR="00F5091F" w:rsidRPr="005E7CDB">
        <w:t xml:space="preserve"> </w:t>
      </w:r>
      <w:r w:rsidRPr="005E7CDB">
        <w:t>de</w:t>
      </w:r>
      <w:r w:rsidR="00F5091F" w:rsidRPr="005E7CDB">
        <w:t xml:space="preserve"> </w:t>
      </w:r>
      <w:r w:rsidRPr="005E7CDB">
        <w:t>certificats</w:t>
      </w:r>
      <w:r w:rsidR="00F5091F" w:rsidRPr="005E7CDB">
        <w:t xml:space="preserve"> </w:t>
      </w:r>
      <w:r w:rsidRPr="005E7CDB">
        <w:t>ADR</w:t>
      </w:r>
      <w:r w:rsidR="00F5091F" w:rsidRPr="005E7CDB">
        <w:t xml:space="preserve"> </w:t>
      </w:r>
      <w:r w:rsidRPr="005E7CDB">
        <w:t>de</w:t>
      </w:r>
      <w:r w:rsidR="00F5091F" w:rsidRPr="005E7CDB">
        <w:t xml:space="preserve"> </w:t>
      </w:r>
      <w:r w:rsidRPr="005E7CDB">
        <w:t>formation</w:t>
      </w:r>
      <w:r w:rsidR="00F5091F" w:rsidRPr="005E7CDB">
        <w:t xml:space="preserve"> </w:t>
      </w:r>
      <w:r w:rsidRPr="005E7CDB">
        <w:t>de</w:t>
      </w:r>
      <w:r w:rsidR="00F5091F" w:rsidRPr="005E7CDB">
        <w:t xml:space="preserve"> </w:t>
      </w:r>
      <w:r w:rsidRPr="005E7CDB">
        <w:t>conducteur</w:t>
      </w:r>
      <w:r w:rsidR="00F5091F" w:rsidRPr="005E7CDB">
        <w:t xml:space="preserve"> </w:t>
      </w:r>
      <w:r w:rsidRPr="005E7CDB">
        <w:t>qu’ils</w:t>
      </w:r>
      <w:r w:rsidR="00F5091F" w:rsidRPr="005E7CDB">
        <w:t xml:space="preserve"> </w:t>
      </w:r>
      <w:r w:rsidRPr="005E7CDB">
        <w:t>délivrent,</w:t>
      </w:r>
      <w:r w:rsidR="00F5091F" w:rsidRPr="005E7CDB">
        <w:t xml:space="preserve"> </w:t>
      </w:r>
      <w:r w:rsidRPr="005E7CDB">
        <w:t>ou</w:t>
      </w:r>
      <w:r w:rsidR="00F5091F" w:rsidRPr="005E7CDB">
        <w:t xml:space="preserve"> </w:t>
      </w:r>
      <w:r w:rsidRPr="005E7CDB">
        <w:t>à</w:t>
      </w:r>
      <w:r w:rsidR="00F5091F" w:rsidRPr="005E7CDB">
        <w:t xml:space="preserve"> </w:t>
      </w:r>
      <w:r w:rsidRPr="005E7CDB">
        <w:t>confirmer</w:t>
      </w:r>
      <w:r w:rsidR="00F5091F" w:rsidRPr="005E7CDB">
        <w:t xml:space="preserve"> </w:t>
      </w:r>
      <w:r w:rsidRPr="005E7CDB">
        <w:t>qu’aucun</w:t>
      </w:r>
      <w:r w:rsidR="00F5091F" w:rsidRPr="005E7CDB">
        <w:t xml:space="preserve"> </w:t>
      </w:r>
      <w:r w:rsidRPr="005E7CDB">
        <w:t>certificat</w:t>
      </w:r>
      <w:r w:rsidR="00F5091F" w:rsidRPr="005E7CDB">
        <w:t xml:space="preserve"> </w:t>
      </w:r>
      <w:r w:rsidRPr="005E7CDB">
        <w:t>n’était</w:t>
      </w:r>
      <w:r w:rsidR="00F5091F" w:rsidRPr="005E7CDB">
        <w:t xml:space="preserve"> </w:t>
      </w:r>
      <w:r w:rsidRPr="005E7CDB">
        <w:t>délivré</w:t>
      </w:r>
      <w:r w:rsidR="00F5091F" w:rsidRPr="005E7CDB">
        <w:t xml:space="preserve"> </w:t>
      </w:r>
      <w:r w:rsidRPr="005E7CDB">
        <w:t>dans</w:t>
      </w:r>
      <w:r w:rsidR="00F5091F" w:rsidRPr="005E7CDB">
        <w:t xml:space="preserve"> </w:t>
      </w:r>
      <w:r w:rsidRPr="005E7CDB">
        <w:t>leur</w:t>
      </w:r>
      <w:r w:rsidR="00F5091F" w:rsidRPr="005E7CDB">
        <w:t xml:space="preserve"> </w:t>
      </w:r>
      <w:r w:rsidRPr="005E7CDB">
        <w:t>pays</w:t>
      </w:r>
      <w:r w:rsidR="00F5091F" w:rsidRPr="005E7CDB">
        <w:t xml:space="preserve"> </w:t>
      </w:r>
      <w:r w:rsidRPr="005E7CDB">
        <w:t>le</w:t>
      </w:r>
      <w:r w:rsidR="00F5091F" w:rsidRPr="005E7CDB">
        <w:t xml:space="preserve"> </w:t>
      </w:r>
      <w:r w:rsidRPr="005E7CDB">
        <w:t>cas</w:t>
      </w:r>
      <w:r w:rsidR="00F5091F" w:rsidRPr="005E7CDB">
        <w:t xml:space="preserve"> </w:t>
      </w:r>
      <w:r w:rsidRPr="005E7CDB">
        <w:t>échéant.</w:t>
      </w:r>
      <w:r w:rsidR="00F5091F" w:rsidRPr="005E7CDB">
        <w:t xml:space="preserve"> </w:t>
      </w:r>
      <w:r w:rsidRPr="005E7CDB">
        <w:t>[</w:t>
      </w:r>
      <w:r w:rsidR="00DE6CA4" w:rsidRPr="005E7CDB">
        <w:t xml:space="preserve">Le </w:t>
      </w:r>
      <w:r w:rsidRPr="005E7CDB">
        <w:t>Groupe</w:t>
      </w:r>
      <w:r w:rsidR="00F5091F" w:rsidRPr="005E7CDB">
        <w:t xml:space="preserve"> </w:t>
      </w:r>
      <w:r w:rsidRPr="005E7CDB">
        <w:t>de</w:t>
      </w:r>
      <w:r w:rsidR="00F5091F" w:rsidRPr="005E7CDB">
        <w:t xml:space="preserve"> </w:t>
      </w:r>
      <w:r w:rsidRPr="005E7CDB">
        <w:t>travail</w:t>
      </w:r>
      <w:r w:rsidR="00F5091F" w:rsidRPr="005E7CDB">
        <w:t xml:space="preserve"> </w:t>
      </w:r>
      <w:r w:rsidRPr="005E7CDB">
        <w:t>a</w:t>
      </w:r>
      <w:r w:rsidR="00F5091F" w:rsidRPr="005E7CDB">
        <w:t xml:space="preserve"> </w:t>
      </w:r>
      <w:r w:rsidRPr="005E7CDB">
        <w:t>prié</w:t>
      </w:r>
      <w:r w:rsidR="00F5091F" w:rsidRPr="005E7CDB">
        <w:t xml:space="preserve"> </w:t>
      </w:r>
      <w:r w:rsidRPr="005E7CDB">
        <w:t>le</w:t>
      </w:r>
      <w:r w:rsidR="00F5091F" w:rsidRPr="005E7CDB">
        <w:t xml:space="preserve"> </w:t>
      </w:r>
      <w:r w:rsidRPr="005E7CDB">
        <w:t>secrétariat</w:t>
      </w:r>
      <w:r w:rsidR="00F5091F" w:rsidRPr="005E7CDB">
        <w:t xml:space="preserve"> </w:t>
      </w:r>
      <w:r w:rsidRPr="005E7CDB">
        <w:t>d’envoyer</w:t>
      </w:r>
      <w:r w:rsidR="00F5091F" w:rsidRPr="005E7CDB">
        <w:t xml:space="preserve"> </w:t>
      </w:r>
      <w:r w:rsidRPr="005E7CDB">
        <w:t>une</w:t>
      </w:r>
      <w:r w:rsidR="00F5091F" w:rsidRPr="005E7CDB">
        <w:t xml:space="preserve"> </w:t>
      </w:r>
      <w:r w:rsidRPr="005E7CDB">
        <w:t>demande</w:t>
      </w:r>
      <w:r w:rsidR="00F5091F" w:rsidRPr="005E7CDB">
        <w:t xml:space="preserve"> </w:t>
      </w:r>
      <w:r w:rsidRPr="005E7CDB">
        <w:t>officielle</w:t>
      </w:r>
      <w:r w:rsidR="00F5091F" w:rsidRPr="005E7CDB">
        <w:t xml:space="preserve"> </w:t>
      </w:r>
      <w:r w:rsidRPr="005E7CDB">
        <w:t>à</w:t>
      </w:r>
      <w:r w:rsidR="00F5091F" w:rsidRPr="005E7CDB">
        <w:t xml:space="preserve"> </w:t>
      </w:r>
      <w:r w:rsidRPr="005E7CDB">
        <w:t>ces</w:t>
      </w:r>
      <w:r w:rsidR="00F5091F" w:rsidRPr="005E7CDB">
        <w:t xml:space="preserve"> </w:t>
      </w:r>
      <w:r w:rsidRPr="005E7CDB">
        <w:t>pays</w:t>
      </w:r>
      <w:r w:rsidR="00F5091F" w:rsidRPr="005E7CDB">
        <w:t xml:space="preserve"> </w:t>
      </w:r>
      <w:r w:rsidRPr="005E7CDB">
        <w:t>à</w:t>
      </w:r>
      <w:r w:rsidR="00F5091F" w:rsidRPr="005E7CDB">
        <w:t xml:space="preserve"> </w:t>
      </w:r>
      <w:r w:rsidRPr="005E7CDB">
        <w:t>cet</w:t>
      </w:r>
      <w:r w:rsidR="00F5091F" w:rsidRPr="005E7CDB">
        <w:t xml:space="preserve"> </w:t>
      </w:r>
      <w:r w:rsidRPr="005E7CDB">
        <w:t>égard.]</w:t>
      </w:r>
    </w:p>
    <w:p w:rsidR="002728BC" w:rsidRPr="005E7CDB" w:rsidRDefault="002728BC" w:rsidP="00E64498">
      <w:pPr>
        <w:pStyle w:val="HChG"/>
      </w:pPr>
      <w:r w:rsidRPr="005E7CDB">
        <w:br w:type="page"/>
        <w:t>Annexe</w:t>
      </w:r>
      <w:r w:rsidR="00F5091F" w:rsidRPr="005E7CDB">
        <w:t xml:space="preserve"> </w:t>
      </w:r>
      <w:r w:rsidRPr="005E7CDB">
        <w:t>II</w:t>
      </w:r>
    </w:p>
    <w:p w:rsidR="002728BC" w:rsidRPr="005E7CDB" w:rsidRDefault="002728BC" w:rsidP="00E64498">
      <w:pPr>
        <w:pStyle w:val="HChG"/>
      </w:pPr>
      <w:r w:rsidRPr="005E7CDB">
        <w:tab/>
      </w:r>
      <w:r w:rsidRPr="005E7CDB">
        <w:tab/>
        <w:t>Plan</w:t>
      </w:r>
      <w:r w:rsidR="00F5091F" w:rsidRPr="005E7CDB">
        <w:t xml:space="preserve"> </w:t>
      </w:r>
      <w:r w:rsidRPr="005E7CDB">
        <w:t>d’évaluation</w:t>
      </w:r>
      <w:r w:rsidR="00F5091F" w:rsidRPr="005E7CDB">
        <w:t xml:space="preserve"> </w:t>
      </w:r>
      <w:r w:rsidRPr="005E7CDB">
        <w:t>biennale</w:t>
      </w:r>
    </w:p>
    <w:tbl>
      <w:tblPr>
        <w:tblW w:w="9639" w:type="dxa"/>
        <w:tblLayout w:type="fixed"/>
        <w:tblCellMar>
          <w:left w:w="0" w:type="dxa"/>
          <w:right w:w="0" w:type="dxa"/>
        </w:tblCellMar>
        <w:tblLook w:val="0000" w:firstRow="0" w:lastRow="0" w:firstColumn="0" w:lastColumn="0" w:noHBand="0" w:noVBand="0"/>
      </w:tblPr>
      <w:tblGrid>
        <w:gridCol w:w="2649"/>
        <w:gridCol w:w="3106"/>
        <w:gridCol w:w="3884"/>
      </w:tblGrid>
      <w:tr w:rsidR="002728BC" w:rsidRPr="005E7CDB" w:rsidTr="00000992">
        <w:trPr>
          <w:cantSplit/>
          <w:tblHeader/>
        </w:trPr>
        <w:tc>
          <w:tcPr>
            <w:tcW w:w="9639" w:type="dxa"/>
            <w:gridSpan w:val="3"/>
            <w:tcBorders>
              <w:top w:val="single" w:sz="4" w:space="0" w:color="auto"/>
              <w:left w:val="nil"/>
              <w:bottom w:val="nil"/>
            </w:tcBorders>
          </w:tcPr>
          <w:p w:rsidR="002728BC" w:rsidRPr="005E7CDB" w:rsidRDefault="002728BC" w:rsidP="00A01840">
            <w:pPr>
              <w:spacing w:before="80" w:after="80" w:line="200" w:lineRule="exact"/>
              <w:ind w:right="113"/>
              <w:rPr>
                <w:i/>
                <w:sz w:val="16"/>
              </w:rPr>
            </w:pPr>
            <w:r w:rsidRPr="005E7CDB">
              <w:rPr>
                <w:i/>
                <w:sz w:val="16"/>
              </w:rPr>
              <w:t>Objectif</w:t>
            </w:r>
            <w:r w:rsidR="00F5091F" w:rsidRPr="005E7CDB">
              <w:rPr>
                <w:i/>
                <w:sz w:val="16"/>
              </w:rPr>
              <w:t xml:space="preserve"> </w:t>
            </w:r>
            <w:r w:rsidRPr="005E7CDB">
              <w:rPr>
                <w:i/>
                <w:sz w:val="16"/>
              </w:rPr>
              <w:t>de</w:t>
            </w:r>
            <w:r w:rsidR="00F5091F" w:rsidRPr="005E7CDB">
              <w:rPr>
                <w:i/>
                <w:sz w:val="16"/>
              </w:rPr>
              <w:t xml:space="preserve"> </w:t>
            </w:r>
            <w:r w:rsidRPr="005E7CDB">
              <w:rPr>
                <w:i/>
                <w:sz w:val="16"/>
              </w:rPr>
              <w:t>l’Organisation</w:t>
            </w:r>
            <w:r w:rsidR="00F5091F" w:rsidRPr="005E7CDB">
              <w:rPr>
                <w:i/>
                <w:sz w:val="16"/>
              </w:rPr>
              <w:t> </w:t>
            </w:r>
            <w:r w:rsidR="00F5091F" w:rsidRPr="005E7CDB">
              <w:rPr>
                <w:sz w:val="16"/>
              </w:rPr>
              <w:t xml:space="preserve">: </w:t>
            </w:r>
            <w:r w:rsidRPr="005E7CDB">
              <w:rPr>
                <w:sz w:val="16"/>
              </w:rPr>
              <w:t>améliorer</w:t>
            </w:r>
            <w:r w:rsidR="00F5091F" w:rsidRPr="005E7CDB">
              <w:rPr>
                <w:sz w:val="16"/>
              </w:rPr>
              <w:t xml:space="preserve"> </w:t>
            </w:r>
            <w:r w:rsidRPr="005E7CDB">
              <w:rPr>
                <w:sz w:val="16"/>
              </w:rPr>
              <w:t>la</w:t>
            </w:r>
            <w:r w:rsidR="00F5091F" w:rsidRPr="005E7CDB">
              <w:rPr>
                <w:sz w:val="16"/>
              </w:rPr>
              <w:t xml:space="preserve"> </w:t>
            </w:r>
            <w:r w:rsidRPr="005E7CDB">
              <w:rPr>
                <w:sz w:val="16"/>
              </w:rPr>
              <w:t>viabilité</w:t>
            </w:r>
            <w:r w:rsidR="00F5091F" w:rsidRPr="005E7CDB">
              <w:rPr>
                <w:sz w:val="16"/>
              </w:rPr>
              <w:t xml:space="preserve"> </w:t>
            </w:r>
            <w:r w:rsidRPr="005E7CDB">
              <w:rPr>
                <w:sz w:val="16"/>
              </w:rPr>
              <w:t>des</w:t>
            </w:r>
            <w:r w:rsidR="00F5091F" w:rsidRPr="005E7CDB">
              <w:rPr>
                <w:sz w:val="16"/>
              </w:rPr>
              <w:t xml:space="preserve"> </w:t>
            </w:r>
            <w:r w:rsidRPr="005E7CDB">
              <w:rPr>
                <w:sz w:val="16"/>
              </w:rPr>
              <w:t>transports</w:t>
            </w:r>
            <w:r w:rsidR="00F5091F" w:rsidRPr="005E7CDB">
              <w:rPr>
                <w:sz w:val="16"/>
              </w:rPr>
              <w:t xml:space="preserve"> </w:t>
            </w:r>
            <w:r w:rsidRPr="005E7CDB">
              <w:rPr>
                <w:sz w:val="16"/>
              </w:rPr>
              <w:t>intérieurs</w:t>
            </w:r>
            <w:r w:rsidR="00F5091F" w:rsidRPr="005E7CDB">
              <w:rPr>
                <w:sz w:val="16"/>
              </w:rPr>
              <w:t xml:space="preserve"> </w:t>
            </w:r>
            <w:r w:rsidRPr="005E7CDB">
              <w:rPr>
                <w:sz w:val="16"/>
              </w:rPr>
              <w:t>en</w:t>
            </w:r>
            <w:r w:rsidR="00F5091F" w:rsidRPr="005E7CDB">
              <w:rPr>
                <w:sz w:val="16"/>
              </w:rPr>
              <w:t xml:space="preserve"> </w:t>
            </w:r>
            <w:r w:rsidRPr="005E7CDB">
              <w:rPr>
                <w:sz w:val="16"/>
              </w:rPr>
              <w:t>vue</w:t>
            </w:r>
            <w:r w:rsidR="00F5091F" w:rsidRPr="005E7CDB">
              <w:rPr>
                <w:sz w:val="16"/>
              </w:rPr>
              <w:t xml:space="preserve"> </w:t>
            </w:r>
            <w:r w:rsidRPr="005E7CDB">
              <w:rPr>
                <w:sz w:val="16"/>
              </w:rPr>
              <w:t>de</w:t>
            </w:r>
            <w:r w:rsidR="00F5091F" w:rsidRPr="005E7CDB">
              <w:rPr>
                <w:sz w:val="16"/>
              </w:rPr>
              <w:t xml:space="preserve"> </w:t>
            </w:r>
            <w:r w:rsidRPr="005E7CDB">
              <w:rPr>
                <w:sz w:val="16"/>
              </w:rPr>
              <w:t>les</w:t>
            </w:r>
            <w:r w:rsidR="00F5091F" w:rsidRPr="005E7CDB">
              <w:rPr>
                <w:sz w:val="16"/>
              </w:rPr>
              <w:t xml:space="preserve"> </w:t>
            </w:r>
            <w:r w:rsidRPr="005E7CDB">
              <w:rPr>
                <w:sz w:val="16"/>
              </w:rPr>
              <w:t>rendre</w:t>
            </w:r>
            <w:r w:rsidR="00F5091F" w:rsidRPr="005E7CDB">
              <w:rPr>
                <w:sz w:val="16"/>
              </w:rPr>
              <w:t xml:space="preserve"> </w:t>
            </w:r>
            <w:r w:rsidRPr="005E7CDB">
              <w:rPr>
                <w:sz w:val="16"/>
              </w:rPr>
              <w:t>sûrs,</w:t>
            </w:r>
            <w:r w:rsidR="00F5091F" w:rsidRPr="005E7CDB">
              <w:rPr>
                <w:sz w:val="16"/>
              </w:rPr>
              <w:t xml:space="preserve"> </w:t>
            </w:r>
            <w:r w:rsidRPr="005E7CDB">
              <w:rPr>
                <w:sz w:val="16"/>
              </w:rPr>
              <w:t>propres</w:t>
            </w:r>
            <w:r w:rsidR="00F5091F" w:rsidRPr="005E7CDB">
              <w:rPr>
                <w:sz w:val="16"/>
              </w:rPr>
              <w:t xml:space="preserve"> </w:t>
            </w:r>
            <w:r w:rsidRPr="005E7CDB">
              <w:rPr>
                <w:sz w:val="16"/>
              </w:rPr>
              <w:t>et</w:t>
            </w:r>
            <w:r w:rsidR="00F5091F" w:rsidRPr="005E7CDB">
              <w:rPr>
                <w:sz w:val="16"/>
              </w:rPr>
              <w:t xml:space="preserve"> </w:t>
            </w:r>
            <w:r w:rsidRPr="005E7CDB">
              <w:rPr>
                <w:sz w:val="16"/>
              </w:rPr>
              <w:t>compétitifs,</w:t>
            </w:r>
            <w:r w:rsidR="00F5091F" w:rsidRPr="005E7CDB">
              <w:rPr>
                <w:sz w:val="16"/>
              </w:rPr>
              <w:t xml:space="preserve"> </w:t>
            </w:r>
            <w:r w:rsidRPr="005E7CDB">
              <w:rPr>
                <w:sz w:val="16"/>
              </w:rPr>
              <w:t>à</w:t>
            </w:r>
            <w:r w:rsidR="00F5091F" w:rsidRPr="005E7CDB">
              <w:rPr>
                <w:sz w:val="16"/>
              </w:rPr>
              <w:t xml:space="preserve"> </w:t>
            </w:r>
            <w:r w:rsidRPr="005E7CDB">
              <w:rPr>
                <w:sz w:val="16"/>
              </w:rPr>
              <w:t>la</w:t>
            </w:r>
            <w:r w:rsidR="00F5091F" w:rsidRPr="005E7CDB">
              <w:rPr>
                <w:sz w:val="16"/>
              </w:rPr>
              <w:t xml:space="preserve"> </w:t>
            </w:r>
            <w:r w:rsidRPr="005E7CDB">
              <w:rPr>
                <w:sz w:val="16"/>
              </w:rPr>
              <w:t>fois</w:t>
            </w:r>
            <w:r w:rsidR="00F5091F" w:rsidRPr="005E7CDB">
              <w:rPr>
                <w:sz w:val="16"/>
              </w:rPr>
              <w:t xml:space="preserve"> </w:t>
            </w:r>
            <w:r w:rsidRPr="005E7CDB">
              <w:rPr>
                <w:sz w:val="16"/>
              </w:rPr>
              <w:t>pour</w:t>
            </w:r>
            <w:r w:rsidR="00F5091F" w:rsidRPr="005E7CDB">
              <w:rPr>
                <w:sz w:val="16"/>
              </w:rPr>
              <w:t xml:space="preserve"> </w:t>
            </w:r>
            <w:r w:rsidRPr="005E7CDB">
              <w:rPr>
                <w:sz w:val="16"/>
              </w:rPr>
              <w:t>le</w:t>
            </w:r>
            <w:r w:rsidR="00F5091F" w:rsidRPr="005E7CDB">
              <w:rPr>
                <w:sz w:val="16"/>
              </w:rPr>
              <w:t xml:space="preserve"> </w:t>
            </w:r>
            <w:r w:rsidRPr="005E7CDB">
              <w:rPr>
                <w:sz w:val="16"/>
              </w:rPr>
              <w:t>transport</w:t>
            </w:r>
            <w:r w:rsidR="00F5091F" w:rsidRPr="005E7CDB">
              <w:rPr>
                <w:sz w:val="16"/>
              </w:rPr>
              <w:t xml:space="preserve"> </w:t>
            </w:r>
            <w:r w:rsidRPr="005E7CDB">
              <w:rPr>
                <w:sz w:val="16"/>
              </w:rPr>
              <w:t>de</w:t>
            </w:r>
            <w:r w:rsidR="00F5091F" w:rsidRPr="005E7CDB">
              <w:rPr>
                <w:sz w:val="16"/>
              </w:rPr>
              <w:t xml:space="preserve"> </w:t>
            </w:r>
            <w:r w:rsidRPr="005E7CDB">
              <w:rPr>
                <w:sz w:val="16"/>
              </w:rPr>
              <w:t>marchandises</w:t>
            </w:r>
            <w:r w:rsidR="00F5091F" w:rsidRPr="005E7CDB">
              <w:rPr>
                <w:sz w:val="16"/>
              </w:rPr>
              <w:t xml:space="preserve"> </w:t>
            </w:r>
            <w:r w:rsidRPr="005E7CDB">
              <w:rPr>
                <w:sz w:val="16"/>
              </w:rPr>
              <w:t>et</w:t>
            </w:r>
            <w:r w:rsidR="00F5091F" w:rsidRPr="005E7CDB">
              <w:rPr>
                <w:sz w:val="16"/>
              </w:rPr>
              <w:t xml:space="preserve"> </w:t>
            </w:r>
            <w:r w:rsidRPr="005E7CDB">
              <w:rPr>
                <w:sz w:val="16"/>
              </w:rPr>
              <w:t>de</w:t>
            </w:r>
            <w:r w:rsidR="00F5091F" w:rsidRPr="005E7CDB">
              <w:rPr>
                <w:sz w:val="16"/>
              </w:rPr>
              <w:t xml:space="preserve"> </w:t>
            </w:r>
            <w:r w:rsidRPr="005E7CDB">
              <w:rPr>
                <w:sz w:val="16"/>
              </w:rPr>
              <w:t>personnes</w:t>
            </w:r>
          </w:p>
        </w:tc>
      </w:tr>
      <w:tr w:rsidR="002728BC" w:rsidRPr="005E7CDB" w:rsidTr="00644254">
        <w:trPr>
          <w:cantSplit/>
          <w:tblHeader/>
        </w:trPr>
        <w:tc>
          <w:tcPr>
            <w:tcW w:w="2649" w:type="dxa"/>
            <w:tcBorders>
              <w:top w:val="single" w:sz="4" w:space="0" w:color="auto"/>
              <w:bottom w:val="single" w:sz="12" w:space="0" w:color="auto"/>
            </w:tcBorders>
            <w:shd w:val="clear" w:color="auto" w:fill="auto"/>
            <w:vAlign w:val="bottom"/>
          </w:tcPr>
          <w:p w:rsidR="002728BC" w:rsidRPr="005E7CDB" w:rsidRDefault="002728BC" w:rsidP="00000992">
            <w:pPr>
              <w:spacing w:before="80" w:after="80" w:line="200" w:lineRule="exact"/>
              <w:ind w:right="113"/>
              <w:rPr>
                <w:i/>
                <w:sz w:val="16"/>
              </w:rPr>
            </w:pPr>
            <w:r w:rsidRPr="005E7CDB">
              <w:rPr>
                <w:i/>
                <w:sz w:val="16"/>
              </w:rPr>
              <w:t>Réalisations</w:t>
            </w:r>
            <w:r w:rsidR="00F5091F" w:rsidRPr="005E7CDB">
              <w:rPr>
                <w:i/>
                <w:sz w:val="16"/>
              </w:rPr>
              <w:t xml:space="preserve"> </w:t>
            </w:r>
            <w:r w:rsidRPr="005E7CDB">
              <w:rPr>
                <w:i/>
                <w:sz w:val="16"/>
              </w:rPr>
              <w:t>escomptées</w:t>
            </w:r>
            <w:r w:rsidR="00F5091F" w:rsidRPr="005E7CDB">
              <w:rPr>
                <w:i/>
                <w:sz w:val="16"/>
              </w:rPr>
              <w:t xml:space="preserve"> </w:t>
            </w:r>
            <w:r w:rsidRPr="005E7CDB">
              <w:rPr>
                <w:i/>
                <w:sz w:val="16"/>
              </w:rPr>
              <w:t>du</w:t>
            </w:r>
            <w:r w:rsidR="00F5091F" w:rsidRPr="005E7CDB">
              <w:rPr>
                <w:i/>
                <w:sz w:val="16"/>
              </w:rPr>
              <w:t xml:space="preserve"> </w:t>
            </w:r>
            <w:r w:rsidRPr="005E7CDB">
              <w:rPr>
                <w:i/>
                <w:sz w:val="16"/>
              </w:rPr>
              <w:t>secrétariat</w:t>
            </w:r>
          </w:p>
        </w:tc>
        <w:tc>
          <w:tcPr>
            <w:tcW w:w="3106" w:type="dxa"/>
            <w:tcBorders>
              <w:top w:val="single" w:sz="4" w:space="0" w:color="auto"/>
              <w:bottom w:val="single" w:sz="12" w:space="0" w:color="auto"/>
            </w:tcBorders>
            <w:shd w:val="clear" w:color="auto" w:fill="auto"/>
            <w:vAlign w:val="bottom"/>
          </w:tcPr>
          <w:p w:rsidR="002728BC" w:rsidRPr="005E7CDB" w:rsidRDefault="002728BC" w:rsidP="00000992">
            <w:pPr>
              <w:spacing w:before="80" w:after="80" w:line="200" w:lineRule="exact"/>
              <w:ind w:right="113"/>
              <w:rPr>
                <w:i/>
                <w:sz w:val="16"/>
              </w:rPr>
            </w:pPr>
            <w:r w:rsidRPr="005E7CDB">
              <w:rPr>
                <w:i/>
                <w:sz w:val="16"/>
              </w:rPr>
              <w:t>Indicateurs</w:t>
            </w:r>
            <w:r w:rsidR="00F5091F" w:rsidRPr="005E7CDB">
              <w:rPr>
                <w:i/>
                <w:sz w:val="16"/>
              </w:rPr>
              <w:t xml:space="preserve"> </w:t>
            </w:r>
            <w:r w:rsidRPr="005E7CDB">
              <w:rPr>
                <w:i/>
                <w:sz w:val="16"/>
              </w:rPr>
              <w:t>de</w:t>
            </w:r>
            <w:r w:rsidR="00F5091F" w:rsidRPr="005E7CDB">
              <w:rPr>
                <w:i/>
                <w:sz w:val="16"/>
              </w:rPr>
              <w:t xml:space="preserve"> </w:t>
            </w:r>
            <w:r w:rsidRPr="005E7CDB">
              <w:rPr>
                <w:i/>
                <w:sz w:val="16"/>
              </w:rPr>
              <w:t>succès</w:t>
            </w:r>
          </w:p>
        </w:tc>
        <w:tc>
          <w:tcPr>
            <w:tcW w:w="3884" w:type="dxa"/>
            <w:tcBorders>
              <w:top w:val="single" w:sz="4" w:space="0" w:color="auto"/>
              <w:bottom w:val="single" w:sz="12" w:space="0" w:color="auto"/>
            </w:tcBorders>
            <w:shd w:val="clear" w:color="auto" w:fill="auto"/>
            <w:vAlign w:val="bottom"/>
          </w:tcPr>
          <w:p w:rsidR="002728BC" w:rsidRPr="005E7CDB" w:rsidRDefault="002728BC" w:rsidP="001158AC">
            <w:pPr>
              <w:spacing w:before="80" w:after="80" w:line="200" w:lineRule="exact"/>
              <w:rPr>
                <w:i/>
                <w:sz w:val="16"/>
              </w:rPr>
            </w:pPr>
            <w:r w:rsidRPr="005E7CDB">
              <w:rPr>
                <w:i/>
                <w:sz w:val="16"/>
              </w:rPr>
              <w:t>Réalisations</w:t>
            </w:r>
            <w:r w:rsidR="00F5091F" w:rsidRPr="005E7CDB">
              <w:rPr>
                <w:i/>
                <w:sz w:val="16"/>
              </w:rPr>
              <w:t xml:space="preserve"> </w:t>
            </w:r>
            <w:r w:rsidRPr="005E7CDB">
              <w:rPr>
                <w:i/>
                <w:sz w:val="16"/>
              </w:rPr>
              <w:t>escomptées</w:t>
            </w:r>
            <w:r w:rsidR="00F5091F" w:rsidRPr="005E7CDB">
              <w:rPr>
                <w:i/>
                <w:sz w:val="16"/>
              </w:rPr>
              <w:t xml:space="preserve"> </w:t>
            </w:r>
            <w:r w:rsidRPr="005E7CDB">
              <w:rPr>
                <w:i/>
                <w:sz w:val="16"/>
              </w:rPr>
              <w:t>(RE)</w:t>
            </w:r>
            <w:r w:rsidR="00F5091F" w:rsidRPr="005E7CDB">
              <w:rPr>
                <w:i/>
                <w:sz w:val="16"/>
              </w:rPr>
              <w:t xml:space="preserve"> </w:t>
            </w:r>
            <w:r w:rsidRPr="005E7CDB">
              <w:rPr>
                <w:i/>
                <w:sz w:val="16"/>
              </w:rPr>
              <w:t>et</w:t>
            </w:r>
            <w:r w:rsidR="00F5091F" w:rsidRPr="005E7CDB">
              <w:rPr>
                <w:i/>
                <w:sz w:val="16"/>
              </w:rPr>
              <w:t xml:space="preserve"> </w:t>
            </w:r>
            <w:r w:rsidRPr="005E7CDB">
              <w:rPr>
                <w:i/>
                <w:sz w:val="16"/>
              </w:rPr>
              <w:t>indicateurs</w:t>
            </w:r>
            <w:r w:rsidR="00F5091F" w:rsidRPr="005E7CDB">
              <w:rPr>
                <w:i/>
                <w:sz w:val="16"/>
              </w:rPr>
              <w:t xml:space="preserve"> </w:t>
            </w:r>
            <w:r w:rsidRPr="005E7CDB">
              <w:rPr>
                <w:i/>
                <w:sz w:val="16"/>
              </w:rPr>
              <w:t>de</w:t>
            </w:r>
            <w:r w:rsidR="00F5091F" w:rsidRPr="005E7CDB">
              <w:rPr>
                <w:i/>
                <w:sz w:val="16"/>
              </w:rPr>
              <w:t xml:space="preserve"> </w:t>
            </w:r>
            <w:r w:rsidRPr="005E7CDB">
              <w:rPr>
                <w:i/>
                <w:sz w:val="16"/>
              </w:rPr>
              <w:t>succès</w:t>
            </w:r>
            <w:r w:rsidR="00F5091F" w:rsidRPr="005E7CDB">
              <w:rPr>
                <w:i/>
                <w:sz w:val="16"/>
              </w:rPr>
              <w:t xml:space="preserve"> </w:t>
            </w:r>
            <w:r w:rsidRPr="005E7CDB">
              <w:rPr>
                <w:i/>
                <w:sz w:val="16"/>
              </w:rPr>
              <w:t>(IS)</w:t>
            </w:r>
            <w:r w:rsidR="00F5091F" w:rsidRPr="005E7CDB">
              <w:rPr>
                <w:i/>
                <w:sz w:val="16"/>
              </w:rPr>
              <w:t xml:space="preserve"> </w:t>
            </w:r>
            <w:r w:rsidRPr="005E7CDB">
              <w:rPr>
                <w:i/>
                <w:sz w:val="16"/>
              </w:rPr>
              <w:t>pour</w:t>
            </w:r>
            <w:r w:rsidR="00F5091F" w:rsidRPr="005E7CDB">
              <w:rPr>
                <w:i/>
                <w:sz w:val="16"/>
              </w:rPr>
              <w:t xml:space="preserve"> </w:t>
            </w:r>
            <w:r w:rsidRPr="005E7CDB">
              <w:rPr>
                <w:i/>
                <w:sz w:val="16"/>
              </w:rPr>
              <w:t>l’évaluation</w:t>
            </w:r>
            <w:r w:rsidR="00F5091F" w:rsidRPr="005E7CDB">
              <w:rPr>
                <w:i/>
                <w:sz w:val="16"/>
              </w:rPr>
              <w:t xml:space="preserve"> </w:t>
            </w:r>
            <w:r w:rsidRPr="005E7CDB">
              <w:rPr>
                <w:i/>
                <w:sz w:val="16"/>
              </w:rPr>
              <w:t>biennale</w:t>
            </w:r>
            <w:r w:rsidR="00F5091F" w:rsidRPr="005E7CDB">
              <w:rPr>
                <w:i/>
                <w:sz w:val="16"/>
              </w:rPr>
              <w:t xml:space="preserve"> </w:t>
            </w:r>
            <w:r w:rsidRPr="005E7CDB">
              <w:rPr>
                <w:i/>
                <w:sz w:val="16"/>
              </w:rPr>
              <w:t>2018-2019</w:t>
            </w:r>
          </w:p>
        </w:tc>
      </w:tr>
      <w:tr w:rsidR="00000992" w:rsidRPr="005E7CDB" w:rsidTr="00644254">
        <w:trPr>
          <w:cantSplit/>
          <w:trHeight w:hRule="exact" w:val="113"/>
          <w:tblHeader/>
        </w:trPr>
        <w:tc>
          <w:tcPr>
            <w:tcW w:w="2649" w:type="dxa"/>
            <w:tcBorders>
              <w:top w:val="single" w:sz="12" w:space="0" w:color="auto"/>
            </w:tcBorders>
            <w:shd w:val="clear" w:color="auto" w:fill="auto"/>
          </w:tcPr>
          <w:p w:rsidR="00000992" w:rsidRPr="005E7CDB" w:rsidRDefault="00000992" w:rsidP="00000992">
            <w:pPr>
              <w:spacing w:before="40" w:after="120"/>
              <w:ind w:right="113"/>
            </w:pPr>
          </w:p>
        </w:tc>
        <w:tc>
          <w:tcPr>
            <w:tcW w:w="3106" w:type="dxa"/>
            <w:tcBorders>
              <w:top w:val="single" w:sz="12" w:space="0" w:color="auto"/>
            </w:tcBorders>
            <w:shd w:val="clear" w:color="auto" w:fill="auto"/>
          </w:tcPr>
          <w:p w:rsidR="00000992" w:rsidRPr="005E7CDB" w:rsidRDefault="00000992" w:rsidP="00000992">
            <w:pPr>
              <w:spacing w:before="40" w:after="120"/>
              <w:ind w:right="113"/>
            </w:pPr>
          </w:p>
        </w:tc>
        <w:tc>
          <w:tcPr>
            <w:tcW w:w="3884" w:type="dxa"/>
            <w:tcBorders>
              <w:top w:val="single" w:sz="12" w:space="0" w:color="auto"/>
            </w:tcBorders>
            <w:shd w:val="clear" w:color="auto" w:fill="auto"/>
          </w:tcPr>
          <w:p w:rsidR="00000992" w:rsidRPr="005E7CDB" w:rsidRDefault="00000992" w:rsidP="001158AC">
            <w:pPr>
              <w:spacing w:before="40" w:after="120"/>
            </w:pPr>
          </w:p>
        </w:tc>
      </w:tr>
      <w:tr w:rsidR="00EF7734" w:rsidRPr="005E7CDB" w:rsidTr="00644254">
        <w:trPr>
          <w:cantSplit/>
        </w:trPr>
        <w:tc>
          <w:tcPr>
            <w:tcW w:w="2649" w:type="dxa"/>
            <w:vMerge w:val="restart"/>
            <w:shd w:val="clear" w:color="auto" w:fill="auto"/>
          </w:tcPr>
          <w:p w:rsidR="00EF7734" w:rsidRPr="005E7CDB" w:rsidRDefault="00EF7734" w:rsidP="00644254">
            <w:pPr>
              <w:tabs>
                <w:tab w:val="left" w:pos="284"/>
              </w:tabs>
              <w:spacing w:before="40" w:after="120"/>
              <w:ind w:right="113"/>
            </w:pPr>
            <w:r w:rsidRPr="005E7CDB">
              <w:t>a)</w:t>
            </w:r>
            <w:r w:rsidRPr="005E7CDB">
              <w:tab/>
              <w:t>Renforcement du cadre juridique et réglementaire concernant les transports terrestres internationaux (routiers, ferroviaires, fluviaux et intermodaux), les infrastructures, la facilitation du passage des frontières, le transport des marchandises dangereuses, la construction automobile et d’autres services liés aux transports</w:t>
            </w:r>
          </w:p>
        </w:tc>
        <w:tc>
          <w:tcPr>
            <w:tcW w:w="3106" w:type="dxa"/>
            <w:shd w:val="clear" w:color="auto" w:fill="auto"/>
          </w:tcPr>
          <w:p w:rsidR="00EF7734" w:rsidRPr="005E7CDB" w:rsidRDefault="00EF7734" w:rsidP="00644254">
            <w:pPr>
              <w:spacing w:before="40" w:after="120"/>
              <w:ind w:left="284" w:right="113" w:hanging="284"/>
            </w:pPr>
            <w:r w:rsidRPr="005E7CDB">
              <w:t>i)</w:t>
            </w:r>
            <w:r w:rsidRPr="005E7CDB">
              <w:tab/>
              <w:t>Augmentation du nombre d’instruments juridiques des Nations Unies relatifs aux transports administrés par la CEE qui sont en vigueur</w:t>
            </w:r>
          </w:p>
        </w:tc>
        <w:tc>
          <w:tcPr>
            <w:tcW w:w="3884" w:type="dxa"/>
            <w:vMerge w:val="restart"/>
            <w:shd w:val="clear" w:color="auto" w:fill="auto"/>
          </w:tcPr>
          <w:p w:rsidR="00EF7734" w:rsidRPr="005E7CDB" w:rsidRDefault="00EF7734" w:rsidP="001158AC">
            <w:pPr>
              <w:spacing w:before="40" w:after="120"/>
            </w:pPr>
          </w:p>
        </w:tc>
      </w:tr>
      <w:tr w:rsidR="00EF7734" w:rsidRPr="005E7CDB" w:rsidTr="00644254">
        <w:trPr>
          <w:cantSplit/>
        </w:trPr>
        <w:tc>
          <w:tcPr>
            <w:tcW w:w="2649" w:type="dxa"/>
            <w:vMerge/>
            <w:shd w:val="clear" w:color="auto" w:fill="auto"/>
          </w:tcPr>
          <w:p w:rsidR="00EF7734" w:rsidRPr="005E7CDB" w:rsidRDefault="00EF7734" w:rsidP="00000992">
            <w:pPr>
              <w:spacing w:before="40" w:after="120"/>
              <w:ind w:right="113"/>
            </w:pPr>
          </w:p>
        </w:tc>
        <w:tc>
          <w:tcPr>
            <w:tcW w:w="3106" w:type="dxa"/>
            <w:shd w:val="clear" w:color="auto" w:fill="auto"/>
          </w:tcPr>
          <w:p w:rsidR="00EF7734" w:rsidRPr="005E7CDB" w:rsidRDefault="00EF7734" w:rsidP="00644254">
            <w:pPr>
              <w:spacing w:before="40" w:after="120"/>
              <w:ind w:left="284" w:right="113" w:hanging="284"/>
            </w:pPr>
            <w:r w:rsidRPr="005E7CDB">
              <w:t>ii)</w:t>
            </w:r>
            <w:r w:rsidRPr="005E7CDB">
              <w:tab/>
              <w:t>Nombre de nouveaux règlements concernant les véhicules et d’amendements aux dispositions existantes adoptés</w:t>
            </w:r>
          </w:p>
        </w:tc>
        <w:tc>
          <w:tcPr>
            <w:tcW w:w="3884" w:type="dxa"/>
            <w:vMerge/>
            <w:shd w:val="clear" w:color="auto" w:fill="auto"/>
          </w:tcPr>
          <w:p w:rsidR="00EF7734" w:rsidRPr="005E7CDB" w:rsidRDefault="00EF7734" w:rsidP="001158AC">
            <w:pPr>
              <w:spacing w:before="40" w:after="120"/>
            </w:pPr>
          </w:p>
        </w:tc>
      </w:tr>
      <w:tr w:rsidR="00EF7734" w:rsidRPr="005E7CDB" w:rsidTr="00644254">
        <w:trPr>
          <w:cantSplit/>
        </w:trPr>
        <w:tc>
          <w:tcPr>
            <w:tcW w:w="2649" w:type="dxa"/>
            <w:vMerge/>
            <w:shd w:val="clear" w:color="auto" w:fill="auto"/>
          </w:tcPr>
          <w:p w:rsidR="00EF7734" w:rsidRPr="005E7CDB" w:rsidRDefault="00EF7734" w:rsidP="00000992">
            <w:pPr>
              <w:spacing w:before="40" w:after="120"/>
              <w:ind w:right="113"/>
            </w:pPr>
          </w:p>
        </w:tc>
        <w:tc>
          <w:tcPr>
            <w:tcW w:w="3106" w:type="dxa"/>
            <w:shd w:val="clear" w:color="auto" w:fill="auto"/>
          </w:tcPr>
          <w:p w:rsidR="00EF7734" w:rsidRPr="005E7CDB" w:rsidRDefault="00EF7734" w:rsidP="00644254">
            <w:pPr>
              <w:spacing w:before="40" w:after="120"/>
              <w:ind w:left="284" w:right="113" w:hanging="284"/>
            </w:pPr>
            <w:r w:rsidRPr="005E7CDB">
              <w:t>iii)</w:t>
            </w:r>
            <w:r w:rsidRPr="005E7CDB">
              <w:tab/>
              <w:t>Nombre d’instruments juridiques internationaux mis en conformité avec la révision la plus récente des Recommandations des Nations Unies relatives au transport des marchandises dangereuses</w:t>
            </w:r>
          </w:p>
        </w:tc>
        <w:tc>
          <w:tcPr>
            <w:tcW w:w="3884" w:type="dxa"/>
            <w:shd w:val="clear" w:color="auto" w:fill="auto"/>
          </w:tcPr>
          <w:p w:rsidR="00EF7734" w:rsidRPr="005E7CDB" w:rsidRDefault="00EF7734" w:rsidP="007738DB">
            <w:pPr>
              <w:spacing w:before="40" w:after="120"/>
            </w:pPr>
            <w:r w:rsidRPr="005E7CDB">
              <w:t>RE 9.a. Ado</w:t>
            </w:r>
            <w:r w:rsidR="007738DB">
              <w:t>ption d’amendements à l’ADR</w:t>
            </w:r>
            <w:r w:rsidRPr="005E7CDB">
              <w:t xml:space="preserve"> et, par le biais d’activités communes entreprises avec l’Organisation intergouvernementale pour les transports internationaux ferroviaires (OTIF) et la Commission centrale pour la navigation du Rhin (CCNR), d’amendements au RID et à l’ADN respectivement, afin de conserver le niveau nécessaire de sûreté, de sécurité et de protection de l’environnement dans un dispositif réglementaire uniforme, harmonisé et cohérent applicable au transport des marchandises dangereuses, compte tenu des Recommandations de l’ONU relatives au transport des marchandises dangereuses ; mise en application effective par la voie de la législation internationale et nationale.</w:t>
            </w:r>
          </w:p>
        </w:tc>
      </w:tr>
      <w:tr w:rsidR="002728BC" w:rsidRPr="005E7CDB" w:rsidTr="00644254">
        <w:trPr>
          <w:cantSplit/>
        </w:trPr>
        <w:tc>
          <w:tcPr>
            <w:tcW w:w="2649" w:type="dxa"/>
            <w:shd w:val="clear" w:color="auto" w:fill="auto"/>
          </w:tcPr>
          <w:p w:rsidR="002728BC" w:rsidRPr="005E7CDB" w:rsidRDefault="002728BC" w:rsidP="00000992">
            <w:pPr>
              <w:spacing w:before="40" w:after="120"/>
              <w:ind w:right="113"/>
            </w:pPr>
          </w:p>
        </w:tc>
        <w:tc>
          <w:tcPr>
            <w:tcW w:w="3106" w:type="dxa"/>
            <w:shd w:val="clear" w:color="auto" w:fill="auto"/>
          </w:tcPr>
          <w:p w:rsidR="002728BC" w:rsidRPr="005E7CDB" w:rsidRDefault="002728BC" w:rsidP="00000992">
            <w:pPr>
              <w:spacing w:before="40" w:after="120"/>
              <w:ind w:right="113"/>
            </w:pPr>
          </w:p>
        </w:tc>
        <w:tc>
          <w:tcPr>
            <w:tcW w:w="3884" w:type="dxa"/>
            <w:shd w:val="clear" w:color="auto" w:fill="auto"/>
          </w:tcPr>
          <w:p w:rsidR="002728BC" w:rsidRPr="00FA76C4" w:rsidRDefault="002728BC" w:rsidP="00E76616">
            <w:pPr>
              <w:spacing w:before="40" w:after="120"/>
              <w:rPr>
                <w:spacing w:val="-2"/>
              </w:rPr>
            </w:pPr>
            <w:r w:rsidRPr="00FA76C4">
              <w:rPr>
                <w:spacing w:val="-2"/>
              </w:rPr>
              <w:t>IS</w:t>
            </w:r>
            <w:r w:rsidR="00F5091F" w:rsidRPr="00FA76C4">
              <w:rPr>
                <w:spacing w:val="-2"/>
              </w:rPr>
              <w:t xml:space="preserve"> </w:t>
            </w:r>
            <w:r w:rsidRPr="00FA76C4">
              <w:rPr>
                <w:spacing w:val="-2"/>
              </w:rPr>
              <w:t>9.a.</w:t>
            </w:r>
            <w:r w:rsidR="00F5091F" w:rsidRPr="00FA76C4">
              <w:rPr>
                <w:spacing w:val="-2"/>
              </w:rPr>
              <w:t xml:space="preserve"> </w:t>
            </w:r>
            <w:r w:rsidRPr="00FA76C4">
              <w:rPr>
                <w:spacing w:val="-2"/>
              </w:rPr>
              <w:t>a)</w:t>
            </w:r>
            <w:r w:rsidR="00F5091F" w:rsidRPr="00FA76C4">
              <w:rPr>
                <w:spacing w:val="-2"/>
              </w:rPr>
              <w:t xml:space="preserve"> </w:t>
            </w:r>
            <w:r w:rsidRPr="00FA76C4">
              <w:rPr>
                <w:spacing w:val="-2"/>
              </w:rPr>
              <w:t>Amendements</w:t>
            </w:r>
            <w:r w:rsidR="00F5091F" w:rsidRPr="00FA76C4">
              <w:rPr>
                <w:spacing w:val="-2"/>
              </w:rPr>
              <w:t xml:space="preserve"> </w:t>
            </w:r>
            <w:r w:rsidRPr="00FA76C4">
              <w:rPr>
                <w:spacing w:val="-2"/>
              </w:rPr>
              <w:t>à</w:t>
            </w:r>
            <w:r w:rsidR="00F5091F" w:rsidRPr="00FA76C4">
              <w:rPr>
                <w:spacing w:val="-2"/>
              </w:rPr>
              <w:t xml:space="preserve"> </w:t>
            </w:r>
            <w:r w:rsidRPr="00FA76C4">
              <w:rPr>
                <w:spacing w:val="-2"/>
              </w:rPr>
              <w:t>l’Accord</w:t>
            </w:r>
            <w:r w:rsidR="00F5091F" w:rsidRPr="00FA76C4">
              <w:rPr>
                <w:spacing w:val="-2"/>
              </w:rPr>
              <w:t xml:space="preserve"> </w:t>
            </w:r>
            <w:r w:rsidRPr="00FA76C4">
              <w:rPr>
                <w:spacing w:val="-2"/>
              </w:rPr>
              <w:t>ADR,</w:t>
            </w:r>
            <w:r w:rsidR="00F5091F" w:rsidRPr="00FA76C4">
              <w:rPr>
                <w:spacing w:val="-2"/>
              </w:rPr>
              <w:t xml:space="preserve"> </w:t>
            </w:r>
            <w:r w:rsidRPr="00FA76C4">
              <w:rPr>
                <w:spacing w:val="-2"/>
              </w:rPr>
              <w:t>au</w:t>
            </w:r>
            <w:r w:rsidR="00F5091F" w:rsidRPr="00FA76C4">
              <w:rPr>
                <w:spacing w:val="-2"/>
              </w:rPr>
              <w:t xml:space="preserve"> </w:t>
            </w:r>
            <w:r w:rsidRPr="00FA76C4">
              <w:rPr>
                <w:spacing w:val="-2"/>
              </w:rPr>
              <w:t>Règlement</w:t>
            </w:r>
            <w:r w:rsidR="00F5091F" w:rsidRPr="00FA76C4">
              <w:rPr>
                <w:spacing w:val="-2"/>
              </w:rPr>
              <w:t xml:space="preserve"> </w:t>
            </w:r>
            <w:r w:rsidRPr="00FA76C4">
              <w:rPr>
                <w:spacing w:val="-2"/>
              </w:rPr>
              <w:t>RID</w:t>
            </w:r>
            <w:r w:rsidR="00F5091F" w:rsidRPr="00FA76C4">
              <w:rPr>
                <w:spacing w:val="-2"/>
              </w:rPr>
              <w:t xml:space="preserve"> </w:t>
            </w:r>
            <w:r w:rsidRPr="00FA76C4">
              <w:rPr>
                <w:spacing w:val="-2"/>
              </w:rPr>
              <w:t>et</w:t>
            </w:r>
            <w:r w:rsidR="00F5091F" w:rsidRPr="00FA76C4">
              <w:rPr>
                <w:spacing w:val="-2"/>
              </w:rPr>
              <w:t xml:space="preserve"> </w:t>
            </w:r>
            <w:r w:rsidRPr="00FA76C4">
              <w:rPr>
                <w:spacing w:val="-2"/>
              </w:rPr>
              <w:t>à</w:t>
            </w:r>
            <w:r w:rsidR="00F5091F" w:rsidRPr="00FA76C4">
              <w:rPr>
                <w:spacing w:val="-2"/>
              </w:rPr>
              <w:t xml:space="preserve"> </w:t>
            </w:r>
            <w:r w:rsidRPr="00FA76C4">
              <w:rPr>
                <w:spacing w:val="-2"/>
              </w:rPr>
              <w:t>l’Accord</w:t>
            </w:r>
            <w:r w:rsidR="00F5091F" w:rsidRPr="00FA76C4">
              <w:rPr>
                <w:spacing w:val="-2"/>
              </w:rPr>
              <w:t xml:space="preserve"> </w:t>
            </w:r>
            <w:r w:rsidRPr="00FA76C4">
              <w:rPr>
                <w:spacing w:val="-2"/>
              </w:rPr>
              <w:t>ADN</w:t>
            </w:r>
            <w:r w:rsidR="00F5091F" w:rsidRPr="00FA76C4">
              <w:rPr>
                <w:spacing w:val="-2"/>
              </w:rPr>
              <w:t xml:space="preserve"> </w:t>
            </w:r>
            <w:r w:rsidRPr="00FA76C4">
              <w:rPr>
                <w:spacing w:val="-2"/>
              </w:rPr>
              <w:t>adoptés</w:t>
            </w:r>
            <w:r w:rsidR="00F5091F" w:rsidRPr="00FA76C4">
              <w:rPr>
                <w:spacing w:val="-2"/>
              </w:rPr>
              <w:t xml:space="preserve"> </w:t>
            </w:r>
            <w:r w:rsidRPr="00FA76C4">
              <w:rPr>
                <w:spacing w:val="-2"/>
              </w:rPr>
              <w:t>en</w:t>
            </w:r>
            <w:r w:rsidR="00F5091F" w:rsidRPr="00FA76C4">
              <w:rPr>
                <w:spacing w:val="-2"/>
              </w:rPr>
              <w:t xml:space="preserve"> </w:t>
            </w:r>
            <w:r w:rsidRPr="00FA76C4">
              <w:rPr>
                <w:spacing w:val="-2"/>
              </w:rPr>
              <w:t>201</w:t>
            </w:r>
            <w:r w:rsidR="00E76616" w:rsidRPr="00FA76C4">
              <w:rPr>
                <w:spacing w:val="-2"/>
              </w:rPr>
              <w:t>7</w:t>
            </w:r>
            <w:r w:rsidR="00F5091F" w:rsidRPr="00FA76C4">
              <w:rPr>
                <w:spacing w:val="-2"/>
              </w:rPr>
              <w:t xml:space="preserve"> </w:t>
            </w:r>
            <w:r w:rsidRPr="00FA76C4">
              <w:rPr>
                <w:spacing w:val="-2"/>
              </w:rPr>
              <w:t>et</w:t>
            </w:r>
            <w:r w:rsidR="00F5091F" w:rsidRPr="00FA76C4">
              <w:rPr>
                <w:spacing w:val="-2"/>
              </w:rPr>
              <w:t xml:space="preserve"> </w:t>
            </w:r>
            <w:r w:rsidRPr="00FA76C4">
              <w:rPr>
                <w:spacing w:val="-2"/>
              </w:rPr>
              <w:t>201</w:t>
            </w:r>
            <w:r w:rsidR="00E76616" w:rsidRPr="00FA76C4">
              <w:rPr>
                <w:spacing w:val="-2"/>
              </w:rPr>
              <w:t>8</w:t>
            </w:r>
            <w:r w:rsidR="00F5091F" w:rsidRPr="00FA76C4">
              <w:rPr>
                <w:spacing w:val="-2"/>
              </w:rPr>
              <w:t xml:space="preserve"> </w:t>
            </w:r>
            <w:r w:rsidRPr="00FA76C4">
              <w:rPr>
                <w:spacing w:val="-2"/>
              </w:rPr>
              <w:t>et</w:t>
            </w:r>
            <w:r w:rsidR="00F5091F" w:rsidRPr="00FA76C4">
              <w:rPr>
                <w:spacing w:val="-2"/>
              </w:rPr>
              <w:t xml:space="preserve"> </w:t>
            </w:r>
            <w:r w:rsidRPr="00FA76C4">
              <w:rPr>
                <w:spacing w:val="-2"/>
              </w:rPr>
              <w:t>devant</w:t>
            </w:r>
            <w:r w:rsidR="00F5091F" w:rsidRPr="00FA76C4">
              <w:rPr>
                <w:spacing w:val="-2"/>
              </w:rPr>
              <w:t xml:space="preserve"> </w:t>
            </w:r>
            <w:r w:rsidRPr="00FA76C4">
              <w:rPr>
                <w:spacing w:val="-2"/>
              </w:rPr>
              <w:t>entrer</w:t>
            </w:r>
            <w:r w:rsidR="00F5091F" w:rsidRPr="00FA76C4">
              <w:rPr>
                <w:spacing w:val="-2"/>
              </w:rPr>
              <w:t xml:space="preserve"> </w:t>
            </w:r>
            <w:r w:rsidRPr="00FA76C4">
              <w:rPr>
                <w:spacing w:val="-2"/>
              </w:rPr>
              <w:t>en</w:t>
            </w:r>
            <w:r w:rsidR="00F5091F" w:rsidRPr="00FA76C4">
              <w:rPr>
                <w:spacing w:val="-2"/>
              </w:rPr>
              <w:t xml:space="preserve"> </w:t>
            </w:r>
            <w:r w:rsidRPr="00FA76C4">
              <w:rPr>
                <w:spacing w:val="-2"/>
              </w:rPr>
              <w:t>vigueur</w:t>
            </w:r>
            <w:r w:rsidR="00F5091F" w:rsidRPr="00FA76C4">
              <w:rPr>
                <w:spacing w:val="-2"/>
              </w:rPr>
              <w:t xml:space="preserve"> </w:t>
            </w:r>
            <w:r w:rsidRPr="00FA76C4">
              <w:rPr>
                <w:spacing w:val="-2"/>
              </w:rPr>
              <w:t>le</w:t>
            </w:r>
            <w:r w:rsidR="00F5091F" w:rsidRPr="00FA76C4">
              <w:rPr>
                <w:spacing w:val="-2"/>
              </w:rPr>
              <w:t xml:space="preserve"> </w:t>
            </w:r>
            <w:r w:rsidRPr="00FA76C4">
              <w:rPr>
                <w:spacing w:val="-2"/>
              </w:rPr>
              <w:t>1</w:t>
            </w:r>
            <w:r w:rsidRPr="00FA76C4">
              <w:rPr>
                <w:spacing w:val="-2"/>
                <w:vertAlign w:val="superscript"/>
              </w:rPr>
              <w:t>er</w:t>
            </w:r>
            <w:r w:rsidR="00E76616" w:rsidRPr="00FA76C4">
              <w:rPr>
                <w:spacing w:val="-2"/>
              </w:rPr>
              <w:t> </w:t>
            </w:r>
            <w:r w:rsidRPr="00FA76C4">
              <w:rPr>
                <w:spacing w:val="-2"/>
              </w:rPr>
              <w:t>janvier</w:t>
            </w:r>
            <w:r w:rsidR="00F5091F" w:rsidRPr="00FA76C4">
              <w:rPr>
                <w:spacing w:val="-2"/>
              </w:rPr>
              <w:t xml:space="preserve"> </w:t>
            </w:r>
            <w:r w:rsidRPr="00FA76C4">
              <w:rPr>
                <w:spacing w:val="-2"/>
              </w:rPr>
              <w:t>201</w:t>
            </w:r>
            <w:r w:rsidR="00E76616" w:rsidRPr="00FA76C4">
              <w:rPr>
                <w:spacing w:val="-2"/>
              </w:rPr>
              <w:t>9</w:t>
            </w:r>
            <w:r w:rsidR="00F5091F" w:rsidRPr="00FA76C4">
              <w:rPr>
                <w:spacing w:val="-2"/>
              </w:rPr>
              <w:t xml:space="preserve"> </w:t>
            </w:r>
            <w:r w:rsidRPr="00FA76C4">
              <w:rPr>
                <w:spacing w:val="-2"/>
              </w:rPr>
              <w:t>pour</w:t>
            </w:r>
            <w:r w:rsidR="00F5091F" w:rsidRPr="00FA76C4">
              <w:rPr>
                <w:spacing w:val="-2"/>
              </w:rPr>
              <w:t xml:space="preserve"> </w:t>
            </w:r>
            <w:r w:rsidRPr="00FA76C4">
              <w:rPr>
                <w:spacing w:val="-2"/>
              </w:rPr>
              <w:t>le</w:t>
            </w:r>
            <w:r w:rsidR="00F5091F" w:rsidRPr="00FA76C4">
              <w:rPr>
                <w:spacing w:val="-2"/>
              </w:rPr>
              <w:t xml:space="preserve"> </w:t>
            </w:r>
            <w:r w:rsidRPr="00FA76C4">
              <w:rPr>
                <w:spacing w:val="-2"/>
              </w:rPr>
              <w:t>transport</w:t>
            </w:r>
            <w:r w:rsidR="00F5091F" w:rsidRPr="00FA76C4">
              <w:rPr>
                <w:spacing w:val="-2"/>
              </w:rPr>
              <w:t xml:space="preserve"> </w:t>
            </w:r>
            <w:r w:rsidRPr="00FA76C4">
              <w:rPr>
                <w:spacing w:val="-2"/>
              </w:rPr>
              <w:t>international</w:t>
            </w:r>
            <w:r w:rsidR="00F5091F" w:rsidRPr="00FA76C4">
              <w:rPr>
                <w:spacing w:val="-2"/>
              </w:rPr>
              <w:t xml:space="preserve"> </w:t>
            </w:r>
            <w:r w:rsidRPr="00FA76C4">
              <w:rPr>
                <w:spacing w:val="-2"/>
              </w:rPr>
              <w:t>et</w:t>
            </w:r>
            <w:r w:rsidR="00F5091F" w:rsidRPr="00FA76C4">
              <w:rPr>
                <w:spacing w:val="-2"/>
              </w:rPr>
              <w:t xml:space="preserve"> </w:t>
            </w:r>
            <w:r w:rsidRPr="00FA76C4">
              <w:rPr>
                <w:spacing w:val="-2"/>
              </w:rPr>
              <w:t>applicables</w:t>
            </w:r>
            <w:r w:rsidR="00F5091F" w:rsidRPr="00FA76C4">
              <w:rPr>
                <w:spacing w:val="-2"/>
              </w:rPr>
              <w:t xml:space="preserve"> </w:t>
            </w:r>
            <w:r w:rsidRPr="00FA76C4">
              <w:rPr>
                <w:spacing w:val="-2"/>
              </w:rPr>
              <w:t>à</w:t>
            </w:r>
            <w:r w:rsidR="00F5091F" w:rsidRPr="00FA76C4">
              <w:rPr>
                <w:spacing w:val="-2"/>
              </w:rPr>
              <w:t xml:space="preserve"> </w:t>
            </w:r>
            <w:r w:rsidRPr="00FA76C4">
              <w:rPr>
                <w:spacing w:val="-2"/>
              </w:rPr>
              <w:t>compter</w:t>
            </w:r>
            <w:r w:rsidR="00F5091F" w:rsidRPr="00FA76C4">
              <w:rPr>
                <w:spacing w:val="-2"/>
              </w:rPr>
              <w:t xml:space="preserve"> </w:t>
            </w:r>
            <w:r w:rsidRPr="00FA76C4">
              <w:rPr>
                <w:spacing w:val="-2"/>
              </w:rPr>
              <w:t>du</w:t>
            </w:r>
            <w:r w:rsidR="00F5091F" w:rsidRPr="00FA76C4">
              <w:rPr>
                <w:spacing w:val="-2"/>
              </w:rPr>
              <w:t xml:space="preserve"> </w:t>
            </w:r>
            <w:r w:rsidRPr="00FA76C4">
              <w:rPr>
                <w:spacing w:val="-2"/>
              </w:rPr>
              <w:t>1</w:t>
            </w:r>
            <w:r w:rsidRPr="00FA76C4">
              <w:rPr>
                <w:spacing w:val="-2"/>
                <w:vertAlign w:val="superscript"/>
              </w:rPr>
              <w:t>er</w:t>
            </w:r>
            <w:r w:rsidR="00E76616" w:rsidRPr="00FA76C4">
              <w:rPr>
                <w:spacing w:val="-2"/>
              </w:rPr>
              <w:t> </w:t>
            </w:r>
            <w:r w:rsidRPr="00FA76C4">
              <w:rPr>
                <w:spacing w:val="-2"/>
              </w:rPr>
              <w:t>juillet</w:t>
            </w:r>
            <w:r w:rsidR="00F5091F" w:rsidRPr="00FA76C4">
              <w:rPr>
                <w:spacing w:val="-2"/>
              </w:rPr>
              <w:t xml:space="preserve"> </w:t>
            </w:r>
            <w:r w:rsidR="00E76616" w:rsidRPr="00FA76C4">
              <w:rPr>
                <w:spacing w:val="-2"/>
              </w:rPr>
              <w:t>2019</w:t>
            </w:r>
            <w:r w:rsidR="00F5091F" w:rsidRPr="00FA76C4">
              <w:rPr>
                <w:spacing w:val="-2"/>
              </w:rPr>
              <w:t xml:space="preserve"> </w:t>
            </w:r>
            <w:r w:rsidRPr="00FA76C4">
              <w:rPr>
                <w:spacing w:val="-2"/>
              </w:rPr>
              <w:t>pour</w:t>
            </w:r>
            <w:r w:rsidR="00F5091F" w:rsidRPr="00FA76C4">
              <w:rPr>
                <w:spacing w:val="-2"/>
              </w:rPr>
              <w:t xml:space="preserve"> </w:t>
            </w:r>
            <w:r w:rsidRPr="00FA76C4">
              <w:rPr>
                <w:spacing w:val="-2"/>
              </w:rPr>
              <w:t>la</w:t>
            </w:r>
            <w:r w:rsidR="00F5091F" w:rsidRPr="00FA76C4">
              <w:rPr>
                <w:spacing w:val="-2"/>
              </w:rPr>
              <w:t xml:space="preserve"> </w:t>
            </w:r>
            <w:r w:rsidRPr="00FA76C4">
              <w:rPr>
                <w:spacing w:val="-2"/>
              </w:rPr>
              <w:t>circulation</w:t>
            </w:r>
            <w:r w:rsidR="00F5091F" w:rsidRPr="00FA76C4">
              <w:rPr>
                <w:spacing w:val="-2"/>
              </w:rPr>
              <w:t xml:space="preserve"> </w:t>
            </w:r>
            <w:r w:rsidRPr="00FA76C4">
              <w:rPr>
                <w:spacing w:val="-2"/>
              </w:rPr>
              <w:t>intérieure</w:t>
            </w:r>
            <w:r w:rsidR="00F5091F" w:rsidRPr="00FA76C4">
              <w:rPr>
                <w:spacing w:val="-2"/>
              </w:rPr>
              <w:t xml:space="preserve"> </w:t>
            </w:r>
            <w:r w:rsidRPr="00FA76C4">
              <w:rPr>
                <w:spacing w:val="-2"/>
              </w:rPr>
              <w:t>dans</w:t>
            </w:r>
            <w:r w:rsidR="00F5091F" w:rsidRPr="00FA76C4">
              <w:rPr>
                <w:spacing w:val="-2"/>
              </w:rPr>
              <w:t xml:space="preserve"> </w:t>
            </w:r>
            <w:r w:rsidRPr="00FA76C4">
              <w:rPr>
                <w:spacing w:val="-2"/>
              </w:rPr>
              <w:t>tous</w:t>
            </w:r>
            <w:r w:rsidR="00F5091F" w:rsidRPr="00FA76C4">
              <w:rPr>
                <w:spacing w:val="-2"/>
              </w:rPr>
              <w:t xml:space="preserve"> </w:t>
            </w:r>
            <w:r w:rsidRPr="00FA76C4">
              <w:rPr>
                <w:spacing w:val="-2"/>
              </w:rPr>
              <w:t>les</w:t>
            </w:r>
            <w:r w:rsidR="00F5091F" w:rsidRPr="00FA76C4">
              <w:rPr>
                <w:spacing w:val="-2"/>
              </w:rPr>
              <w:t xml:space="preserve"> </w:t>
            </w:r>
            <w:r w:rsidRPr="00FA76C4">
              <w:rPr>
                <w:spacing w:val="-2"/>
              </w:rPr>
              <w:t>pays</w:t>
            </w:r>
            <w:r w:rsidR="00F5091F" w:rsidRPr="00FA76C4">
              <w:rPr>
                <w:spacing w:val="-2"/>
              </w:rPr>
              <w:t xml:space="preserve"> </w:t>
            </w:r>
            <w:r w:rsidRPr="00FA76C4">
              <w:rPr>
                <w:spacing w:val="-2"/>
              </w:rPr>
              <w:t>membres</w:t>
            </w:r>
            <w:r w:rsidR="00F5091F" w:rsidRPr="00FA76C4">
              <w:rPr>
                <w:spacing w:val="-2"/>
              </w:rPr>
              <w:t xml:space="preserve"> </w:t>
            </w:r>
            <w:r w:rsidRPr="00FA76C4">
              <w:rPr>
                <w:spacing w:val="-2"/>
              </w:rPr>
              <w:t>de</w:t>
            </w:r>
            <w:r w:rsidR="00F5091F" w:rsidRPr="00FA76C4">
              <w:rPr>
                <w:spacing w:val="-2"/>
              </w:rPr>
              <w:t xml:space="preserve"> </w:t>
            </w:r>
            <w:r w:rsidRPr="00FA76C4">
              <w:rPr>
                <w:spacing w:val="-2"/>
              </w:rPr>
              <w:t>l’Union</w:t>
            </w:r>
            <w:r w:rsidR="00F5091F" w:rsidRPr="00FA76C4">
              <w:rPr>
                <w:spacing w:val="-2"/>
              </w:rPr>
              <w:t xml:space="preserve"> </w:t>
            </w:r>
            <w:r w:rsidRPr="00FA76C4">
              <w:rPr>
                <w:spacing w:val="-2"/>
              </w:rPr>
              <w:t>européenne</w:t>
            </w:r>
            <w:r w:rsidR="00F5091F" w:rsidRPr="00FA76C4">
              <w:rPr>
                <w:spacing w:val="-2"/>
              </w:rPr>
              <w:t xml:space="preserve"> </w:t>
            </w:r>
            <w:r w:rsidRPr="00FA76C4">
              <w:rPr>
                <w:spacing w:val="-2"/>
              </w:rPr>
              <w:t>et</w:t>
            </w:r>
            <w:r w:rsidR="00F5091F" w:rsidRPr="00FA76C4">
              <w:rPr>
                <w:spacing w:val="-2"/>
              </w:rPr>
              <w:t xml:space="preserve"> </w:t>
            </w:r>
            <w:r w:rsidRPr="00FA76C4">
              <w:rPr>
                <w:spacing w:val="-2"/>
              </w:rPr>
              <w:t>de</w:t>
            </w:r>
            <w:r w:rsidR="00F5091F" w:rsidRPr="00FA76C4">
              <w:rPr>
                <w:spacing w:val="-2"/>
              </w:rPr>
              <w:t xml:space="preserve"> </w:t>
            </w:r>
            <w:r w:rsidRPr="00FA76C4">
              <w:rPr>
                <w:spacing w:val="-2"/>
              </w:rPr>
              <w:t>l’Espace</w:t>
            </w:r>
            <w:r w:rsidR="00F5091F" w:rsidRPr="00FA76C4">
              <w:rPr>
                <w:spacing w:val="-2"/>
              </w:rPr>
              <w:t xml:space="preserve"> </w:t>
            </w:r>
            <w:r w:rsidRPr="00FA76C4">
              <w:rPr>
                <w:spacing w:val="-2"/>
              </w:rPr>
              <w:t>économique</w:t>
            </w:r>
            <w:r w:rsidR="00F5091F" w:rsidRPr="00FA76C4">
              <w:rPr>
                <w:spacing w:val="-2"/>
              </w:rPr>
              <w:t xml:space="preserve"> </w:t>
            </w:r>
            <w:r w:rsidRPr="00FA76C4">
              <w:rPr>
                <w:spacing w:val="-2"/>
              </w:rPr>
              <w:t>européen</w:t>
            </w:r>
            <w:r w:rsidR="00F5091F" w:rsidRPr="00FA76C4">
              <w:rPr>
                <w:spacing w:val="-2"/>
              </w:rPr>
              <w:t xml:space="preserve"> </w:t>
            </w:r>
            <w:r w:rsidRPr="00FA76C4">
              <w:rPr>
                <w:spacing w:val="-2"/>
              </w:rPr>
              <w:t>(EEE),</w:t>
            </w:r>
            <w:r w:rsidR="00F5091F" w:rsidRPr="00FA76C4">
              <w:rPr>
                <w:spacing w:val="-2"/>
              </w:rPr>
              <w:t xml:space="preserve"> </w:t>
            </w:r>
            <w:r w:rsidRPr="00FA76C4">
              <w:rPr>
                <w:spacing w:val="-2"/>
              </w:rPr>
              <w:t>correspondant</w:t>
            </w:r>
            <w:r w:rsidR="00F5091F" w:rsidRPr="00FA76C4">
              <w:rPr>
                <w:spacing w:val="-2"/>
              </w:rPr>
              <w:t xml:space="preserve"> </w:t>
            </w:r>
            <w:r w:rsidRPr="00FA76C4">
              <w:rPr>
                <w:spacing w:val="-2"/>
              </w:rPr>
              <w:t>notamment</w:t>
            </w:r>
            <w:r w:rsidR="00F5091F" w:rsidRPr="00FA76C4">
              <w:rPr>
                <w:spacing w:val="-2"/>
              </w:rPr>
              <w:t xml:space="preserve"> </w:t>
            </w:r>
            <w:r w:rsidRPr="00FA76C4">
              <w:rPr>
                <w:spacing w:val="-2"/>
              </w:rPr>
              <w:t>à</w:t>
            </w:r>
            <w:r w:rsidR="00F5091F" w:rsidRPr="00FA76C4">
              <w:rPr>
                <w:spacing w:val="-2"/>
              </w:rPr>
              <w:t xml:space="preserve"> </w:t>
            </w:r>
            <w:r w:rsidRPr="00FA76C4">
              <w:rPr>
                <w:spacing w:val="-2"/>
              </w:rPr>
              <w:t>la</w:t>
            </w:r>
            <w:r w:rsidR="00F5091F" w:rsidRPr="00FA76C4">
              <w:rPr>
                <w:spacing w:val="-2"/>
              </w:rPr>
              <w:t xml:space="preserve"> </w:t>
            </w:r>
            <w:r w:rsidRPr="00FA76C4">
              <w:rPr>
                <w:spacing w:val="-2"/>
              </w:rPr>
              <w:t>vingtième</w:t>
            </w:r>
            <w:r w:rsidR="00F5091F" w:rsidRPr="00FA76C4">
              <w:rPr>
                <w:spacing w:val="-2"/>
              </w:rPr>
              <w:t xml:space="preserve"> </w:t>
            </w:r>
            <w:r w:rsidRPr="00FA76C4">
              <w:rPr>
                <w:spacing w:val="-2"/>
              </w:rPr>
              <w:t>édition</w:t>
            </w:r>
            <w:r w:rsidR="00F5091F" w:rsidRPr="00FA76C4">
              <w:rPr>
                <w:spacing w:val="-2"/>
              </w:rPr>
              <w:t xml:space="preserve"> </w:t>
            </w:r>
            <w:r w:rsidRPr="00FA76C4">
              <w:rPr>
                <w:spacing w:val="-2"/>
              </w:rPr>
              <w:t>révisée</w:t>
            </w:r>
            <w:r w:rsidR="00F5091F" w:rsidRPr="00FA76C4">
              <w:rPr>
                <w:spacing w:val="-2"/>
              </w:rPr>
              <w:t xml:space="preserve"> </w:t>
            </w:r>
            <w:r w:rsidRPr="00FA76C4">
              <w:rPr>
                <w:spacing w:val="-2"/>
              </w:rPr>
              <w:t>des</w:t>
            </w:r>
            <w:r w:rsidR="00F5091F" w:rsidRPr="00FA76C4">
              <w:rPr>
                <w:spacing w:val="-2"/>
              </w:rPr>
              <w:t xml:space="preserve"> </w:t>
            </w:r>
            <w:r w:rsidRPr="00FA76C4">
              <w:rPr>
                <w:spacing w:val="-2"/>
              </w:rPr>
              <w:t>Recommandations</w:t>
            </w:r>
            <w:r w:rsidR="00F5091F" w:rsidRPr="00FA76C4">
              <w:rPr>
                <w:spacing w:val="-2"/>
              </w:rPr>
              <w:t xml:space="preserve"> </w:t>
            </w:r>
            <w:r w:rsidRPr="00FA76C4">
              <w:rPr>
                <w:spacing w:val="-2"/>
              </w:rPr>
              <w:t>de</w:t>
            </w:r>
            <w:r w:rsidR="00F5091F" w:rsidRPr="00FA76C4">
              <w:rPr>
                <w:spacing w:val="-2"/>
              </w:rPr>
              <w:t xml:space="preserve"> </w:t>
            </w:r>
            <w:r w:rsidRPr="00FA76C4">
              <w:rPr>
                <w:spacing w:val="-2"/>
              </w:rPr>
              <w:t>l’Organisation</w:t>
            </w:r>
            <w:r w:rsidR="00F5091F" w:rsidRPr="00FA76C4">
              <w:rPr>
                <w:spacing w:val="-2"/>
              </w:rPr>
              <w:t xml:space="preserve"> </w:t>
            </w:r>
            <w:r w:rsidRPr="00FA76C4">
              <w:rPr>
                <w:spacing w:val="-2"/>
              </w:rPr>
              <w:t>des</w:t>
            </w:r>
            <w:r w:rsidR="00F5091F" w:rsidRPr="00FA76C4">
              <w:rPr>
                <w:spacing w:val="-2"/>
              </w:rPr>
              <w:t xml:space="preserve"> </w:t>
            </w:r>
            <w:r w:rsidRPr="00FA76C4">
              <w:rPr>
                <w:spacing w:val="-2"/>
              </w:rPr>
              <w:t>Nations</w:t>
            </w:r>
            <w:r w:rsidR="00F5091F" w:rsidRPr="00FA76C4">
              <w:rPr>
                <w:spacing w:val="-2"/>
              </w:rPr>
              <w:t xml:space="preserve"> </w:t>
            </w:r>
            <w:r w:rsidRPr="00FA76C4">
              <w:rPr>
                <w:spacing w:val="-2"/>
              </w:rPr>
              <w:t>Unies</w:t>
            </w:r>
            <w:r w:rsidR="00F5091F" w:rsidRPr="00FA76C4">
              <w:rPr>
                <w:spacing w:val="-2"/>
              </w:rPr>
              <w:t xml:space="preserve"> </w:t>
            </w:r>
            <w:r w:rsidRPr="00FA76C4">
              <w:rPr>
                <w:spacing w:val="-2"/>
              </w:rPr>
              <w:t>relatives</w:t>
            </w:r>
            <w:r w:rsidR="00F5091F" w:rsidRPr="00FA76C4">
              <w:rPr>
                <w:spacing w:val="-2"/>
              </w:rPr>
              <w:t xml:space="preserve"> </w:t>
            </w:r>
            <w:r w:rsidRPr="00FA76C4">
              <w:rPr>
                <w:spacing w:val="-2"/>
              </w:rPr>
              <w:t>au</w:t>
            </w:r>
            <w:r w:rsidR="00F5091F" w:rsidRPr="00FA76C4">
              <w:rPr>
                <w:spacing w:val="-2"/>
              </w:rPr>
              <w:t xml:space="preserve"> </w:t>
            </w:r>
            <w:r w:rsidRPr="00FA76C4">
              <w:rPr>
                <w:spacing w:val="-2"/>
              </w:rPr>
              <w:t>transport</w:t>
            </w:r>
            <w:r w:rsidR="00F5091F" w:rsidRPr="00FA76C4">
              <w:rPr>
                <w:spacing w:val="-2"/>
              </w:rPr>
              <w:t xml:space="preserve"> </w:t>
            </w:r>
            <w:r w:rsidRPr="00FA76C4">
              <w:rPr>
                <w:spacing w:val="-2"/>
              </w:rPr>
              <w:t>des</w:t>
            </w:r>
            <w:r w:rsidR="00F5091F" w:rsidRPr="00FA76C4">
              <w:rPr>
                <w:spacing w:val="-2"/>
              </w:rPr>
              <w:t xml:space="preserve"> </w:t>
            </w:r>
            <w:r w:rsidRPr="00FA76C4">
              <w:rPr>
                <w:spacing w:val="-2"/>
              </w:rPr>
              <w:t>marchandises</w:t>
            </w:r>
            <w:r w:rsidR="00F5091F" w:rsidRPr="00FA76C4">
              <w:rPr>
                <w:spacing w:val="-2"/>
              </w:rPr>
              <w:t xml:space="preserve"> </w:t>
            </w:r>
            <w:r w:rsidRPr="00FA76C4">
              <w:rPr>
                <w:spacing w:val="-2"/>
              </w:rPr>
              <w:t>dangereuses</w:t>
            </w:r>
            <w:r w:rsidR="00F5091F" w:rsidRPr="00FA76C4">
              <w:rPr>
                <w:spacing w:val="-2"/>
              </w:rPr>
              <w:t xml:space="preserve"> </w:t>
            </w:r>
            <w:r w:rsidRPr="00FA76C4">
              <w:rPr>
                <w:spacing w:val="-2"/>
              </w:rPr>
              <w:t>(Règlement</w:t>
            </w:r>
            <w:r w:rsidR="00F5091F" w:rsidRPr="00FA76C4">
              <w:rPr>
                <w:spacing w:val="-2"/>
              </w:rPr>
              <w:t xml:space="preserve"> </w:t>
            </w:r>
            <w:r w:rsidRPr="00FA76C4">
              <w:rPr>
                <w:spacing w:val="-2"/>
              </w:rPr>
              <w:t>type,</w:t>
            </w:r>
            <w:r w:rsidR="00F5091F" w:rsidRPr="00FA76C4">
              <w:rPr>
                <w:spacing w:val="-2"/>
              </w:rPr>
              <w:t xml:space="preserve"> </w:t>
            </w:r>
            <w:r w:rsidRPr="00FA76C4">
              <w:rPr>
                <w:spacing w:val="-2"/>
              </w:rPr>
              <w:t>2017)</w:t>
            </w:r>
          </w:p>
        </w:tc>
      </w:tr>
      <w:tr w:rsidR="002728BC" w:rsidRPr="005E7CDB" w:rsidTr="00644254">
        <w:trPr>
          <w:cantSplit/>
        </w:trPr>
        <w:tc>
          <w:tcPr>
            <w:tcW w:w="2649" w:type="dxa"/>
            <w:shd w:val="clear" w:color="auto" w:fill="auto"/>
          </w:tcPr>
          <w:p w:rsidR="002728BC" w:rsidRPr="005E7CDB" w:rsidRDefault="002728BC" w:rsidP="00000992">
            <w:pPr>
              <w:spacing w:before="40" w:after="120"/>
              <w:ind w:right="113"/>
            </w:pPr>
          </w:p>
        </w:tc>
        <w:tc>
          <w:tcPr>
            <w:tcW w:w="3106" w:type="dxa"/>
            <w:shd w:val="clear" w:color="auto" w:fill="auto"/>
          </w:tcPr>
          <w:p w:rsidR="002728BC" w:rsidRPr="005E7CDB" w:rsidRDefault="002728BC" w:rsidP="00000992">
            <w:pPr>
              <w:spacing w:before="40" w:after="120"/>
              <w:ind w:right="113"/>
            </w:pPr>
          </w:p>
        </w:tc>
        <w:tc>
          <w:tcPr>
            <w:tcW w:w="3884" w:type="dxa"/>
            <w:shd w:val="clear" w:color="auto" w:fill="auto"/>
          </w:tcPr>
          <w:p w:rsidR="002728BC" w:rsidRPr="005E7CDB" w:rsidRDefault="002728BC" w:rsidP="001158AC">
            <w:pPr>
              <w:spacing w:before="40" w:after="120"/>
            </w:pPr>
            <w:r w:rsidRPr="00FA76C4">
              <w:rPr>
                <w:i/>
              </w:rPr>
              <w:t>Mesure</w:t>
            </w:r>
            <w:r w:rsidR="00F5091F" w:rsidRPr="00FA76C4">
              <w:rPr>
                <w:i/>
              </w:rPr>
              <w:t xml:space="preserve"> </w:t>
            </w:r>
            <w:r w:rsidRPr="00FA76C4">
              <w:rPr>
                <w:i/>
              </w:rPr>
              <w:t>des</w:t>
            </w:r>
            <w:r w:rsidR="00F5091F" w:rsidRPr="00FA76C4">
              <w:rPr>
                <w:i/>
              </w:rPr>
              <w:t xml:space="preserve"> </w:t>
            </w:r>
            <w:r w:rsidRPr="00FA76C4">
              <w:rPr>
                <w:i/>
              </w:rPr>
              <w:t>résultats</w:t>
            </w:r>
            <w:r w:rsidR="00F5091F" w:rsidRPr="005E7CDB">
              <w:t xml:space="preserve"> : </w:t>
            </w:r>
            <w:r w:rsidR="00FA76C4">
              <w:br/>
            </w:r>
            <w:r w:rsidR="00FA76C4" w:rsidRPr="005E7CDB">
              <w:t xml:space="preserve">Référence </w:t>
            </w:r>
            <w:r w:rsidRPr="005E7CDB">
              <w:t>2016</w:t>
            </w:r>
            <w:r w:rsidR="00EF7734" w:rsidRPr="005E7CDB">
              <w:t>-</w:t>
            </w:r>
            <w:r w:rsidRPr="005E7CDB">
              <w:t>2017</w:t>
            </w:r>
            <w:r w:rsidR="00F5091F" w:rsidRPr="005E7CDB">
              <w:t xml:space="preserve"> : </w:t>
            </w:r>
            <w:r w:rsidRPr="005E7CDB">
              <w:t>1</w:t>
            </w:r>
            <w:r w:rsidR="00F5091F" w:rsidRPr="005E7CDB">
              <w:t xml:space="preserve"> </w:t>
            </w:r>
            <w:r w:rsidRPr="005E7CDB">
              <w:t>série</w:t>
            </w:r>
            <w:r w:rsidR="00F5091F" w:rsidRPr="005E7CDB">
              <w:t xml:space="preserve"> </w:t>
            </w:r>
            <w:r w:rsidRPr="005E7CDB">
              <w:t>d’amendements</w:t>
            </w:r>
            <w:r w:rsidR="00F5091F" w:rsidRPr="005E7CDB">
              <w:t xml:space="preserve"> </w:t>
            </w:r>
            <w:r w:rsidRPr="005E7CDB">
              <w:t>pour</w:t>
            </w:r>
            <w:r w:rsidR="00F5091F" w:rsidRPr="005E7CDB">
              <w:t xml:space="preserve"> </w:t>
            </w:r>
            <w:r w:rsidRPr="005E7CDB">
              <w:t>chaque</w:t>
            </w:r>
            <w:r w:rsidR="00F5091F" w:rsidRPr="005E7CDB">
              <w:t xml:space="preserve"> </w:t>
            </w:r>
            <w:r w:rsidRPr="005E7CDB">
              <w:t>instrument</w:t>
            </w:r>
            <w:r w:rsidR="00F5091F" w:rsidRPr="005E7CDB">
              <w:t xml:space="preserve"> </w:t>
            </w:r>
            <w:r w:rsidRPr="005E7CDB">
              <w:t>juridique</w:t>
            </w:r>
            <w:r w:rsidR="00F5091F" w:rsidRPr="005E7CDB">
              <w:t xml:space="preserve"> </w:t>
            </w:r>
            <w:r w:rsidR="00FA76C4">
              <w:br/>
            </w:r>
            <w:r w:rsidR="00FA76C4" w:rsidRPr="005E7CDB">
              <w:t xml:space="preserve">Objectif </w:t>
            </w:r>
            <w:r w:rsidR="00EF7734" w:rsidRPr="005E7CDB">
              <w:t>2018-</w:t>
            </w:r>
            <w:r w:rsidRPr="005E7CDB">
              <w:t>2019</w:t>
            </w:r>
            <w:r w:rsidR="00F5091F" w:rsidRPr="005E7CDB">
              <w:t xml:space="preserve"> : </w:t>
            </w:r>
            <w:r w:rsidRPr="005E7CDB">
              <w:t>1</w:t>
            </w:r>
            <w:r w:rsidR="00EF7734" w:rsidRPr="005E7CDB">
              <w:t> </w:t>
            </w:r>
            <w:r w:rsidRPr="005E7CDB">
              <w:t>série</w:t>
            </w:r>
            <w:r w:rsidR="00F5091F" w:rsidRPr="005E7CDB">
              <w:t xml:space="preserve"> </w:t>
            </w:r>
            <w:r w:rsidRPr="005E7CDB">
              <w:t>d’amendements</w:t>
            </w:r>
            <w:r w:rsidR="00F5091F" w:rsidRPr="005E7CDB">
              <w:t xml:space="preserve"> </w:t>
            </w:r>
            <w:r w:rsidRPr="005E7CDB">
              <w:t>pour</w:t>
            </w:r>
            <w:r w:rsidR="00F5091F" w:rsidRPr="005E7CDB">
              <w:t xml:space="preserve"> </w:t>
            </w:r>
            <w:r w:rsidRPr="005E7CDB">
              <w:t>chaque</w:t>
            </w:r>
            <w:r w:rsidR="00F5091F" w:rsidRPr="005E7CDB">
              <w:t xml:space="preserve"> </w:t>
            </w:r>
            <w:r w:rsidRPr="005E7CDB">
              <w:t>instrument</w:t>
            </w:r>
            <w:r w:rsidR="00F5091F" w:rsidRPr="005E7CDB">
              <w:t xml:space="preserve"> </w:t>
            </w:r>
            <w:r w:rsidRPr="005E7CDB">
              <w:t>juridique</w:t>
            </w:r>
          </w:p>
        </w:tc>
      </w:tr>
      <w:tr w:rsidR="00C87C1B" w:rsidRPr="005E7CDB" w:rsidTr="00644254">
        <w:trPr>
          <w:cantSplit/>
        </w:trPr>
        <w:tc>
          <w:tcPr>
            <w:tcW w:w="2649" w:type="dxa"/>
            <w:vMerge w:val="restart"/>
            <w:shd w:val="clear" w:color="auto" w:fill="auto"/>
          </w:tcPr>
          <w:p w:rsidR="00C87C1B" w:rsidRPr="005E7CDB" w:rsidRDefault="00C87C1B" w:rsidP="00000992">
            <w:pPr>
              <w:spacing w:before="40" w:after="120"/>
              <w:ind w:right="113"/>
            </w:pPr>
          </w:p>
        </w:tc>
        <w:tc>
          <w:tcPr>
            <w:tcW w:w="3106" w:type="dxa"/>
            <w:vMerge w:val="restart"/>
            <w:shd w:val="clear" w:color="auto" w:fill="auto"/>
          </w:tcPr>
          <w:p w:rsidR="00C87C1B" w:rsidRPr="005E7CDB" w:rsidRDefault="00C87C1B" w:rsidP="00000992">
            <w:pPr>
              <w:spacing w:before="40" w:after="120"/>
              <w:ind w:right="113"/>
            </w:pPr>
          </w:p>
        </w:tc>
        <w:tc>
          <w:tcPr>
            <w:tcW w:w="3884" w:type="dxa"/>
            <w:shd w:val="clear" w:color="auto" w:fill="auto"/>
          </w:tcPr>
          <w:p w:rsidR="00C87C1B" w:rsidRPr="005E7CDB" w:rsidRDefault="00C87C1B" w:rsidP="001158AC">
            <w:pPr>
              <w:spacing w:before="40" w:after="120"/>
            </w:pPr>
            <w:r w:rsidRPr="005E7CDB">
              <w:t>IS 9.a. b) Publication des éditions 2019 complètes et révisées de l’ADR et de l’ADN avant la fin 2018</w:t>
            </w:r>
          </w:p>
        </w:tc>
      </w:tr>
      <w:tr w:rsidR="00C87C1B" w:rsidRPr="005E7CDB" w:rsidTr="00644254">
        <w:trPr>
          <w:cantSplit/>
        </w:trPr>
        <w:tc>
          <w:tcPr>
            <w:tcW w:w="2649" w:type="dxa"/>
            <w:vMerge/>
            <w:shd w:val="clear" w:color="auto" w:fill="auto"/>
          </w:tcPr>
          <w:p w:rsidR="00C87C1B" w:rsidRPr="005E7CDB" w:rsidRDefault="00C87C1B" w:rsidP="00000992">
            <w:pPr>
              <w:spacing w:before="40" w:after="120"/>
              <w:ind w:right="113"/>
            </w:pPr>
          </w:p>
        </w:tc>
        <w:tc>
          <w:tcPr>
            <w:tcW w:w="3106" w:type="dxa"/>
            <w:vMerge/>
            <w:shd w:val="clear" w:color="auto" w:fill="auto"/>
          </w:tcPr>
          <w:p w:rsidR="00C87C1B" w:rsidRPr="005E7CDB" w:rsidRDefault="00C87C1B" w:rsidP="00000992">
            <w:pPr>
              <w:spacing w:before="40" w:after="120"/>
              <w:ind w:right="113"/>
            </w:pPr>
          </w:p>
        </w:tc>
        <w:tc>
          <w:tcPr>
            <w:tcW w:w="3884" w:type="dxa"/>
            <w:shd w:val="clear" w:color="auto" w:fill="auto"/>
          </w:tcPr>
          <w:p w:rsidR="00C87C1B" w:rsidRPr="005E7CDB" w:rsidRDefault="00C87C1B" w:rsidP="001158AC">
            <w:pPr>
              <w:spacing w:before="40" w:after="120"/>
            </w:pPr>
            <w:r w:rsidRPr="00CA323E">
              <w:rPr>
                <w:i/>
              </w:rPr>
              <w:t>Mesure des résultats</w:t>
            </w:r>
            <w:r w:rsidRPr="005E7CDB">
              <w:t xml:space="preserve"> : </w:t>
            </w:r>
            <w:r w:rsidRPr="005E7CDB">
              <w:br/>
              <w:t xml:space="preserve">Référence 2016-2017 : 1 ADR et 1 ADN </w:t>
            </w:r>
            <w:r w:rsidRPr="005E7CDB">
              <w:br/>
              <w:t>Objectif 2018-2019 : 1 ADR et 1 ADN</w:t>
            </w:r>
          </w:p>
        </w:tc>
      </w:tr>
      <w:tr w:rsidR="00240423" w:rsidRPr="005E7CDB" w:rsidTr="00644254">
        <w:trPr>
          <w:cantSplit/>
        </w:trPr>
        <w:tc>
          <w:tcPr>
            <w:tcW w:w="2649" w:type="dxa"/>
            <w:vMerge w:val="restart"/>
            <w:shd w:val="clear" w:color="auto" w:fill="auto"/>
          </w:tcPr>
          <w:p w:rsidR="00240423" w:rsidRPr="005E7CDB" w:rsidRDefault="00240423" w:rsidP="00BF664D">
            <w:pPr>
              <w:tabs>
                <w:tab w:val="left" w:pos="284"/>
              </w:tabs>
              <w:spacing w:before="40" w:after="120"/>
              <w:ind w:right="113"/>
            </w:pPr>
            <w:r w:rsidRPr="005E7CDB">
              <w:t>b)</w:t>
            </w:r>
            <w:r w:rsidRPr="005E7CDB">
              <w:tab/>
              <w:t>Élargissement de la couverture géographique et amélioration du suivi de l’application des instruments juridiques et des recommandations des Nations Unies relatifs aux transports administrés par la CEE</w:t>
            </w:r>
          </w:p>
        </w:tc>
        <w:tc>
          <w:tcPr>
            <w:tcW w:w="3106" w:type="dxa"/>
            <w:shd w:val="clear" w:color="auto" w:fill="auto"/>
          </w:tcPr>
          <w:p w:rsidR="00240423" w:rsidRPr="005E7CDB" w:rsidRDefault="00240423" w:rsidP="00644254">
            <w:pPr>
              <w:spacing w:before="40" w:after="120"/>
              <w:ind w:left="284" w:right="113" w:hanging="284"/>
            </w:pPr>
            <w:r w:rsidRPr="005E7CDB">
              <w:t>i)</w:t>
            </w:r>
            <w:r w:rsidRPr="005E7CDB">
              <w:tab/>
              <w:t>Accroissement du nombre de Parties contractantes, notamment extérieures à la région, aux instruments juridiques et recommandations des Nations Unies relatifs aux transports administrés par la CEE</w:t>
            </w:r>
          </w:p>
        </w:tc>
        <w:tc>
          <w:tcPr>
            <w:tcW w:w="3884" w:type="dxa"/>
            <w:vMerge w:val="restart"/>
            <w:shd w:val="clear" w:color="auto" w:fill="auto"/>
          </w:tcPr>
          <w:p w:rsidR="00240423" w:rsidRPr="005E7CDB" w:rsidRDefault="00240423" w:rsidP="001158AC">
            <w:pPr>
              <w:spacing w:before="40" w:after="120"/>
            </w:pPr>
            <w:r w:rsidRPr="005E7CDB">
              <w:t>RE 9.b. Suivi de l’application du plan pour l’adhésion à l’ADR et sa mise en œuvre (ECE/TRANS/238) à l’intention des nouvelles Parties contractantes à l’ADR et des Parties contractantes existantes.</w:t>
            </w:r>
          </w:p>
          <w:p w:rsidR="00240423" w:rsidRPr="004E5CAD" w:rsidRDefault="00240423" w:rsidP="001158AC">
            <w:pPr>
              <w:spacing w:before="40" w:after="120"/>
              <w:rPr>
                <w:spacing w:val="-2"/>
              </w:rPr>
            </w:pPr>
            <w:r w:rsidRPr="004E5CAD">
              <w:rPr>
                <w:spacing w:val="-2"/>
              </w:rPr>
              <w:t>IS 9.b. Informations des pays sur l’ADR et notifications obligatoires (informations sur les certificats de formation des conducteurs et informations spécifiées à l’annexe I du plan) complétées et affichées sur le site Web de la CEE</w:t>
            </w:r>
          </w:p>
          <w:p w:rsidR="00240423" w:rsidRPr="005E7CDB" w:rsidRDefault="00240423" w:rsidP="001158AC">
            <w:pPr>
              <w:spacing w:before="40" w:after="120"/>
            </w:pPr>
            <w:r w:rsidRPr="00CA323E">
              <w:rPr>
                <w:i/>
              </w:rPr>
              <w:t>Mesure des résultats</w:t>
            </w:r>
            <w:r w:rsidRPr="005E7CDB">
              <w:t> :</w:t>
            </w:r>
            <w:r w:rsidRPr="005E7CDB">
              <w:br/>
              <w:t>Référence 2016</w:t>
            </w:r>
            <w:r w:rsidR="00C87C1B" w:rsidRPr="005E7CDB">
              <w:t>-</w:t>
            </w:r>
            <w:r w:rsidRPr="005E7CDB">
              <w:t>2017 : informations disponibles pour 75</w:t>
            </w:r>
            <w:r w:rsidR="001158AC" w:rsidRPr="005E7CDB">
              <w:t> </w:t>
            </w:r>
            <w:r w:rsidRPr="005E7CDB">
              <w:t xml:space="preserve">% des Parties contractantes à l’ADR </w:t>
            </w:r>
            <w:r w:rsidRPr="005E7CDB">
              <w:br/>
              <w:t>Objectif : informations disponibles et actualisées pour 75</w:t>
            </w:r>
            <w:r w:rsidR="001158AC" w:rsidRPr="005E7CDB">
              <w:t> </w:t>
            </w:r>
            <w:r w:rsidRPr="005E7CDB">
              <w:t>% des Parties contractantes à l’ADR</w:t>
            </w:r>
          </w:p>
        </w:tc>
      </w:tr>
      <w:tr w:rsidR="00240423" w:rsidRPr="005E7CDB" w:rsidTr="00644254">
        <w:trPr>
          <w:cantSplit/>
        </w:trPr>
        <w:tc>
          <w:tcPr>
            <w:tcW w:w="2649" w:type="dxa"/>
            <w:vMerge/>
            <w:shd w:val="clear" w:color="auto" w:fill="auto"/>
          </w:tcPr>
          <w:p w:rsidR="00240423" w:rsidRPr="005E7CDB" w:rsidRDefault="00240423" w:rsidP="00000992">
            <w:pPr>
              <w:spacing w:before="40" w:after="120"/>
              <w:ind w:right="113"/>
            </w:pPr>
          </w:p>
        </w:tc>
        <w:tc>
          <w:tcPr>
            <w:tcW w:w="3106" w:type="dxa"/>
            <w:shd w:val="clear" w:color="auto" w:fill="auto"/>
          </w:tcPr>
          <w:p w:rsidR="00240423" w:rsidRPr="005E7CDB" w:rsidRDefault="00240423" w:rsidP="00644254">
            <w:pPr>
              <w:spacing w:before="40" w:after="120"/>
              <w:ind w:left="284" w:right="113" w:hanging="284"/>
            </w:pPr>
            <w:r w:rsidRPr="005E7CDB">
              <w:t>ii)</w:t>
            </w:r>
            <w:r w:rsidRPr="005E7CDB">
              <w:tab/>
              <w:t>Accroissement du nombre de mécanismes approuvés par les Parties contractantes pour suivre l’application des instruments juridiques et recommandations des Nations Unies relatifs aux transports administrés par la CEE</w:t>
            </w:r>
          </w:p>
        </w:tc>
        <w:tc>
          <w:tcPr>
            <w:tcW w:w="3884" w:type="dxa"/>
            <w:vMerge/>
            <w:shd w:val="clear" w:color="auto" w:fill="auto"/>
          </w:tcPr>
          <w:p w:rsidR="00240423" w:rsidRPr="005E7CDB" w:rsidRDefault="00240423" w:rsidP="001158AC">
            <w:pPr>
              <w:spacing w:before="40" w:after="120"/>
            </w:pPr>
          </w:p>
        </w:tc>
      </w:tr>
      <w:tr w:rsidR="00644254" w:rsidRPr="005E7CDB" w:rsidTr="00644254">
        <w:trPr>
          <w:cantSplit/>
          <w:trHeight w:val="1215"/>
        </w:trPr>
        <w:tc>
          <w:tcPr>
            <w:tcW w:w="2649" w:type="dxa"/>
            <w:vMerge w:val="restart"/>
            <w:shd w:val="clear" w:color="auto" w:fill="auto"/>
          </w:tcPr>
          <w:p w:rsidR="00644254" w:rsidRPr="005E7CDB" w:rsidRDefault="00644254" w:rsidP="00BF664D">
            <w:pPr>
              <w:tabs>
                <w:tab w:val="left" w:pos="284"/>
              </w:tabs>
              <w:spacing w:before="40" w:after="120"/>
              <w:ind w:right="113"/>
            </w:pPr>
            <w:r w:rsidRPr="005E7CDB">
              <w:t>c)</w:t>
            </w:r>
            <w:r w:rsidRPr="005E7CDB">
              <w:tab/>
              <w:t>Renforcement de la capacité des États membres de la CEE, particulièrement les pays en développement sans littoral, en ce qui concerne le développement d’infrastructures de transport paneuropéennes et transcontinentales et la mise en place de mesures destinées à faciliter les transports</w:t>
            </w:r>
          </w:p>
        </w:tc>
        <w:tc>
          <w:tcPr>
            <w:tcW w:w="3106" w:type="dxa"/>
            <w:shd w:val="clear" w:color="auto" w:fill="auto"/>
          </w:tcPr>
          <w:p w:rsidR="00644254" w:rsidRPr="005E7CDB" w:rsidRDefault="00644254" w:rsidP="00BF664D">
            <w:pPr>
              <w:spacing w:before="40" w:after="120"/>
              <w:ind w:left="284" w:right="113" w:hanging="284"/>
            </w:pPr>
            <w:r w:rsidRPr="005E7CDB">
              <w:t>i)</w:t>
            </w:r>
            <w:r w:rsidRPr="005E7CDB">
              <w:tab/>
              <w:t>Accroissement du nombre de Parties contractantes aux quatre instruments principaux relatifs aux infrastructures de transport</w:t>
            </w:r>
          </w:p>
        </w:tc>
        <w:tc>
          <w:tcPr>
            <w:tcW w:w="3884" w:type="dxa"/>
            <w:vMerge w:val="restart"/>
            <w:shd w:val="clear" w:color="auto" w:fill="auto"/>
          </w:tcPr>
          <w:p w:rsidR="00644254" w:rsidRPr="005E7CDB" w:rsidRDefault="00644254" w:rsidP="001158AC">
            <w:pPr>
              <w:spacing w:before="40" w:after="120"/>
            </w:pPr>
          </w:p>
        </w:tc>
      </w:tr>
      <w:tr w:rsidR="00644254" w:rsidRPr="005E7CDB" w:rsidTr="00644254">
        <w:trPr>
          <w:cantSplit/>
          <w:trHeight w:val="1215"/>
        </w:trPr>
        <w:tc>
          <w:tcPr>
            <w:tcW w:w="2649" w:type="dxa"/>
            <w:vMerge/>
            <w:shd w:val="clear" w:color="auto" w:fill="auto"/>
          </w:tcPr>
          <w:p w:rsidR="00644254" w:rsidRPr="005E7CDB" w:rsidRDefault="00644254" w:rsidP="00000992">
            <w:pPr>
              <w:spacing w:before="40" w:after="120"/>
              <w:ind w:right="113"/>
            </w:pPr>
          </w:p>
        </w:tc>
        <w:tc>
          <w:tcPr>
            <w:tcW w:w="3106" w:type="dxa"/>
            <w:shd w:val="clear" w:color="auto" w:fill="auto"/>
          </w:tcPr>
          <w:p w:rsidR="00644254" w:rsidRPr="005E7CDB" w:rsidRDefault="00BF664D" w:rsidP="00644254">
            <w:pPr>
              <w:spacing w:before="40" w:after="120"/>
              <w:ind w:left="284" w:right="113" w:hanging="284"/>
            </w:pPr>
            <w:r w:rsidRPr="005E7CDB">
              <w:t>ii)</w:t>
            </w:r>
            <w:r w:rsidRPr="005E7CDB">
              <w:tab/>
              <w:t>A</w:t>
            </w:r>
            <w:r w:rsidR="004E5CAD">
              <w:t>ccroissement du nombre d’États m</w:t>
            </w:r>
            <w:r w:rsidRPr="005E7CDB">
              <w:t>embres utilisant le cadre commun sous-régional de la CEE pour le développement des infrastructures de transport (Projet concernant les liaisons de transport Europe-Asie, Projet d’autoroute transeuropéenne et Projet de chemin de fer transeuropéen)</w:t>
            </w:r>
          </w:p>
        </w:tc>
        <w:tc>
          <w:tcPr>
            <w:tcW w:w="3884" w:type="dxa"/>
            <w:vMerge/>
            <w:shd w:val="clear" w:color="auto" w:fill="auto"/>
          </w:tcPr>
          <w:p w:rsidR="00644254" w:rsidRPr="005E7CDB" w:rsidRDefault="00644254" w:rsidP="001158AC">
            <w:pPr>
              <w:spacing w:before="40" w:after="120"/>
            </w:pPr>
          </w:p>
        </w:tc>
      </w:tr>
      <w:tr w:rsidR="00644254" w:rsidRPr="005E7CDB" w:rsidTr="00644254">
        <w:trPr>
          <w:cantSplit/>
          <w:trHeight w:val="1215"/>
        </w:trPr>
        <w:tc>
          <w:tcPr>
            <w:tcW w:w="2649" w:type="dxa"/>
            <w:vMerge w:val="restart"/>
            <w:shd w:val="clear" w:color="auto" w:fill="auto"/>
          </w:tcPr>
          <w:p w:rsidR="00644254" w:rsidRPr="005E7CDB" w:rsidRDefault="00644254" w:rsidP="00763F10">
            <w:pPr>
              <w:keepNext/>
              <w:tabs>
                <w:tab w:val="left" w:pos="284"/>
              </w:tabs>
              <w:spacing w:before="40" w:after="120"/>
              <w:ind w:right="113"/>
            </w:pPr>
            <w:r w:rsidRPr="005E7CDB">
              <w:t>d)</w:t>
            </w:r>
            <w:r w:rsidRPr="005E7CDB">
              <w:tab/>
              <w:t>Renforcement de la capacité d’appliquer les instruments juridiques, normes et règlements de l’ONU pertinents, en particulier dans les pays de l’Europe orientale et de l’Europe du Sud-Est, du Caucase et de l’Asie centrale</w:t>
            </w:r>
          </w:p>
        </w:tc>
        <w:tc>
          <w:tcPr>
            <w:tcW w:w="3106" w:type="dxa"/>
            <w:shd w:val="clear" w:color="auto" w:fill="auto"/>
          </w:tcPr>
          <w:p w:rsidR="00644254" w:rsidRPr="005E7CDB" w:rsidRDefault="00644254" w:rsidP="00763F10">
            <w:pPr>
              <w:keepNext/>
              <w:spacing w:before="40" w:after="120"/>
              <w:ind w:left="284" w:right="113" w:hanging="284"/>
            </w:pPr>
            <w:r w:rsidRPr="005E7CDB">
              <w:t>i)</w:t>
            </w:r>
            <w:r w:rsidRPr="005E7CDB">
              <w:tab/>
              <w:t>Accroissement du nombre de pays de l’Europe orientale et de l’Europe du Sud-Est, du Caucase et de l’Asie centrale qui indiquent avoir adopté des mesures pour appliquer les instruments juridiques, normes et règlements de l’ONU relatifs aux transports administrés par la CEE</w:t>
            </w:r>
          </w:p>
        </w:tc>
        <w:tc>
          <w:tcPr>
            <w:tcW w:w="3884" w:type="dxa"/>
            <w:vMerge w:val="restart"/>
            <w:shd w:val="clear" w:color="auto" w:fill="auto"/>
          </w:tcPr>
          <w:p w:rsidR="00644254" w:rsidRPr="005E7CDB" w:rsidRDefault="00644254" w:rsidP="00763F10">
            <w:pPr>
              <w:keepNext/>
              <w:spacing w:before="40" w:after="120"/>
            </w:pPr>
          </w:p>
        </w:tc>
      </w:tr>
      <w:tr w:rsidR="00644254" w:rsidRPr="005E7CDB" w:rsidTr="00644254">
        <w:trPr>
          <w:cantSplit/>
          <w:trHeight w:val="1215"/>
        </w:trPr>
        <w:tc>
          <w:tcPr>
            <w:tcW w:w="2649" w:type="dxa"/>
            <w:vMerge/>
            <w:tcBorders>
              <w:bottom w:val="single" w:sz="12" w:space="0" w:color="auto"/>
            </w:tcBorders>
            <w:shd w:val="clear" w:color="auto" w:fill="auto"/>
          </w:tcPr>
          <w:p w:rsidR="00644254" w:rsidRPr="005E7CDB" w:rsidRDefault="00644254" w:rsidP="00000992">
            <w:pPr>
              <w:spacing w:before="40" w:after="120"/>
              <w:ind w:right="113"/>
            </w:pPr>
          </w:p>
        </w:tc>
        <w:tc>
          <w:tcPr>
            <w:tcW w:w="3106" w:type="dxa"/>
            <w:tcBorders>
              <w:bottom w:val="single" w:sz="12" w:space="0" w:color="auto"/>
            </w:tcBorders>
            <w:shd w:val="clear" w:color="auto" w:fill="auto"/>
          </w:tcPr>
          <w:p w:rsidR="00644254" w:rsidRPr="005E7CDB" w:rsidRDefault="00644254" w:rsidP="00644254">
            <w:pPr>
              <w:spacing w:before="40" w:after="120"/>
              <w:ind w:left="284" w:right="113" w:hanging="284"/>
            </w:pPr>
            <w:r w:rsidRPr="005E7CDB">
              <w:t>ii)</w:t>
            </w:r>
            <w:r w:rsidRPr="005E7CDB">
              <w:tab/>
              <w:t>Accroissement du nombre d’États membres de la CEE ayant défini des objectifs de renforcement de la sécurité routière</w:t>
            </w:r>
          </w:p>
        </w:tc>
        <w:tc>
          <w:tcPr>
            <w:tcW w:w="3884" w:type="dxa"/>
            <w:vMerge/>
            <w:tcBorders>
              <w:bottom w:val="single" w:sz="12" w:space="0" w:color="auto"/>
            </w:tcBorders>
            <w:shd w:val="clear" w:color="auto" w:fill="auto"/>
          </w:tcPr>
          <w:p w:rsidR="00644254" w:rsidRPr="005E7CDB" w:rsidRDefault="00644254" w:rsidP="00000992">
            <w:pPr>
              <w:spacing w:before="40" w:after="120"/>
              <w:ind w:right="113"/>
            </w:pPr>
          </w:p>
        </w:tc>
      </w:tr>
    </w:tbl>
    <w:p w:rsidR="00F9573C" w:rsidRPr="005E7CDB" w:rsidRDefault="002728BC" w:rsidP="002728BC">
      <w:pPr>
        <w:pStyle w:val="SingleTxtG"/>
        <w:spacing w:before="240" w:after="0"/>
        <w:jc w:val="center"/>
        <w:rPr>
          <w:u w:val="single"/>
        </w:rPr>
      </w:pPr>
      <w:r w:rsidRPr="005E7CDB">
        <w:rPr>
          <w:u w:val="single"/>
        </w:rPr>
        <w:tab/>
      </w:r>
      <w:r w:rsidRPr="005E7CDB">
        <w:rPr>
          <w:u w:val="single"/>
        </w:rPr>
        <w:tab/>
      </w:r>
      <w:r w:rsidRPr="005E7CDB">
        <w:rPr>
          <w:u w:val="single"/>
        </w:rPr>
        <w:tab/>
      </w:r>
    </w:p>
    <w:sectPr w:rsidR="00F9573C" w:rsidRPr="005E7CDB" w:rsidSect="003F3C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1F" w:rsidRDefault="00F5091F" w:rsidP="00F95C08">
      <w:pPr>
        <w:spacing w:line="240" w:lineRule="auto"/>
      </w:pPr>
    </w:p>
  </w:endnote>
  <w:endnote w:type="continuationSeparator" w:id="0">
    <w:p w:rsidR="00F5091F" w:rsidRPr="00AC3823" w:rsidRDefault="00F5091F" w:rsidP="00AC3823">
      <w:pPr>
        <w:pStyle w:val="Footer"/>
      </w:pPr>
    </w:p>
  </w:endnote>
  <w:endnote w:type="continuationNotice" w:id="1">
    <w:p w:rsidR="00F5091F" w:rsidRDefault="00F509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1F" w:rsidRPr="003F3C4E" w:rsidRDefault="00F5091F" w:rsidP="003F3C4E">
    <w:pPr>
      <w:pStyle w:val="Footer"/>
      <w:tabs>
        <w:tab w:val="right" w:pos="9638"/>
      </w:tabs>
    </w:pPr>
    <w:r w:rsidRPr="003F3C4E">
      <w:rPr>
        <w:b/>
        <w:sz w:val="18"/>
      </w:rPr>
      <w:fldChar w:fldCharType="begin"/>
    </w:r>
    <w:r w:rsidRPr="003F3C4E">
      <w:rPr>
        <w:b/>
        <w:sz w:val="18"/>
      </w:rPr>
      <w:instrText xml:space="preserve"> PAGE  \* MERGEFORMAT </w:instrText>
    </w:r>
    <w:r w:rsidRPr="003F3C4E">
      <w:rPr>
        <w:b/>
        <w:sz w:val="18"/>
      </w:rPr>
      <w:fldChar w:fldCharType="separate"/>
    </w:r>
    <w:r w:rsidR="00D11B82">
      <w:rPr>
        <w:b/>
        <w:noProof/>
        <w:sz w:val="18"/>
      </w:rPr>
      <w:t>2</w:t>
    </w:r>
    <w:r w:rsidRPr="003F3C4E">
      <w:rPr>
        <w:b/>
        <w:sz w:val="18"/>
      </w:rPr>
      <w:fldChar w:fldCharType="end"/>
    </w:r>
    <w:r>
      <w:rPr>
        <w:b/>
        <w:sz w:val="18"/>
      </w:rPr>
      <w:tab/>
    </w:r>
    <w:r>
      <w:t>GE.17-14753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1F" w:rsidRPr="003F3C4E" w:rsidRDefault="00F5091F" w:rsidP="003F3C4E">
    <w:pPr>
      <w:pStyle w:val="Footer"/>
      <w:tabs>
        <w:tab w:val="right" w:pos="9638"/>
      </w:tabs>
      <w:rPr>
        <w:b/>
        <w:sz w:val="18"/>
      </w:rPr>
    </w:pPr>
    <w:r>
      <w:t>GE.17-14753</w:t>
    </w:r>
    <w:r>
      <w:tab/>
    </w:r>
    <w:r w:rsidRPr="003F3C4E">
      <w:rPr>
        <w:b/>
        <w:sz w:val="18"/>
      </w:rPr>
      <w:fldChar w:fldCharType="begin"/>
    </w:r>
    <w:r w:rsidRPr="003F3C4E">
      <w:rPr>
        <w:b/>
        <w:sz w:val="18"/>
      </w:rPr>
      <w:instrText xml:space="preserve"> PAGE  \* MERGEFORMAT </w:instrText>
    </w:r>
    <w:r w:rsidRPr="003F3C4E">
      <w:rPr>
        <w:b/>
        <w:sz w:val="18"/>
      </w:rPr>
      <w:fldChar w:fldCharType="separate"/>
    </w:r>
    <w:r w:rsidR="00D11B82">
      <w:rPr>
        <w:b/>
        <w:noProof/>
        <w:sz w:val="18"/>
      </w:rPr>
      <w:t>7</w:t>
    </w:r>
    <w:r w:rsidRPr="003F3C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1F" w:rsidRPr="003F3C4E" w:rsidRDefault="00F5091F" w:rsidP="003F3C4E">
    <w:pPr>
      <w:pStyle w:val="Footer"/>
      <w:spacing w:before="120"/>
      <w:rPr>
        <w:sz w:val="20"/>
      </w:rPr>
    </w:pPr>
    <w:r>
      <w:rPr>
        <w:sz w:val="20"/>
      </w:rPr>
      <w:t>GE.</w:t>
    </w:r>
    <w:r>
      <w:rPr>
        <w:noProof/>
        <w:lang w:val="en-US"/>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17-14753  (F)</w:t>
    </w:r>
    <w:r w:rsidR="003B0092">
      <w:rPr>
        <w:sz w:val="20"/>
      </w:rPr>
      <w:t xml:space="preserve">    130917    </w:t>
    </w:r>
    <w:r w:rsidR="0014410F">
      <w:rPr>
        <w:sz w:val="20"/>
      </w:rPr>
      <w:t>14</w:t>
    </w:r>
    <w:r w:rsidR="003B0092">
      <w:rPr>
        <w:sz w:val="20"/>
      </w:rPr>
      <w:t>0917</w:t>
    </w:r>
    <w:r>
      <w:rPr>
        <w:sz w:val="20"/>
      </w:rPr>
      <w:br/>
    </w:r>
    <w:r w:rsidRPr="003F3C4E">
      <w:rPr>
        <w:rFonts w:ascii="C39T30Lfz" w:hAnsi="C39T30Lfz"/>
        <w:sz w:val="56"/>
      </w:rPr>
      <w:t></w:t>
    </w:r>
    <w:r w:rsidRPr="003F3C4E">
      <w:rPr>
        <w:rFonts w:ascii="C39T30Lfz" w:hAnsi="C39T30Lfz"/>
        <w:sz w:val="56"/>
      </w:rPr>
      <w:t></w:t>
    </w:r>
    <w:r w:rsidRPr="003F3C4E">
      <w:rPr>
        <w:rFonts w:ascii="C39T30Lfz" w:hAnsi="C39T30Lfz"/>
        <w:sz w:val="56"/>
      </w:rPr>
      <w:t></w:t>
    </w:r>
    <w:r w:rsidRPr="003F3C4E">
      <w:rPr>
        <w:rFonts w:ascii="C39T30Lfz" w:hAnsi="C39T30Lfz"/>
        <w:sz w:val="56"/>
      </w:rPr>
      <w:t></w:t>
    </w:r>
    <w:r w:rsidRPr="003F3C4E">
      <w:rPr>
        <w:rFonts w:ascii="C39T30Lfz" w:hAnsi="C39T30Lfz"/>
        <w:sz w:val="56"/>
      </w:rPr>
      <w:t></w:t>
    </w:r>
    <w:r w:rsidRPr="003F3C4E">
      <w:rPr>
        <w:rFonts w:ascii="C39T30Lfz" w:hAnsi="C39T30Lfz"/>
        <w:sz w:val="56"/>
      </w:rPr>
      <w:t></w:t>
    </w:r>
    <w:r w:rsidRPr="003F3C4E">
      <w:rPr>
        <w:rFonts w:ascii="C39T30Lfz" w:hAnsi="C39T30Lfz"/>
        <w:sz w:val="56"/>
      </w:rPr>
      <w:t></w:t>
    </w:r>
    <w:r w:rsidRPr="003F3C4E">
      <w:rPr>
        <w:rFonts w:ascii="C39T30Lfz" w:hAnsi="C39T30Lfz"/>
        <w:sz w:val="56"/>
      </w:rPr>
      <w:t></w:t>
    </w:r>
    <w:r w:rsidRPr="003F3C4E">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7/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7/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1F" w:rsidRPr="00AC3823" w:rsidRDefault="00F5091F" w:rsidP="00AC3823">
      <w:pPr>
        <w:pStyle w:val="Footer"/>
        <w:tabs>
          <w:tab w:val="right" w:pos="2155"/>
        </w:tabs>
        <w:spacing w:after="80" w:line="240" w:lineRule="atLeast"/>
        <w:ind w:left="680"/>
        <w:rPr>
          <w:u w:val="single"/>
        </w:rPr>
      </w:pPr>
      <w:r>
        <w:rPr>
          <w:u w:val="single"/>
        </w:rPr>
        <w:tab/>
      </w:r>
    </w:p>
  </w:footnote>
  <w:footnote w:type="continuationSeparator" w:id="0">
    <w:p w:rsidR="00F5091F" w:rsidRPr="00AC3823" w:rsidRDefault="00F5091F" w:rsidP="00AC3823">
      <w:pPr>
        <w:pStyle w:val="Footer"/>
        <w:tabs>
          <w:tab w:val="right" w:pos="2155"/>
        </w:tabs>
        <w:spacing w:after="80" w:line="240" w:lineRule="atLeast"/>
        <w:ind w:left="680"/>
        <w:rPr>
          <w:u w:val="single"/>
        </w:rPr>
      </w:pPr>
      <w:r>
        <w:rPr>
          <w:u w:val="single"/>
        </w:rPr>
        <w:tab/>
      </w:r>
    </w:p>
  </w:footnote>
  <w:footnote w:type="continuationNotice" w:id="1">
    <w:p w:rsidR="00F5091F" w:rsidRPr="00AC3823" w:rsidRDefault="00F5091F">
      <w:pPr>
        <w:spacing w:line="240" w:lineRule="auto"/>
        <w:rPr>
          <w:sz w:val="2"/>
          <w:szCs w:val="2"/>
        </w:rPr>
      </w:pPr>
    </w:p>
  </w:footnote>
  <w:footnote w:id="2">
    <w:p w:rsidR="00F5091F" w:rsidRPr="003B0092" w:rsidRDefault="003B0092" w:rsidP="002728BC">
      <w:pPr>
        <w:pStyle w:val="FootnoteText"/>
        <w:rPr>
          <w:szCs w:val="18"/>
        </w:rPr>
      </w:pPr>
      <w:r w:rsidRPr="003B0092">
        <w:rPr>
          <w:sz w:val="20"/>
          <w:lang w:val="fr-FR"/>
        </w:rPr>
        <w:tab/>
      </w:r>
      <w:r w:rsidR="00F5091F" w:rsidRPr="003B0092">
        <w:rPr>
          <w:rStyle w:val="FootnoteReference"/>
          <w:sz w:val="20"/>
          <w:vertAlign w:val="baseline"/>
          <w:lang w:val="fr-FR"/>
        </w:rPr>
        <w:sym w:font="Symbol" w:char="F02A"/>
      </w:r>
      <w:r w:rsidR="00F5091F" w:rsidRPr="003B0092">
        <w:rPr>
          <w:sz w:val="20"/>
          <w:lang w:val="fr-FR"/>
        </w:rPr>
        <w:tab/>
      </w:r>
      <w:r w:rsidR="00F5091F" w:rsidRPr="003B0092">
        <w:rPr>
          <w:szCs w:val="18"/>
          <w:lang w:val="fr-FR"/>
        </w:rPr>
        <w:t>Conformément au programme de travail du Comité des transports intérieurs pour 2016-2017, (ECE/TRANS/2016/28/Add.1 (9.1)).</w:t>
      </w:r>
    </w:p>
  </w:footnote>
  <w:footnote w:id="3">
    <w:p w:rsidR="008A0908" w:rsidRPr="003B0092" w:rsidRDefault="008A0908" w:rsidP="008A0908">
      <w:pPr>
        <w:pStyle w:val="FootnoteText"/>
        <w:rPr>
          <w:szCs w:val="18"/>
        </w:rPr>
      </w:pPr>
      <w:r w:rsidRPr="003B0092">
        <w:rPr>
          <w:szCs w:val="18"/>
          <w:lang w:val="fr-FR"/>
        </w:rPr>
        <w:tab/>
      </w:r>
      <w:r w:rsidRPr="003B0092">
        <w:rPr>
          <w:rStyle w:val="FootnoteReference"/>
          <w:szCs w:val="18"/>
        </w:rPr>
        <w:footnoteRef/>
      </w:r>
      <w:r w:rsidRPr="003B0092">
        <w:rPr>
          <w:szCs w:val="18"/>
          <w:lang w:val="fr-FR"/>
        </w:rPr>
        <w:tab/>
        <w:t>Accord européen relatif au transport international des marchandises dangereuses par route</w:t>
      </w:r>
      <w:r>
        <w:rPr>
          <w:szCs w:val="18"/>
          <w:lang w:val="fr-FR"/>
        </w:rPr>
        <w:t>.</w:t>
      </w:r>
    </w:p>
  </w:footnote>
  <w:footnote w:id="4">
    <w:p w:rsidR="008A0908" w:rsidRPr="003B0092" w:rsidRDefault="008A0908" w:rsidP="008A0908">
      <w:pPr>
        <w:pStyle w:val="FootnoteText"/>
        <w:rPr>
          <w:szCs w:val="18"/>
        </w:rPr>
      </w:pPr>
      <w:r w:rsidRPr="003B0092">
        <w:rPr>
          <w:szCs w:val="18"/>
          <w:lang w:val="fr-FR"/>
        </w:rPr>
        <w:tab/>
      </w:r>
      <w:r w:rsidRPr="003B0092">
        <w:rPr>
          <w:rStyle w:val="FootnoteReference"/>
          <w:szCs w:val="18"/>
        </w:rPr>
        <w:footnoteRef/>
      </w:r>
      <w:r w:rsidRPr="003B0092">
        <w:rPr>
          <w:szCs w:val="18"/>
          <w:lang w:val="fr-FR"/>
        </w:rPr>
        <w:tab/>
        <w:t>Règlement concernant le transport international ferroviaire des marchandises dangereuses</w:t>
      </w:r>
      <w:r>
        <w:rPr>
          <w:szCs w:val="18"/>
          <w:lang w:val="fr-FR"/>
        </w:rPr>
        <w:t>.</w:t>
      </w:r>
    </w:p>
  </w:footnote>
  <w:footnote w:id="5">
    <w:p w:rsidR="008A0908" w:rsidRPr="003B0092" w:rsidRDefault="008A0908" w:rsidP="008A0908">
      <w:pPr>
        <w:pStyle w:val="FootnoteText"/>
        <w:rPr>
          <w:szCs w:val="18"/>
        </w:rPr>
      </w:pPr>
      <w:r w:rsidRPr="003B0092">
        <w:rPr>
          <w:szCs w:val="18"/>
          <w:lang w:val="fr-FR"/>
        </w:rPr>
        <w:tab/>
      </w:r>
      <w:r w:rsidRPr="003B0092">
        <w:rPr>
          <w:rStyle w:val="FootnoteReference"/>
          <w:szCs w:val="18"/>
        </w:rPr>
        <w:footnoteRef/>
      </w:r>
      <w:r w:rsidRPr="003B0092">
        <w:rPr>
          <w:szCs w:val="18"/>
          <w:lang w:val="fr-FR"/>
        </w:rPr>
        <w:tab/>
        <w:t>Accord européen relatif au transport international des marchandises dangereuses par voies de</w:t>
      </w:r>
      <w:r>
        <w:rPr>
          <w:szCs w:val="18"/>
          <w:lang w:val="fr-FR"/>
        </w:rPr>
        <w:t> </w:t>
      </w:r>
      <w:r w:rsidRPr="003B0092">
        <w:rPr>
          <w:szCs w:val="18"/>
          <w:lang w:val="fr-FR"/>
        </w:rPr>
        <w:t>navigation intérieures</w:t>
      </w:r>
      <w:r>
        <w:rPr>
          <w:szCs w:val="18"/>
          <w:lang w:val="fr-FR"/>
        </w:rPr>
        <w:t>.</w:t>
      </w:r>
    </w:p>
  </w:footnote>
  <w:footnote w:id="6">
    <w:p w:rsidR="00F5091F" w:rsidRPr="003B0092" w:rsidRDefault="00F5091F" w:rsidP="002728BC">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http://www.unece.org/trans/danger/publi/adr/country-info_e.html</w:t>
      </w:r>
      <w:r w:rsidR="00E64498">
        <w:rPr>
          <w:szCs w:val="18"/>
          <w:lang w:val="fr-FR"/>
        </w:rPr>
        <w:t>.</w:t>
      </w:r>
    </w:p>
  </w:footnote>
  <w:footnote w:id="7">
    <w:p w:rsidR="00F5091F" w:rsidRPr="003B0092" w:rsidRDefault="00F5091F" w:rsidP="002728BC">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http://www.unece.org/trans/danger/publi/adr/adr_certificates.html</w:t>
      </w:r>
      <w:r w:rsidR="00E64498">
        <w:rPr>
          <w:szCs w:val="18"/>
          <w:lang w:val="fr-FR"/>
        </w:rPr>
        <w:t>.</w:t>
      </w:r>
    </w:p>
  </w:footnote>
  <w:footnote w:id="8">
    <w:p w:rsidR="00F5091F" w:rsidRPr="003B0092" w:rsidRDefault="00F5091F" w:rsidP="002728BC">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http://www.unece.org/trans/danger/publi/adr/adr_linguistic_e.html</w:t>
      </w:r>
      <w:r w:rsidR="00E64498">
        <w:rPr>
          <w:szCs w:val="18"/>
          <w:lang w:val="fr-FR"/>
        </w:rPr>
        <w:t>.</w:t>
      </w:r>
    </w:p>
  </w:footnote>
  <w:footnote w:id="9">
    <w:p w:rsidR="00F5091F" w:rsidRPr="003B0092" w:rsidRDefault="00F5091F" w:rsidP="002728BC">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http://www.unece.org/trans/danger/multi/multi.html</w:t>
      </w:r>
      <w:r w:rsidR="00E64498">
        <w:rPr>
          <w:szCs w:val="18"/>
          <w:lang w:val="fr-FR"/>
        </w:rPr>
        <w:t>.</w:t>
      </w:r>
    </w:p>
  </w:footnote>
  <w:footnote w:id="10">
    <w:p w:rsidR="00F5091F" w:rsidRPr="003B0092" w:rsidRDefault="00F5091F" w:rsidP="002728BC">
      <w:pPr>
        <w:pStyle w:val="FootnoteText"/>
        <w:rPr>
          <w:szCs w:val="18"/>
        </w:rPr>
      </w:pPr>
      <w:r w:rsidRPr="003B0092">
        <w:rPr>
          <w:szCs w:val="18"/>
          <w:lang w:val="fr-FR"/>
        </w:rPr>
        <w:tab/>
      </w:r>
      <w:r w:rsidRPr="003B0092">
        <w:rPr>
          <w:rStyle w:val="FootnoteReference"/>
          <w:szCs w:val="18"/>
        </w:rPr>
        <w:footnoteRef/>
      </w:r>
      <w:r w:rsidRPr="003B0092">
        <w:rPr>
          <w:szCs w:val="18"/>
          <w:lang w:val="fr-FR"/>
        </w:rPr>
        <w:tab/>
        <w:t>http://www.unece.org/trans/danger/publi/adr/accidents.html</w:t>
      </w:r>
      <w:r w:rsidR="00E64498">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1F" w:rsidRPr="003F3C4E" w:rsidRDefault="00966645">
    <w:pPr>
      <w:pStyle w:val="Header"/>
    </w:pPr>
    <w:fldSimple w:instr=" TITLE  \* MERGEFORMAT ">
      <w:r>
        <w:t>ECE/TRANS/WP.15/2017/22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1F" w:rsidRPr="003F3C4E" w:rsidRDefault="00966645" w:rsidP="003F3C4E">
    <w:pPr>
      <w:pStyle w:val="Header"/>
      <w:jc w:val="right"/>
    </w:pPr>
    <w:fldSimple w:instr=" TITLE  \* MERGEFORMAT ">
      <w:r>
        <w:t>ECE/TRANS/WP.15/2017/22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D5"/>
    <w:rsid w:val="00000992"/>
    <w:rsid w:val="00017F94"/>
    <w:rsid w:val="00023842"/>
    <w:rsid w:val="000334F9"/>
    <w:rsid w:val="00045FEB"/>
    <w:rsid w:val="00065D3A"/>
    <w:rsid w:val="0007796D"/>
    <w:rsid w:val="00083459"/>
    <w:rsid w:val="000B7790"/>
    <w:rsid w:val="00111F2F"/>
    <w:rsid w:val="001158AC"/>
    <w:rsid w:val="0014365E"/>
    <w:rsid w:val="00143C66"/>
    <w:rsid w:val="0014410F"/>
    <w:rsid w:val="00176178"/>
    <w:rsid w:val="001F525A"/>
    <w:rsid w:val="002110A3"/>
    <w:rsid w:val="00223272"/>
    <w:rsid w:val="00240423"/>
    <w:rsid w:val="0024779E"/>
    <w:rsid w:val="00257168"/>
    <w:rsid w:val="002728BC"/>
    <w:rsid w:val="002744B8"/>
    <w:rsid w:val="002832AC"/>
    <w:rsid w:val="002C3B5B"/>
    <w:rsid w:val="002D7C93"/>
    <w:rsid w:val="00305801"/>
    <w:rsid w:val="0030789F"/>
    <w:rsid w:val="00336C24"/>
    <w:rsid w:val="003916DE"/>
    <w:rsid w:val="003B0092"/>
    <w:rsid w:val="003E6D77"/>
    <w:rsid w:val="003F3C4E"/>
    <w:rsid w:val="003F71B8"/>
    <w:rsid w:val="00441C3B"/>
    <w:rsid w:val="00446FE5"/>
    <w:rsid w:val="00450684"/>
    <w:rsid w:val="00452396"/>
    <w:rsid w:val="004837D8"/>
    <w:rsid w:val="004A062F"/>
    <w:rsid w:val="004E468C"/>
    <w:rsid w:val="004E5CAD"/>
    <w:rsid w:val="005505B7"/>
    <w:rsid w:val="0055208E"/>
    <w:rsid w:val="00573BE5"/>
    <w:rsid w:val="00586ED3"/>
    <w:rsid w:val="00596AA9"/>
    <w:rsid w:val="005B213D"/>
    <w:rsid w:val="005D30A7"/>
    <w:rsid w:val="005E7CDB"/>
    <w:rsid w:val="00612A3E"/>
    <w:rsid w:val="00644254"/>
    <w:rsid w:val="006750E9"/>
    <w:rsid w:val="007134EE"/>
    <w:rsid w:val="0071601D"/>
    <w:rsid w:val="00763F10"/>
    <w:rsid w:val="007738DB"/>
    <w:rsid w:val="007863A6"/>
    <w:rsid w:val="007920C7"/>
    <w:rsid w:val="00795F33"/>
    <w:rsid w:val="007A62E6"/>
    <w:rsid w:val="007F20FA"/>
    <w:rsid w:val="0080684C"/>
    <w:rsid w:val="00871C75"/>
    <w:rsid w:val="008776DC"/>
    <w:rsid w:val="008A0908"/>
    <w:rsid w:val="009446C0"/>
    <w:rsid w:val="00966645"/>
    <w:rsid w:val="009705C8"/>
    <w:rsid w:val="00987C10"/>
    <w:rsid w:val="009C1CF4"/>
    <w:rsid w:val="009C3578"/>
    <w:rsid w:val="009F6B74"/>
    <w:rsid w:val="00A01840"/>
    <w:rsid w:val="00A30353"/>
    <w:rsid w:val="00AC3823"/>
    <w:rsid w:val="00AE323C"/>
    <w:rsid w:val="00AF0CB5"/>
    <w:rsid w:val="00B00181"/>
    <w:rsid w:val="00B00B0D"/>
    <w:rsid w:val="00B758BD"/>
    <w:rsid w:val="00B765F7"/>
    <w:rsid w:val="00BA0CA9"/>
    <w:rsid w:val="00BC22B4"/>
    <w:rsid w:val="00BE17D5"/>
    <w:rsid w:val="00BF664D"/>
    <w:rsid w:val="00C02897"/>
    <w:rsid w:val="00C2623B"/>
    <w:rsid w:val="00C65F16"/>
    <w:rsid w:val="00C80823"/>
    <w:rsid w:val="00C87C1B"/>
    <w:rsid w:val="00C97039"/>
    <w:rsid w:val="00CA323E"/>
    <w:rsid w:val="00D11B82"/>
    <w:rsid w:val="00D3439C"/>
    <w:rsid w:val="00D815C0"/>
    <w:rsid w:val="00DB1831"/>
    <w:rsid w:val="00DC2D6A"/>
    <w:rsid w:val="00DD3BFD"/>
    <w:rsid w:val="00DD77D6"/>
    <w:rsid w:val="00DE6CA4"/>
    <w:rsid w:val="00DF6678"/>
    <w:rsid w:val="00E0299A"/>
    <w:rsid w:val="00E11D19"/>
    <w:rsid w:val="00E4729F"/>
    <w:rsid w:val="00E64498"/>
    <w:rsid w:val="00E76616"/>
    <w:rsid w:val="00E85C74"/>
    <w:rsid w:val="00EA6547"/>
    <w:rsid w:val="00EF2E22"/>
    <w:rsid w:val="00EF7734"/>
    <w:rsid w:val="00F35BAF"/>
    <w:rsid w:val="00F5091F"/>
    <w:rsid w:val="00F660DF"/>
    <w:rsid w:val="00F94664"/>
    <w:rsid w:val="00F9573C"/>
    <w:rsid w:val="00F95C08"/>
    <w:rsid w:val="00FA3D06"/>
    <w:rsid w:val="00FA76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BBEBAE-E313-4412-B6D6-94AA39EC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728BC"/>
    <w:rPr>
      <w:rFonts w:ascii="Times New Roman" w:eastAsiaTheme="minorHAnsi" w:hAnsi="Times New Roman" w:cs="Times New Roman"/>
      <w:sz w:val="20"/>
      <w:szCs w:val="20"/>
      <w:lang w:eastAsia="en-US"/>
    </w:rPr>
  </w:style>
  <w:style w:type="character" w:customStyle="1" w:styleId="HChGChar">
    <w:name w:val="_ H _Ch_G Char"/>
    <w:link w:val="HChG"/>
    <w:locked/>
    <w:rsid w:val="002728BC"/>
    <w:rPr>
      <w:rFonts w:ascii="Times New Roman" w:eastAsiaTheme="minorHAnsi" w:hAnsi="Times New Roman" w:cs="Times New Roman"/>
      <w:b/>
      <w:sz w:val="28"/>
      <w:szCs w:val="20"/>
      <w:lang w:eastAsia="en-US"/>
    </w:rPr>
  </w:style>
  <w:style w:type="character" w:customStyle="1" w:styleId="H1GChar">
    <w:name w:val="_ H_1_G Char"/>
    <w:link w:val="H1G"/>
    <w:rsid w:val="002728BC"/>
    <w:rPr>
      <w:rFonts w:ascii="Times New Roman" w:eastAsiaTheme="minorHAnsi" w:hAnsi="Times New Roman" w:cs="Times New Roman"/>
      <w:b/>
      <w:sz w:val="24"/>
      <w:szCs w:val="20"/>
      <w:lang w:eastAsia="en-US"/>
    </w:rPr>
  </w:style>
  <w:style w:type="character" w:customStyle="1" w:styleId="H23GChar">
    <w:name w:val="_ H_2/3_G Char"/>
    <w:link w:val="H23G"/>
    <w:rsid w:val="002728BC"/>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2983</Words>
  <Characters>17008</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ECE/TRANS/WP.15/2017/22</vt:lpstr>
      <vt:lpstr>ECE/TRANS/WP.15/2017/22</vt:lpstr>
    </vt:vector>
  </TitlesOfParts>
  <Company>DCM</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ECE/TRANS/WP.15/2017/22</dc:title>
  <dc:subject/>
  <dc:creator>Nicolas MORIN</dc:creator>
  <cp:keywords/>
  <cp:lastModifiedBy>Christine Barrio-Champeau</cp:lastModifiedBy>
  <cp:revision>2</cp:revision>
  <cp:lastPrinted>2017-09-14T07:28:00Z</cp:lastPrinted>
  <dcterms:created xsi:type="dcterms:W3CDTF">2017-09-20T13:38:00Z</dcterms:created>
  <dcterms:modified xsi:type="dcterms:W3CDTF">2017-09-20T13:38:00Z</dcterms:modified>
</cp:coreProperties>
</file>