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762C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762C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762C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762C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07C94">
              <w:fldChar w:fldCharType="begin"/>
            </w:r>
            <w:r w:rsidR="00307C94">
              <w:instrText xml:space="preserve"> FILLIN  "Введите символ после ЕCE/"  \* MERGEFORMAT </w:instrText>
            </w:r>
            <w:r w:rsidR="00307C94">
              <w:fldChar w:fldCharType="separate"/>
            </w:r>
            <w:r w:rsidR="00FB71E3">
              <w:t>TRANS/WP.15/235</w:t>
            </w:r>
            <w:r w:rsidR="00307C9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FB71E3" w:rsidTr="00F762C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762CB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762C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B71E3" w:rsidRDefault="00A658DB" w:rsidP="00F762CB">
            <w:pPr>
              <w:spacing w:before="240"/>
              <w:rPr>
                <w:lang w:val="en-US"/>
              </w:rPr>
            </w:pPr>
            <w:r w:rsidRPr="00FB71E3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B71E3">
              <w:rPr>
                <w:lang w:val="en-US"/>
              </w:rPr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FB71E3" w:rsidRDefault="00FB71E3" w:rsidP="00F762CB">
            <w:pPr>
              <w:rPr>
                <w:lang w:val="en-US"/>
              </w:rPr>
            </w:pPr>
            <w:r>
              <w:rPr>
                <w:lang w:val="en-US"/>
              </w:rPr>
              <w:t>30 November 2016</w:t>
            </w:r>
            <w:r w:rsidR="00A658DB" w:rsidRPr="00245892">
              <w:fldChar w:fldCharType="begin"/>
            </w:r>
            <w:r w:rsidR="00A658DB" w:rsidRPr="00FB71E3">
              <w:rPr>
                <w:lang w:val="en-US"/>
              </w:rPr>
              <w:instrText xml:space="preserve"> FILLIN  "</w:instrText>
            </w:r>
            <w:r w:rsidR="00A658DB" w:rsidRPr="00245892">
              <w:instrText>Введите</w:instrText>
            </w:r>
            <w:r w:rsidR="00A658DB" w:rsidRPr="00FB71E3">
              <w:rPr>
                <w:lang w:val="en-US"/>
              </w:rPr>
              <w:instrText xml:space="preserve"> </w:instrText>
            </w:r>
            <w:r w:rsidR="00A658DB" w:rsidRPr="00245892">
              <w:instrText>дату</w:instrText>
            </w:r>
            <w:r w:rsidR="00A658DB" w:rsidRPr="00FB71E3">
              <w:rPr>
                <w:lang w:val="en-US"/>
              </w:rPr>
              <w:instrText xml:space="preserve"> </w:instrText>
            </w:r>
            <w:r w:rsidR="00A658DB" w:rsidRPr="00245892">
              <w:instrText>документа</w:instrText>
            </w:r>
            <w:r w:rsidR="00A658DB" w:rsidRPr="00FB71E3">
              <w:rPr>
                <w:lang w:val="en-US"/>
              </w:rPr>
              <w:instrText xml:space="preserve">" \* MERGEFORMAT </w:instrText>
            </w:r>
            <w:r w:rsidR="00A658DB" w:rsidRPr="00245892">
              <w:fldChar w:fldCharType="end"/>
            </w:r>
          </w:p>
          <w:p w:rsidR="00A658DB" w:rsidRPr="00FB71E3" w:rsidRDefault="00A658DB" w:rsidP="00F762CB">
            <w:pPr>
              <w:rPr>
                <w:lang w:val="en-US"/>
              </w:rPr>
            </w:pPr>
            <w:r w:rsidRPr="00FB71E3">
              <w:rPr>
                <w:lang w:val="en-US"/>
              </w:rPr>
              <w:t>Russian</w:t>
            </w:r>
          </w:p>
          <w:p w:rsidR="00A658DB" w:rsidRPr="00FB71E3" w:rsidRDefault="00A658DB" w:rsidP="00F762CB">
            <w:pPr>
              <w:rPr>
                <w:lang w:val="en-US"/>
              </w:rPr>
            </w:pPr>
            <w:r w:rsidRPr="00FB71E3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B71E3">
              <w:rPr>
                <w:lang w:val="en-US"/>
              </w:rPr>
              <w:instrText xml:space="preserve"> FORMDROPDOWN </w:instrText>
            </w:r>
            <w:r w:rsidRPr="00245892">
              <w:fldChar w:fldCharType="end"/>
            </w:r>
            <w:bookmarkEnd w:id="2"/>
            <w:r w:rsidR="00FB71E3">
              <w:rPr>
                <w:lang w:val="en-US"/>
              </w:rPr>
              <w:t xml:space="preserve"> and French</w:t>
            </w:r>
          </w:p>
          <w:p w:rsidR="00A658DB" w:rsidRPr="00FB71E3" w:rsidRDefault="00A658DB" w:rsidP="00F762CB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71E3" w:rsidRPr="00FB71E3" w:rsidRDefault="00FB71E3" w:rsidP="00FB71E3">
      <w:pPr>
        <w:spacing w:before="120" w:line="240" w:lineRule="auto"/>
        <w:rPr>
          <w:sz w:val="28"/>
          <w:szCs w:val="28"/>
        </w:rPr>
      </w:pPr>
      <w:r w:rsidRPr="00FB71E3">
        <w:rPr>
          <w:sz w:val="28"/>
          <w:szCs w:val="28"/>
        </w:rPr>
        <w:t>Комитет по внутреннему транспорту</w:t>
      </w:r>
    </w:p>
    <w:p w:rsidR="00FB71E3" w:rsidRPr="00FB71E3" w:rsidRDefault="00FB71E3" w:rsidP="00FB71E3">
      <w:pPr>
        <w:spacing w:before="120" w:line="240" w:lineRule="auto"/>
        <w:rPr>
          <w:b/>
          <w:sz w:val="24"/>
          <w:szCs w:val="24"/>
        </w:rPr>
      </w:pPr>
      <w:r w:rsidRPr="00FB71E3">
        <w:rPr>
          <w:b/>
          <w:sz w:val="24"/>
          <w:szCs w:val="24"/>
        </w:rPr>
        <w:t>Рабочая группа по перевозкам опасных грузов</w:t>
      </w:r>
    </w:p>
    <w:p w:rsidR="00FB71E3" w:rsidRPr="00FB71E3" w:rsidRDefault="00FB71E3" w:rsidP="00FB71E3">
      <w:pPr>
        <w:pStyle w:val="HChGR"/>
      </w:pPr>
      <w:r w:rsidRPr="00FB71E3">
        <w:tab/>
      </w:r>
      <w:r w:rsidRPr="00FB71E3">
        <w:tab/>
        <w:t>Доклад Рабочей группы о работе ее 101-й сессии,</w:t>
      </w:r>
    </w:p>
    <w:p w:rsidR="00FB71E3" w:rsidRPr="00067046" w:rsidRDefault="00FB71E3" w:rsidP="00FB71E3">
      <w:pPr>
        <w:pStyle w:val="SingleTxtGR"/>
      </w:pPr>
      <w:r w:rsidRPr="00FB71E3">
        <w:t>состоявшейся в Женеве 8−10 ноября 2016 года</w:t>
      </w:r>
    </w:p>
    <w:p w:rsidR="00FB71E3" w:rsidRPr="00067046" w:rsidRDefault="00FB71E3" w:rsidP="00FB71E3">
      <w:pPr>
        <w:pStyle w:val="SingleTxtGR"/>
        <w:suppressAutoHyphens/>
        <w:ind w:left="0" w:right="0"/>
        <w:jc w:val="left"/>
        <w:rPr>
          <w:sz w:val="28"/>
        </w:rPr>
      </w:pPr>
      <w:r w:rsidRPr="00067046">
        <w:rPr>
          <w:sz w:val="28"/>
        </w:rPr>
        <w:t>Содержание</w:t>
      </w:r>
    </w:p>
    <w:p w:rsidR="00FB71E3" w:rsidRPr="00067046" w:rsidRDefault="00FB71E3" w:rsidP="00FB71E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067046">
        <w:rPr>
          <w:i/>
          <w:sz w:val="18"/>
        </w:rPr>
        <w:tab/>
        <w:t>Пункты</w:t>
      </w:r>
      <w:r w:rsidRPr="00067046">
        <w:rPr>
          <w:i/>
          <w:sz w:val="18"/>
        </w:rPr>
        <w:tab/>
        <w:t>Стр.</w:t>
      </w:r>
    </w:p>
    <w:p w:rsidR="00FB71E3" w:rsidRPr="0081006C" w:rsidRDefault="00F05437" w:rsidP="00FB71E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067046">
        <w:tab/>
      </w:r>
      <w:r>
        <w:rPr>
          <w:lang w:val="en-US"/>
        </w:rPr>
        <w:t>I</w:t>
      </w:r>
      <w:r w:rsidRPr="0081006C">
        <w:t>.</w:t>
      </w:r>
      <w:r w:rsidRPr="0081006C">
        <w:tab/>
      </w:r>
      <w:r w:rsidRPr="00F05437">
        <w:t>Участники</w:t>
      </w:r>
      <w:r w:rsidRPr="0081006C">
        <w:tab/>
      </w:r>
      <w:r w:rsidRPr="0081006C">
        <w:tab/>
        <w:t>1–6</w:t>
      </w:r>
      <w:r w:rsidRPr="0081006C">
        <w:tab/>
      </w:r>
      <w:r w:rsidR="0081006C">
        <w:t>4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  <w:t>II.</w:t>
      </w:r>
      <w:r w:rsidRPr="00FB71E3">
        <w:tab/>
        <w:t>Утверждение повестки дня (пункт 1 повестки дня)</w:t>
      </w:r>
      <w:r w:rsidRPr="00FB71E3">
        <w:tab/>
      </w:r>
      <w:r w:rsidRPr="00FB71E3">
        <w:tab/>
        <w:t>7</w:t>
      </w:r>
      <w:r w:rsidRPr="00FB71E3">
        <w:tab/>
      </w:r>
      <w:r w:rsidR="0081006C">
        <w:t>4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  <w:t>III.</w:t>
      </w:r>
      <w:r w:rsidRPr="00FB71E3">
        <w:tab/>
        <w:t xml:space="preserve">Семьдесят восьмая сессия Комитета по внутреннему транспорту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="00F05437">
        <w:t>(пункт 2 повестки дня)</w:t>
      </w:r>
      <w:r w:rsidR="00F05437">
        <w:tab/>
      </w:r>
      <w:r w:rsidR="00F05437">
        <w:tab/>
        <w:t>8</w:t>
      </w:r>
      <w:r w:rsidR="00F05437" w:rsidRPr="00F05437">
        <w:t>–</w:t>
      </w:r>
      <w:r w:rsidRPr="00FB71E3">
        <w:t>11</w:t>
      </w:r>
      <w:r w:rsidRPr="00FB71E3">
        <w:tab/>
      </w:r>
      <w:r w:rsidR="0081006C">
        <w:t>4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  <w:t>IV.</w:t>
      </w:r>
      <w:r w:rsidRPr="00FB71E3">
        <w:tab/>
        <w:t xml:space="preserve">Состояние Европейского соглашения о международной дорожной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Pr="00FB71E3">
        <w:t xml:space="preserve">перевозке опасных грузов (ДОПОГ) и связанные с этим вопросы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Pr="00FB71E3">
        <w:t>(пункт 3 повестки дня)</w:t>
      </w:r>
      <w:r w:rsidRPr="00FB71E3">
        <w:tab/>
      </w:r>
      <w:r w:rsidRPr="00FB71E3">
        <w:tab/>
        <w:t>12</w:t>
      </w:r>
      <w:r w:rsidR="00F05437" w:rsidRPr="00F05437">
        <w:t>–</w:t>
      </w:r>
      <w:r w:rsidRPr="00FB71E3">
        <w:t>14</w:t>
      </w:r>
      <w:r w:rsidRPr="00FB71E3">
        <w:tab/>
      </w:r>
      <w:r w:rsidR="0081006C">
        <w:t>5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  <w:t>A.</w:t>
      </w:r>
      <w:r w:rsidRPr="00FB71E3">
        <w:tab/>
        <w:t>Состояние Соглашения</w:t>
      </w:r>
      <w:r w:rsidRPr="00FB71E3">
        <w:tab/>
      </w:r>
      <w:r w:rsidRPr="00FB71E3">
        <w:tab/>
        <w:t>12</w:t>
      </w:r>
      <w:r w:rsidR="00F05437" w:rsidRPr="0081006C">
        <w:t>–</w:t>
      </w:r>
      <w:r w:rsidRPr="00FB71E3">
        <w:t>13</w:t>
      </w:r>
      <w:r w:rsidRPr="00FB71E3">
        <w:tab/>
      </w:r>
      <w:r w:rsidR="0081006C">
        <w:t>5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  <w:t>B.</w:t>
      </w:r>
      <w:r w:rsidRPr="00FB71E3">
        <w:tab/>
        <w:t>Протокол о внесении поправок 1993 года</w:t>
      </w:r>
      <w:r w:rsidRPr="00FB71E3">
        <w:tab/>
      </w:r>
      <w:r w:rsidRPr="00FB71E3">
        <w:tab/>
        <w:t>14</w:t>
      </w:r>
      <w:r w:rsidRPr="00FB71E3">
        <w:tab/>
      </w:r>
      <w:r w:rsidR="0081006C">
        <w:t>5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  <w:t>V.</w:t>
      </w:r>
      <w:r w:rsidRPr="00FB71E3">
        <w:tab/>
        <w:t>Работа Со</w:t>
      </w:r>
      <w:r w:rsidR="00067046">
        <w:t>вместного совещания МПОГ/ДОПОГ/</w:t>
      </w:r>
      <w:r w:rsidRPr="00FB71E3">
        <w:t xml:space="preserve">ВОПОГ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Pr="00FB71E3">
        <w:t>(пункт 4 повестки дня)</w:t>
      </w:r>
      <w:r w:rsidRPr="00FB71E3">
        <w:tab/>
      </w:r>
      <w:r w:rsidRPr="00FB71E3">
        <w:tab/>
        <w:t>15</w:t>
      </w:r>
      <w:r w:rsidR="00F05437" w:rsidRPr="00F05437">
        <w:t>–</w:t>
      </w:r>
      <w:r w:rsidRPr="00FB71E3">
        <w:t>17</w:t>
      </w:r>
      <w:r w:rsidRPr="00FB71E3">
        <w:tab/>
      </w:r>
      <w:r w:rsidR="0081006C">
        <w:t>5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  <w:t>A.</w:t>
      </w:r>
      <w:r w:rsidRPr="00FB71E3">
        <w:tab/>
        <w:t xml:space="preserve">Поправки, предложенные Совместным совещанием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="00F05437" w:rsidRPr="00F05437">
        <w:tab/>
      </w:r>
      <w:r w:rsidRPr="00FB71E3">
        <w:t>на его весенней сессии 2016 года</w:t>
      </w:r>
      <w:r w:rsidRPr="00FB71E3">
        <w:tab/>
      </w:r>
      <w:r w:rsidRPr="00FB71E3">
        <w:tab/>
        <w:t>15</w:t>
      </w:r>
      <w:r w:rsidRPr="00FB71E3">
        <w:tab/>
      </w:r>
      <w:r w:rsidR="0081006C">
        <w:t>5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  <w:t>B.</w:t>
      </w:r>
      <w:r w:rsidRPr="00FB71E3">
        <w:tab/>
        <w:t xml:space="preserve">Исправления, предложенные Совместным совещанием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="00F05437" w:rsidRPr="00F05437">
        <w:tab/>
      </w:r>
      <w:r w:rsidRPr="00FB71E3">
        <w:t>на его осенней сессии 2016 года</w:t>
      </w:r>
      <w:r w:rsidRPr="00FB71E3">
        <w:tab/>
      </w:r>
      <w:r w:rsidRPr="00FB71E3">
        <w:tab/>
        <w:t>16</w:t>
      </w:r>
      <w:r w:rsidR="00F05437" w:rsidRPr="00F05437">
        <w:t>–</w:t>
      </w:r>
      <w:r w:rsidRPr="00FB71E3">
        <w:t>17</w:t>
      </w:r>
      <w:r w:rsidRPr="00FB71E3">
        <w:tab/>
      </w:r>
      <w:r w:rsidR="0081006C">
        <w:t>6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  <w:t>VI.</w:t>
      </w:r>
      <w:r w:rsidRPr="00FB71E3">
        <w:tab/>
        <w:t xml:space="preserve">Предложения о внесении поправок в приложения A и B 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Pr="00FB71E3">
        <w:t>к ДОПОГ (пункт 5 повестки дня)</w:t>
      </w:r>
      <w:r w:rsidRPr="00FB71E3">
        <w:tab/>
      </w:r>
      <w:r w:rsidRPr="00FB71E3">
        <w:tab/>
        <w:t>18</w:t>
      </w:r>
      <w:r w:rsidR="00F05437" w:rsidRPr="00F05437">
        <w:t>–</w:t>
      </w:r>
      <w:r w:rsidRPr="00FB71E3">
        <w:t>36</w:t>
      </w:r>
      <w:r w:rsidRPr="00FB71E3">
        <w:tab/>
      </w:r>
      <w:r w:rsidR="0081006C">
        <w:t>6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  <w:t>A.</w:t>
      </w:r>
      <w:r w:rsidRPr="00FB71E3">
        <w:tab/>
        <w:t>Конструкция и допущение к перевозке транспортных средств</w:t>
      </w:r>
      <w:r w:rsidRPr="00FB71E3">
        <w:tab/>
      </w:r>
      <w:r w:rsidRPr="00FB71E3">
        <w:tab/>
        <w:t>18</w:t>
      </w:r>
      <w:r w:rsidR="00F05437" w:rsidRPr="00F05437">
        <w:t>–</w:t>
      </w:r>
      <w:r w:rsidRPr="00FB71E3">
        <w:t>23</w:t>
      </w:r>
      <w:r w:rsidRPr="00FB71E3">
        <w:tab/>
      </w:r>
      <w:r w:rsidR="0081006C">
        <w:t>6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</w:r>
      <w:r w:rsidRPr="00FB71E3">
        <w:tab/>
        <w:t>1.</w:t>
      </w:r>
      <w:r w:rsidRPr="00FB71E3">
        <w:tab/>
        <w:t>Поправка к таблице в пункте 9.2.1.1</w:t>
      </w:r>
      <w:r w:rsidRPr="00FB71E3">
        <w:tab/>
      </w:r>
      <w:r w:rsidRPr="00FB71E3">
        <w:tab/>
        <w:t>18</w:t>
      </w:r>
      <w:r w:rsidR="00F05437" w:rsidRPr="00F05437">
        <w:t>–</w:t>
      </w:r>
      <w:r w:rsidRPr="00FB71E3">
        <w:t>20</w:t>
      </w:r>
      <w:r w:rsidRPr="00FB71E3">
        <w:tab/>
      </w:r>
      <w:r w:rsidR="0081006C">
        <w:t>6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</w:r>
      <w:r w:rsidRPr="00FB71E3">
        <w:tab/>
        <w:t>2.</w:t>
      </w:r>
      <w:r w:rsidRPr="00FB71E3">
        <w:tab/>
        <w:t>Требования к креплениям</w:t>
      </w:r>
      <w:r w:rsidRPr="00FB71E3">
        <w:tab/>
      </w:r>
      <w:r w:rsidRPr="00FB71E3">
        <w:tab/>
        <w:t>21</w:t>
      </w:r>
      <w:r w:rsidRPr="00FB71E3">
        <w:tab/>
      </w:r>
      <w:r w:rsidR="0081006C">
        <w:t>6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lastRenderedPageBreak/>
        <w:tab/>
      </w:r>
      <w:r w:rsidRPr="00FB71E3">
        <w:tab/>
      </w:r>
      <w:r w:rsidRPr="00FB71E3">
        <w:tab/>
        <w:t>3.</w:t>
      </w:r>
      <w:r w:rsidRPr="00FB71E3">
        <w:tab/>
        <w:t>Исправление опечатки в тексте на английском языке</w:t>
      </w:r>
      <w:r w:rsidR="00F05437" w:rsidRPr="00F05437">
        <w:br/>
      </w:r>
      <w:r w:rsidR="00F05437" w:rsidRPr="00F05437">
        <w:tab/>
      </w:r>
      <w:r w:rsidR="00F05437" w:rsidRPr="00F05437">
        <w:tab/>
      </w:r>
      <w:r w:rsidR="00F05437" w:rsidRPr="00F05437">
        <w:tab/>
      </w:r>
      <w:r w:rsidR="00F05437" w:rsidRPr="00F05437">
        <w:tab/>
      </w:r>
      <w:r w:rsidRPr="00FB71E3">
        <w:t>в таблице 9.2.1.1</w:t>
      </w:r>
      <w:r w:rsidRPr="00FB71E3">
        <w:tab/>
      </w:r>
      <w:r w:rsidRPr="00FB71E3">
        <w:tab/>
        <w:t>22</w:t>
      </w:r>
      <w:r w:rsidRPr="00FB71E3">
        <w:tab/>
      </w:r>
      <w:r w:rsidR="0081006C">
        <w:t>7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</w:r>
      <w:r w:rsidRPr="00FB71E3">
        <w:tab/>
        <w:t>4.</w:t>
      </w:r>
      <w:r w:rsidRPr="00FB71E3">
        <w:tab/>
        <w:t xml:space="preserve">Замечание, вносимое в свидетельства о допущении </w:t>
      </w:r>
      <w:r w:rsidR="00D9275D" w:rsidRPr="00D9275D">
        <w:br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Pr="00FB71E3">
        <w:t xml:space="preserve">транспортных средств EX/III, предназначенных </w:t>
      </w:r>
      <w:r w:rsidR="00D9275D" w:rsidRPr="00D9275D">
        <w:br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Pr="00FB71E3">
        <w:t>для перевозки веществ класса 1 в цистернах</w:t>
      </w:r>
      <w:r w:rsidRPr="00FB71E3">
        <w:tab/>
      </w:r>
      <w:r w:rsidRPr="00FB71E3">
        <w:tab/>
        <w:t>23</w:t>
      </w:r>
      <w:r w:rsidRPr="00FB71E3">
        <w:tab/>
      </w:r>
      <w:r w:rsidR="0081006C">
        <w:t>7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  <w:t>B.</w:t>
      </w:r>
      <w:r w:rsidRPr="00FB71E3">
        <w:tab/>
        <w:t>Различные предложения</w:t>
      </w:r>
      <w:r w:rsidRPr="00FB71E3">
        <w:tab/>
      </w:r>
      <w:r w:rsidRPr="00FB71E3">
        <w:tab/>
      </w:r>
      <w:r w:rsidR="00D9275D">
        <w:t>24</w:t>
      </w:r>
      <w:r w:rsidR="00D9275D" w:rsidRPr="00D9275D">
        <w:t>–</w:t>
      </w:r>
      <w:r w:rsidRPr="00FB71E3">
        <w:t>36</w:t>
      </w:r>
      <w:r w:rsidRPr="00FB71E3">
        <w:tab/>
      </w:r>
      <w:r w:rsidR="0081006C">
        <w:t>7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</w:r>
      <w:r w:rsidRPr="00FB71E3">
        <w:tab/>
        <w:t>1.</w:t>
      </w:r>
      <w:r w:rsidRPr="00FB71E3">
        <w:tab/>
        <w:t xml:space="preserve">Предложения об изменении подраздела 1.1.3.6 </w:t>
      </w:r>
      <w:r w:rsidR="00D9275D" w:rsidRPr="00D9275D">
        <w:br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Pr="00FB71E3">
        <w:t>и пункта 5.4.1.1.1 f)</w:t>
      </w:r>
      <w:r w:rsidRPr="00FB71E3">
        <w:tab/>
      </w:r>
      <w:r w:rsidRPr="00FB71E3">
        <w:tab/>
        <w:t>24</w:t>
      </w:r>
      <w:r w:rsidRPr="00FB71E3">
        <w:tab/>
      </w:r>
      <w:r w:rsidR="0081006C">
        <w:t>7</w:t>
      </w:r>
    </w:p>
    <w:p w:rsidR="00FB71E3" w:rsidRPr="00FB71E3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</w:r>
      <w:r w:rsidRPr="00FB71E3">
        <w:tab/>
        <w:t>2.</w:t>
      </w:r>
      <w:r w:rsidRPr="00FB71E3">
        <w:tab/>
        <w:t xml:space="preserve">Совместная погрузка в смесительно-зарядные машины </w:t>
      </w:r>
      <w:r w:rsidR="00D9275D" w:rsidRPr="00D9275D">
        <w:br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Pr="00FB71E3">
        <w:t>(MEMU)</w:t>
      </w:r>
      <w:r w:rsidR="00D9275D" w:rsidRPr="00D9275D">
        <w:t xml:space="preserve"> </w:t>
      </w:r>
      <w:r w:rsidRPr="00FB71E3">
        <w:t xml:space="preserve">эмульсий нитрата аммония под № ООН 3375 </w:t>
      </w:r>
      <w:r w:rsidR="00D9275D" w:rsidRPr="00D9275D">
        <w:br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="00D9275D" w:rsidRPr="00D9275D">
        <w:tab/>
      </w:r>
      <w:r w:rsidRPr="00FB71E3">
        <w:t>и бризантных взрывчатых веществ</w:t>
      </w:r>
      <w:r w:rsidR="00D9275D" w:rsidRPr="00D9275D">
        <w:t xml:space="preserve"> </w:t>
      </w:r>
      <w:r w:rsidRPr="00FB71E3">
        <w:t>– пункт 7.5.5.2.3 f)</w:t>
      </w:r>
      <w:r w:rsidRPr="00FB71E3">
        <w:tab/>
      </w:r>
      <w:r w:rsidRPr="00FB71E3">
        <w:tab/>
        <w:t>25</w:t>
      </w:r>
      <w:r w:rsidRPr="00FB71E3">
        <w:tab/>
      </w:r>
      <w:r w:rsidR="0081006C">
        <w:t>7</w:t>
      </w:r>
    </w:p>
    <w:p w:rsidR="00FB71E3" w:rsidRPr="00BF2D1F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B71E3">
        <w:tab/>
      </w:r>
      <w:r w:rsidRPr="00FB71E3">
        <w:tab/>
      </w:r>
      <w:r w:rsidRPr="00FB71E3">
        <w:tab/>
      </w:r>
      <w:r w:rsidRPr="00F05437">
        <w:t>3.</w:t>
      </w:r>
      <w:r w:rsidRPr="00F05437">
        <w:tab/>
      </w:r>
      <w:r w:rsidRPr="00254D29">
        <w:t>Включение членов экипажа в сфер</w:t>
      </w:r>
      <w:r w:rsidR="00BF2D1F" w:rsidRPr="00BF2D1F">
        <w:t xml:space="preserve">у применения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AE7A13">
        <w:tab/>
      </w:r>
      <w:r w:rsidR="00BF2D1F" w:rsidRPr="00BF2D1F">
        <w:t>требований пунктов </w:t>
      </w:r>
      <w:r w:rsidRPr="00254D29">
        <w:t>7.5.1.1 и 7.5.1.2 ДОПОГ</w:t>
      </w:r>
      <w:r w:rsidR="00D9275D" w:rsidRPr="00BF2D1F">
        <w:tab/>
      </w:r>
      <w:r w:rsidR="00D9275D" w:rsidRPr="00BF2D1F">
        <w:tab/>
      </w:r>
      <w:r w:rsidR="00AE7A13">
        <w:t>26</w:t>
      </w:r>
      <w:r w:rsidR="0081006C">
        <w:tab/>
        <w:t>7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</w:r>
      <w:r w:rsidRPr="00F05437">
        <w:tab/>
        <w:t>4.</w:t>
      </w:r>
      <w:r w:rsidRPr="00F05437">
        <w:tab/>
      </w:r>
      <w:r w:rsidR="00BF2D1F" w:rsidRPr="00254D29">
        <w:t>Ссылка на Кодекс практики ИМО/</w:t>
      </w:r>
      <w:r w:rsidR="00BF2D1F">
        <w:t xml:space="preserve">МОТ/ЕЭК ООН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AE7A13">
        <w:tab/>
      </w:r>
      <w:r w:rsidR="00BF2D1F">
        <w:t>по укладке грузов в </w:t>
      </w:r>
      <w:r w:rsidR="00BF2D1F" w:rsidRPr="00254D29">
        <w:t xml:space="preserve">грузовые транспортные единицы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AE7A13">
        <w:tab/>
      </w:r>
      <w:r w:rsidR="00BF2D1F" w:rsidRPr="00254D29">
        <w:t>(Кодекс ГТЕ)</w:t>
      </w:r>
      <w:r w:rsidRPr="00F05437">
        <w:tab/>
      </w:r>
      <w:r w:rsidR="00D9275D" w:rsidRPr="00BF2D1F">
        <w:tab/>
      </w:r>
      <w:r w:rsidRPr="00F05437">
        <w:t>27</w:t>
      </w:r>
      <w:r w:rsidRPr="00F05437">
        <w:tab/>
      </w:r>
      <w:r w:rsidR="0081006C">
        <w:t>7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</w:r>
      <w:r w:rsidRPr="00F05437">
        <w:tab/>
        <w:t>5.</w:t>
      </w:r>
      <w:r w:rsidRPr="00F05437">
        <w:tab/>
      </w:r>
      <w:r w:rsidR="00BF2D1F" w:rsidRPr="00254D29">
        <w:t>Исправление к варианту на французском языке</w:t>
      </w:r>
      <w:r w:rsidRPr="00F05437">
        <w:tab/>
      </w:r>
      <w:r w:rsidRPr="00F05437">
        <w:tab/>
        <w:t>28</w:t>
      </w:r>
      <w:r w:rsidRPr="00F05437">
        <w:tab/>
      </w:r>
      <w:r w:rsidR="0081006C">
        <w:t>8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</w:r>
      <w:r w:rsidRPr="00F05437">
        <w:tab/>
        <w:t>6.</w:t>
      </w:r>
      <w:r w:rsidRPr="00F05437">
        <w:tab/>
      </w:r>
      <w:r w:rsidR="00BF2D1F" w:rsidRPr="00254D29">
        <w:t>Заголовок подраздела 7.5.5.3</w:t>
      </w:r>
      <w:r w:rsidRPr="00F05437">
        <w:tab/>
      </w:r>
      <w:r w:rsidRPr="00F05437">
        <w:tab/>
        <w:t>29</w:t>
      </w:r>
      <w:r w:rsidR="00F762CB" w:rsidRPr="00BF2D1F">
        <w:t>–</w:t>
      </w:r>
      <w:r w:rsidRPr="00F05437">
        <w:t>30</w:t>
      </w:r>
      <w:r w:rsidRPr="00F05437">
        <w:tab/>
      </w:r>
      <w:r w:rsidR="0081006C">
        <w:t>8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</w:r>
      <w:r w:rsidRPr="00F05437">
        <w:tab/>
        <w:t>7.</w:t>
      </w:r>
      <w:r w:rsidRPr="00F05437">
        <w:tab/>
      </w:r>
      <w:r w:rsidR="00BF2D1F" w:rsidRPr="00254D29">
        <w:t>Специальное положение 636</w:t>
      </w:r>
      <w:r w:rsidRPr="00F05437">
        <w:tab/>
      </w:r>
      <w:r w:rsidRPr="00F05437">
        <w:tab/>
        <w:t>31</w:t>
      </w:r>
      <w:r w:rsidR="00F762CB" w:rsidRPr="00BF2D1F">
        <w:t>–</w:t>
      </w:r>
      <w:r w:rsidRPr="00F05437">
        <w:t>34</w:t>
      </w:r>
      <w:r w:rsidRPr="00F05437">
        <w:tab/>
      </w:r>
      <w:r w:rsidR="0081006C">
        <w:t>8</w:t>
      </w:r>
    </w:p>
    <w:p w:rsidR="00FB71E3" w:rsidRPr="00BF2D1F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</w:r>
      <w:r w:rsidRPr="00F05437">
        <w:tab/>
        <w:t>8.</w:t>
      </w:r>
      <w:r w:rsidRPr="00F05437">
        <w:tab/>
      </w:r>
      <w:r w:rsidR="00BF2D1F" w:rsidRPr="00254D29">
        <w:t>Увеличение разрешенного к</w:t>
      </w:r>
      <w:r w:rsidR="00BF2D1F">
        <w:t xml:space="preserve">оличества взрывчатых веществ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AE7A13">
        <w:tab/>
      </w:r>
      <w:r w:rsidR="00BF2D1F">
        <w:t>на </w:t>
      </w:r>
      <w:r w:rsidR="00BF2D1F" w:rsidRPr="00254D29">
        <w:t>транспортную единицу</w:t>
      </w:r>
      <w:r w:rsidRPr="00F05437">
        <w:tab/>
      </w:r>
      <w:r w:rsidRPr="00F05437">
        <w:tab/>
      </w:r>
      <w:r w:rsidRPr="00BF2D1F">
        <w:t>35</w:t>
      </w:r>
      <w:r w:rsidR="00F762CB" w:rsidRPr="00BF2D1F">
        <w:t>–</w:t>
      </w:r>
      <w:r w:rsidRPr="00BF2D1F">
        <w:t>36</w:t>
      </w:r>
      <w:r w:rsidRPr="00BF2D1F">
        <w:tab/>
      </w:r>
      <w:r w:rsidR="0081006C">
        <w:t>8</w:t>
      </w:r>
    </w:p>
    <w:p w:rsidR="00FB71E3" w:rsidRPr="00BF2D1F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BF2D1F">
        <w:tab/>
      </w:r>
      <w:r w:rsidRPr="00254D29">
        <w:t>VII.</w:t>
      </w:r>
      <w:r w:rsidRPr="00254D29">
        <w:tab/>
      </w:r>
      <w:r w:rsidR="00BF2D1F" w:rsidRPr="00254D29">
        <w:t>Толкование ДОПОГ (пункт 6 повестки дня)</w:t>
      </w:r>
      <w:r w:rsidR="00F762CB" w:rsidRPr="00BF2D1F">
        <w:tab/>
      </w:r>
      <w:r w:rsidRPr="00BF2D1F">
        <w:tab/>
        <w:t>37</w:t>
      </w:r>
      <w:r w:rsidR="00F762CB" w:rsidRPr="00BF2D1F">
        <w:t>–</w:t>
      </w:r>
      <w:r w:rsidRPr="00BF2D1F">
        <w:t>52</w:t>
      </w:r>
      <w:r w:rsidRPr="00BF2D1F">
        <w:tab/>
      </w:r>
      <w:r w:rsidR="0081006C">
        <w:t>9</w:t>
      </w:r>
    </w:p>
    <w:p w:rsidR="00F762CB" w:rsidRPr="00BF2D1F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BF2D1F">
        <w:tab/>
      </w:r>
      <w:r w:rsidRPr="00BF2D1F">
        <w:tab/>
      </w:r>
      <w:r w:rsidRPr="00F05437">
        <w:t>A.</w:t>
      </w:r>
      <w:r w:rsidRPr="00F05437">
        <w:tab/>
      </w:r>
      <w:r w:rsidR="00BF2D1F" w:rsidRPr="00254D29">
        <w:t xml:space="preserve">Вступление в Польше в силу нового закона, требующего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BF2D1F" w:rsidRPr="00254D29">
        <w:t xml:space="preserve">указания в транспортном документе собственника опасного груза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BF2D1F" w:rsidRPr="00254D29">
        <w:t>в соответствии с главой 5.4 ДОПОГ</w:t>
      </w:r>
      <w:r w:rsidR="00F762CB" w:rsidRPr="00BF2D1F">
        <w:tab/>
      </w:r>
      <w:r w:rsidR="00F762CB" w:rsidRPr="00BF2D1F">
        <w:tab/>
      </w:r>
      <w:r w:rsidRPr="00F05437">
        <w:t>37</w:t>
      </w:r>
      <w:r w:rsidR="00F762CB" w:rsidRPr="00BF2D1F">
        <w:t>–</w:t>
      </w:r>
      <w:r w:rsidRPr="00F05437">
        <w:t>43</w:t>
      </w:r>
      <w:r w:rsidRPr="00F05437">
        <w:tab/>
      </w:r>
      <w:r w:rsidR="0081006C">
        <w:t>9</w:t>
      </w:r>
    </w:p>
    <w:p w:rsidR="00FB71E3" w:rsidRPr="00F05437" w:rsidRDefault="00F762CB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BF2D1F">
        <w:tab/>
      </w:r>
      <w:r w:rsidRPr="00BF2D1F">
        <w:tab/>
      </w:r>
      <w:r w:rsidR="00FB71E3" w:rsidRPr="00F05437">
        <w:t>B.</w:t>
      </w:r>
      <w:r w:rsidR="00FB71E3" w:rsidRPr="00F05437">
        <w:tab/>
      </w:r>
      <w:r w:rsidR="00BF2D1F" w:rsidRPr="00254D29">
        <w:t>Толкование раздела 9.2.5</w:t>
      </w:r>
      <w:r w:rsidR="00FB71E3" w:rsidRPr="00F05437">
        <w:tab/>
      </w:r>
      <w:r w:rsidRPr="00254D29">
        <w:tab/>
      </w:r>
      <w:r>
        <w:t>44</w:t>
      </w:r>
      <w:r w:rsidRPr="00254D29">
        <w:t>–</w:t>
      </w:r>
      <w:r w:rsidR="00FB71E3" w:rsidRPr="00F05437">
        <w:t>45</w:t>
      </w:r>
      <w:r w:rsidR="00FB71E3" w:rsidRPr="00F05437">
        <w:tab/>
      </w:r>
      <w:r w:rsidR="0081006C">
        <w:t>10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  <w:t>C.</w:t>
      </w:r>
      <w:r w:rsidRPr="00F05437">
        <w:tab/>
      </w:r>
      <w:r w:rsidR="00BF2D1F" w:rsidRPr="00254D29">
        <w:t>Сфера применения специального положения 601</w:t>
      </w:r>
      <w:r w:rsidRPr="00F05437">
        <w:tab/>
      </w:r>
      <w:r w:rsidR="00F762CB" w:rsidRPr="00254D29">
        <w:tab/>
      </w:r>
      <w:r w:rsidRPr="00F05437">
        <w:t>46</w:t>
      </w:r>
      <w:r w:rsidRPr="00F05437">
        <w:tab/>
      </w:r>
      <w:r w:rsidR="0081006C">
        <w:t>10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  <w:t>D.</w:t>
      </w:r>
      <w:r w:rsidRPr="00F05437">
        <w:tab/>
      </w:r>
      <w:r w:rsidR="00BF2D1F" w:rsidRPr="00254D29">
        <w:t xml:space="preserve">Необходимость включения ссылки на положения раздела 8.2.3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BF2D1F" w:rsidRPr="00254D29">
        <w:t>в главы 3.4 и 3.5</w:t>
      </w:r>
      <w:r w:rsidR="00F762CB" w:rsidRPr="00BF2D1F">
        <w:tab/>
      </w:r>
      <w:r w:rsidR="00F762CB">
        <w:tab/>
        <w:t>47</w:t>
      </w:r>
      <w:r w:rsidR="00F762CB" w:rsidRPr="00BF2D1F">
        <w:t>–</w:t>
      </w:r>
      <w:r w:rsidR="0081006C">
        <w:t>48</w:t>
      </w:r>
      <w:r w:rsidR="0081006C">
        <w:tab/>
        <w:t>11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  <w:t>E.</w:t>
      </w:r>
      <w:r w:rsidRPr="00F05437">
        <w:tab/>
      </w:r>
      <w:r w:rsidR="00254D29" w:rsidRPr="00254D29">
        <w:t>Аварийный жилет и ссылка на стандарт EN 471</w:t>
      </w:r>
      <w:r w:rsidR="00F762CB" w:rsidRPr="00254D29">
        <w:tab/>
      </w:r>
      <w:r w:rsidRPr="00F05437">
        <w:tab/>
        <w:t>49</w:t>
      </w:r>
      <w:r w:rsidR="00F762CB" w:rsidRPr="00254D29">
        <w:t>–</w:t>
      </w:r>
      <w:r w:rsidRPr="00F05437">
        <w:t>52</w:t>
      </w:r>
      <w:r w:rsidRPr="00F05437">
        <w:tab/>
      </w:r>
      <w:r w:rsidR="0081006C">
        <w:t>11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  <w:t>VIII.</w:t>
      </w:r>
      <w:r w:rsidRPr="00F05437">
        <w:tab/>
      </w:r>
      <w:r w:rsidR="00254D29" w:rsidRPr="00254D29">
        <w:t>Программа работы (пункт 7 повестки дня)</w:t>
      </w:r>
      <w:r w:rsidRPr="00F05437">
        <w:tab/>
      </w:r>
      <w:r w:rsidRPr="00F05437">
        <w:tab/>
        <w:t>53</w:t>
      </w:r>
      <w:r w:rsidRPr="00F05437">
        <w:tab/>
      </w:r>
      <w:r w:rsidR="00067046">
        <w:t>11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  <w:t>IX.</w:t>
      </w:r>
      <w:r w:rsidRPr="00F05437">
        <w:tab/>
      </w:r>
      <w:r w:rsidR="00254D29" w:rsidRPr="00254D29">
        <w:t>Выборы должностных лиц на 2017 год (пункт 8 повестки дня)</w:t>
      </w:r>
      <w:r w:rsidR="00F762CB" w:rsidRPr="00254D29">
        <w:tab/>
      </w:r>
      <w:r w:rsidRPr="00F05437">
        <w:tab/>
        <w:t>54</w:t>
      </w:r>
      <w:r w:rsidRPr="00F05437">
        <w:tab/>
        <w:t>1</w:t>
      </w:r>
      <w:r w:rsidR="0081006C">
        <w:t>2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  <w:t>X.</w:t>
      </w:r>
      <w:r w:rsidRPr="00F05437">
        <w:tab/>
      </w:r>
      <w:r w:rsidR="00254D29" w:rsidRPr="00254D29">
        <w:t>Прочие вопросы (пункт 9 повестки дня)</w:t>
      </w:r>
      <w:r w:rsidR="00F762CB">
        <w:tab/>
      </w:r>
      <w:r w:rsidR="00F762CB">
        <w:tab/>
        <w:t>55</w:t>
      </w:r>
      <w:r w:rsidR="00F762CB" w:rsidRPr="00254D29">
        <w:t>–</w:t>
      </w:r>
      <w:r w:rsidRPr="00F05437">
        <w:t>65</w:t>
      </w:r>
      <w:r w:rsidRPr="00F05437">
        <w:tab/>
        <w:t>1</w:t>
      </w:r>
      <w:r w:rsidR="0081006C">
        <w:t>2</w:t>
      </w:r>
    </w:p>
    <w:p w:rsidR="00FB71E3" w:rsidRPr="00254D29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  <w:t>A.</w:t>
      </w:r>
      <w:r w:rsidRPr="00F05437">
        <w:tab/>
      </w:r>
      <w:r w:rsidR="00254D29" w:rsidRPr="00254D29">
        <w:t>Презентация проекта ЕвроМед</w:t>
      </w:r>
      <w:r w:rsidR="00F762CB" w:rsidRPr="00254D29">
        <w:tab/>
      </w:r>
      <w:r w:rsidRPr="00F05437">
        <w:tab/>
      </w:r>
      <w:r w:rsidRPr="00254D29">
        <w:t>55</w:t>
      </w:r>
      <w:r w:rsidR="00F762CB" w:rsidRPr="00254D29">
        <w:t>–</w:t>
      </w:r>
      <w:r w:rsidRPr="00254D29">
        <w:t>57</w:t>
      </w:r>
      <w:r w:rsidRPr="00254D29">
        <w:tab/>
        <w:t>1</w:t>
      </w:r>
      <w:r w:rsidR="002A1875">
        <w:t>2</w:t>
      </w:r>
    </w:p>
    <w:p w:rsidR="00FB71E3" w:rsidRPr="00254D29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254D29">
        <w:tab/>
      </w:r>
      <w:r w:rsidRPr="00254D29">
        <w:tab/>
        <w:t>B.</w:t>
      </w:r>
      <w:r w:rsidRPr="00254D29">
        <w:tab/>
      </w:r>
      <w:r w:rsidR="00254D29" w:rsidRPr="00254D29">
        <w:t xml:space="preserve">Поправки к приложению 2 к Соглашению о международном </w:t>
      </w:r>
      <w:r w:rsidR="00AE7A13">
        <w:br/>
      </w:r>
      <w:r w:rsidR="00AE7A13">
        <w:tab/>
      </w:r>
      <w:r w:rsidR="00AE7A13">
        <w:tab/>
      </w:r>
      <w:r w:rsidR="00AE7A13">
        <w:tab/>
      </w:r>
      <w:r w:rsidR="00254D29" w:rsidRPr="00254D29">
        <w:t>железнодорожном грузовом сообщении (СМГС)</w:t>
      </w:r>
      <w:r w:rsidRPr="00254D29">
        <w:tab/>
      </w:r>
      <w:r w:rsidR="00F762CB" w:rsidRPr="00254D29">
        <w:tab/>
        <w:t>58–</w:t>
      </w:r>
      <w:r w:rsidRPr="00254D29">
        <w:t>59</w:t>
      </w:r>
      <w:r w:rsidRPr="00254D29">
        <w:tab/>
        <w:t>1</w:t>
      </w:r>
      <w:r w:rsidR="002A1875">
        <w:t>2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254D29">
        <w:tab/>
      </w:r>
      <w:r w:rsidRPr="00254D29">
        <w:tab/>
      </w:r>
      <w:r w:rsidRPr="00F05437">
        <w:t>C.</w:t>
      </w:r>
      <w:r w:rsidRPr="00F05437">
        <w:tab/>
      </w:r>
      <w:r w:rsidR="00254D29" w:rsidRPr="00254D29">
        <w:t>Уведомления о происшествиях, связанных с опасными грузами</w:t>
      </w:r>
      <w:r w:rsidR="00F762CB" w:rsidRPr="00254D29">
        <w:tab/>
      </w:r>
      <w:r w:rsidRPr="00F05437">
        <w:tab/>
        <w:t>60</w:t>
      </w:r>
      <w:r w:rsidR="00F762CB" w:rsidRPr="00254D29">
        <w:t>–</w:t>
      </w:r>
      <w:r w:rsidRPr="00F05437">
        <w:t>61</w:t>
      </w:r>
      <w:r w:rsidRPr="00F05437">
        <w:tab/>
        <w:t>1</w:t>
      </w:r>
      <w:r w:rsidR="002A1875">
        <w:t>2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</w:r>
      <w:r w:rsidRPr="00F05437">
        <w:tab/>
        <w:t>D.</w:t>
      </w:r>
      <w:r w:rsidRPr="00F05437">
        <w:tab/>
      </w:r>
      <w:r w:rsidR="00254D29" w:rsidRPr="00254D29">
        <w:t xml:space="preserve">Авария при перевозке опасных грузов и защита транспортных </w:t>
      </w:r>
      <w:r w:rsidR="000163F3">
        <w:br/>
      </w:r>
      <w:r w:rsidR="000163F3">
        <w:tab/>
      </w:r>
      <w:r w:rsidR="000163F3">
        <w:tab/>
      </w:r>
      <w:r w:rsidR="000163F3">
        <w:tab/>
      </w:r>
      <w:r w:rsidR="00254D29" w:rsidRPr="00254D29">
        <w:t>средств с задней стороны</w:t>
      </w:r>
      <w:r w:rsidR="00F762CB" w:rsidRPr="00254D29">
        <w:tab/>
      </w:r>
      <w:r w:rsidR="00F762CB" w:rsidRPr="00254D29">
        <w:tab/>
      </w:r>
      <w:r w:rsidR="00F762CB">
        <w:t>62</w:t>
      </w:r>
      <w:r w:rsidR="00F762CB" w:rsidRPr="00254D29">
        <w:t>–</w:t>
      </w:r>
      <w:r w:rsidRPr="00F05437">
        <w:t>65</w:t>
      </w:r>
      <w:r w:rsidRPr="00F05437">
        <w:tab/>
        <w:t>1</w:t>
      </w:r>
      <w:r w:rsidR="002A1875">
        <w:t>3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  <w:t>XI.</w:t>
      </w:r>
      <w:r w:rsidRPr="00F05437">
        <w:tab/>
      </w:r>
      <w:r w:rsidR="00254D29" w:rsidRPr="00254D29">
        <w:t>Утверждение доклада (пункт 10 повестки дня)</w:t>
      </w:r>
      <w:r w:rsidR="002A1875">
        <w:tab/>
      </w:r>
      <w:r w:rsidR="002A1875">
        <w:tab/>
        <w:t>66</w:t>
      </w:r>
      <w:r w:rsidR="002A1875">
        <w:tab/>
        <w:t>13</w:t>
      </w:r>
    </w:p>
    <w:p w:rsidR="00FB71E3" w:rsidRPr="00230365" w:rsidRDefault="00230365" w:rsidP="000163F3">
      <w:pPr>
        <w:pStyle w:val="SingleTxtGR"/>
        <w:pageBreakBefore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lastRenderedPageBreak/>
        <w:t>Приложения</w:t>
      </w:r>
    </w:p>
    <w:p w:rsidR="00FB71E3" w:rsidRPr="00F05437" w:rsidRDefault="00FB71E3" w:rsidP="000163F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89"/>
          <w:tab w:val="right" w:pos="8929"/>
          <w:tab w:val="right" w:pos="9638"/>
        </w:tabs>
        <w:suppressAutoHyphens/>
        <w:ind w:left="0" w:right="0"/>
        <w:jc w:val="left"/>
      </w:pPr>
      <w:r w:rsidRPr="00F05437">
        <w:tab/>
        <w:t>I.</w:t>
      </w:r>
      <w:r w:rsidRPr="00F05437">
        <w:tab/>
      </w:r>
      <w:r w:rsidR="00254D29" w:rsidRPr="00254D29">
        <w:t>Проекты поправок к приложениям А и В к ДОПОГ, принятые Рабочей</w:t>
      </w:r>
      <w:r w:rsidR="002A1875">
        <w:br/>
      </w:r>
      <w:r w:rsidR="002A1875">
        <w:tab/>
      </w:r>
      <w:r w:rsidR="002A1875">
        <w:tab/>
      </w:r>
      <w:r w:rsidR="00254D29" w:rsidRPr="00254D29">
        <w:t>группой для вступления в силу 1 января 2019 года</w:t>
      </w:r>
      <w:r w:rsidRPr="00F05437">
        <w:tab/>
      </w:r>
      <w:r w:rsidRPr="00F05437">
        <w:tab/>
      </w:r>
      <w:r w:rsidR="00230365" w:rsidRPr="00254D29">
        <w:tab/>
      </w:r>
      <w:r w:rsidRPr="00F05437">
        <w:t>1</w:t>
      </w:r>
      <w:r w:rsidR="002A1875">
        <w:t>4</w:t>
      </w:r>
    </w:p>
    <w:p w:rsidR="00FB71E3" w:rsidRPr="00F05437" w:rsidRDefault="00FB71E3" w:rsidP="000163F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uppressAutoHyphens/>
        <w:ind w:left="0" w:right="0"/>
        <w:jc w:val="left"/>
      </w:pPr>
      <w:r w:rsidRPr="00F05437">
        <w:tab/>
        <w:t>II.</w:t>
      </w:r>
      <w:r w:rsidRPr="00F05437">
        <w:tab/>
      </w:r>
      <w:r w:rsidRPr="00254D29">
        <w:t>Исправлени</w:t>
      </w:r>
      <w:r w:rsidR="00254D29" w:rsidRPr="00254D29">
        <w:t>я к приложениям А и В к ДОПОГ с </w:t>
      </w:r>
      <w:r w:rsidRPr="00254D29">
        <w:t xml:space="preserve">внесенными в них </w:t>
      </w:r>
      <w:r w:rsidR="002A1875">
        <w:br/>
      </w:r>
      <w:r w:rsidR="002A1875">
        <w:tab/>
      </w:r>
      <w:r w:rsidR="002A1875">
        <w:tab/>
      </w:r>
      <w:r w:rsidRPr="00254D29">
        <w:t>поправками, всту</w:t>
      </w:r>
      <w:r w:rsidR="00254D29" w:rsidRPr="00254D29">
        <w:t>пающими в </w:t>
      </w:r>
      <w:r w:rsidRPr="00254D29">
        <w:t>силу 1 января 2017 года</w:t>
      </w:r>
      <w:r w:rsidR="00230365" w:rsidRPr="00254D29">
        <w:tab/>
      </w:r>
      <w:r w:rsidR="002A1875">
        <w:tab/>
        <w:t>16</w:t>
      </w:r>
    </w:p>
    <w:p w:rsidR="00FB71E3" w:rsidRPr="00F05437" w:rsidRDefault="00FB71E3" w:rsidP="00F054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F05437">
        <w:br w:type="page"/>
      </w:r>
    </w:p>
    <w:p w:rsidR="00FB71E3" w:rsidRPr="00FB71E3" w:rsidRDefault="00FB71E3" w:rsidP="009627D2">
      <w:pPr>
        <w:pStyle w:val="HChGR"/>
      </w:pPr>
      <w:r w:rsidRPr="00254D29">
        <w:lastRenderedPageBreak/>
        <w:tab/>
      </w:r>
      <w:r w:rsidRPr="00FB71E3">
        <w:t>I.</w:t>
      </w:r>
      <w:r w:rsidRPr="00FB71E3">
        <w:tab/>
        <w:t>Участники</w:t>
      </w:r>
    </w:p>
    <w:p w:rsidR="00FB71E3" w:rsidRPr="00FB71E3" w:rsidRDefault="00FB71E3" w:rsidP="00BF03BF">
      <w:pPr>
        <w:pStyle w:val="SingleTxtGR"/>
      </w:pPr>
      <w:r w:rsidRPr="00FB71E3">
        <w:t>1.</w:t>
      </w:r>
      <w:r w:rsidRPr="00FB71E3">
        <w:tab/>
        <w:t>Рабочая группа по перевозкам опасных грузов провела свою 101-ю се</w:t>
      </w:r>
      <w:r w:rsidRPr="00FB71E3">
        <w:t>с</w:t>
      </w:r>
      <w:r w:rsidRPr="00FB71E3">
        <w:t>сию 8−10 ноября 2016 года под руководством Председателя г-на Ж.А. Франку (Португалия) и заместителя Председателя г-жи А. Румье (Франция).</w:t>
      </w:r>
      <w:r w:rsidR="000163F3">
        <w:t xml:space="preserve"> </w:t>
      </w:r>
    </w:p>
    <w:p w:rsidR="00FB71E3" w:rsidRPr="00FB71E3" w:rsidRDefault="00FB71E3" w:rsidP="00BF03BF">
      <w:pPr>
        <w:pStyle w:val="SingleTxtGR"/>
      </w:pPr>
      <w:r w:rsidRPr="00FB71E3">
        <w:t>2.</w:t>
      </w:r>
      <w:r w:rsidRPr="00FB71E3">
        <w:tab/>
        <w:t>В работе сессии приняли участие представители следующих стран: А</w:t>
      </w:r>
      <w:r w:rsidRPr="00FB71E3">
        <w:t>в</w:t>
      </w:r>
      <w:r w:rsidRPr="00FB71E3">
        <w:t>стрии, Бельгии, Венгрии, Германии, Грузии, Дании, Израиля, Испании, Италии, Латвии, Люксембурга, Мальты, Нидерландов, Норвегии, Польши, Португалии, Российской Федерации, Румынии, Словакии, Соединенного Королевства, Ту</w:t>
      </w:r>
      <w:r w:rsidRPr="00FB71E3">
        <w:t>р</w:t>
      </w:r>
      <w:r w:rsidRPr="00FB71E3">
        <w:t>ции, Финляндии, Франции, Чехии, Швейцарии и Швеции.</w:t>
      </w:r>
    </w:p>
    <w:p w:rsidR="00FB71E3" w:rsidRPr="00FB71E3" w:rsidRDefault="00FB71E3" w:rsidP="00BF03BF">
      <w:pPr>
        <w:pStyle w:val="SingleTxtGR"/>
      </w:pPr>
      <w:r w:rsidRPr="00FB71E3">
        <w:t>3.</w:t>
      </w:r>
      <w:r w:rsidRPr="00FB71E3">
        <w:tab/>
        <w:t>На основании пункта 11 Положения о круге ведения Европейской экон</w:t>
      </w:r>
      <w:r w:rsidRPr="00FB71E3">
        <w:t>о</w:t>
      </w:r>
      <w:r w:rsidRPr="00FB71E3">
        <w:t>мической комиссии в работе сессии также приняли участие представители А</w:t>
      </w:r>
      <w:r w:rsidRPr="00FB71E3">
        <w:t>л</w:t>
      </w:r>
      <w:r w:rsidRPr="00FB71E3">
        <w:t>жира, Иордании и Туниса. Тунис участвовал в работе сессии в качестве полн</w:t>
      </w:r>
      <w:r w:rsidRPr="00FB71E3">
        <w:t>о</w:t>
      </w:r>
      <w:r w:rsidRPr="00FB71E3">
        <w:t>правного члена при рассмотрении вопросов, касающихся Европейского согл</w:t>
      </w:r>
      <w:r w:rsidRPr="00FB71E3">
        <w:t>а</w:t>
      </w:r>
      <w:r w:rsidRPr="00FB71E3">
        <w:t>шения о международной дорожной перевозке опасных грузов (ДОПОГ), в соо</w:t>
      </w:r>
      <w:r w:rsidRPr="00FB71E3">
        <w:t>т</w:t>
      </w:r>
      <w:r w:rsidRPr="00FB71E3">
        <w:t>ветствии с правилом 1 b) правил процедуры Рабочей группы.</w:t>
      </w:r>
    </w:p>
    <w:p w:rsidR="00FB71E3" w:rsidRPr="00FB71E3" w:rsidRDefault="00FB71E3" w:rsidP="00BF03BF">
      <w:pPr>
        <w:pStyle w:val="SingleTxtGR"/>
      </w:pPr>
      <w:r w:rsidRPr="00FB71E3">
        <w:t>4.</w:t>
      </w:r>
      <w:r w:rsidRPr="00FB71E3">
        <w:tab/>
        <w:t>На сессии был представлен Европейский союз.</w:t>
      </w:r>
    </w:p>
    <w:p w:rsidR="00FB71E3" w:rsidRPr="00FB71E3" w:rsidRDefault="00FB71E3" w:rsidP="00BF03BF">
      <w:pPr>
        <w:pStyle w:val="SingleTxtGR"/>
      </w:pPr>
      <w:r w:rsidRPr="00FB71E3">
        <w:t>5.</w:t>
      </w:r>
      <w:r w:rsidRPr="00FB71E3">
        <w:tab/>
        <w:t>Была представлена следующая межправительственная организация: Межправительственная организация по международным железнодорожным п</w:t>
      </w:r>
      <w:r w:rsidRPr="00FB71E3">
        <w:t>е</w:t>
      </w:r>
      <w:r w:rsidRPr="00FB71E3">
        <w:t>ревозкам (ОТИФ).</w:t>
      </w:r>
    </w:p>
    <w:p w:rsidR="00FB71E3" w:rsidRPr="00FB71E3" w:rsidRDefault="00FB71E3" w:rsidP="00BF03BF">
      <w:pPr>
        <w:pStyle w:val="SingleTxtGR"/>
      </w:pPr>
      <w:r w:rsidRPr="00FB71E3">
        <w:t>6.</w:t>
      </w:r>
      <w:r w:rsidRPr="00FB71E3">
        <w:tab/>
        <w:t>Были представлены следующие неправительственные организации: Е</w:t>
      </w:r>
      <w:r w:rsidRPr="00FB71E3">
        <w:t>в</w:t>
      </w:r>
      <w:r w:rsidRPr="00FB71E3">
        <w:t>ропейская конференция поставщиков топлива (ЕКПТ), Европейский совет х</w:t>
      </w:r>
      <w:r w:rsidRPr="00FB71E3">
        <w:t>и</w:t>
      </w:r>
      <w:r w:rsidRPr="00FB71E3">
        <w:t>мической промышленности (ЕСФХП), Международная организация предпри</w:t>
      </w:r>
      <w:r w:rsidRPr="00FB71E3">
        <w:t>я</w:t>
      </w:r>
      <w:r w:rsidRPr="00FB71E3">
        <w:t>тий автомобильной промышленности (МОПАП), Международный союз авт</w:t>
      </w:r>
      <w:r w:rsidRPr="00FB71E3">
        <w:t>о</w:t>
      </w:r>
      <w:r w:rsidRPr="00FB71E3">
        <w:t>мобильного транспорта (МСАТ). Была также представлена программа ЕвроМед.</w:t>
      </w:r>
    </w:p>
    <w:p w:rsidR="00FB71E3" w:rsidRPr="00FB71E3" w:rsidRDefault="00FB71E3" w:rsidP="009627D2">
      <w:pPr>
        <w:pStyle w:val="HChGR"/>
      </w:pPr>
      <w:r w:rsidRPr="00FB71E3">
        <w:tab/>
        <w:t>II.</w:t>
      </w:r>
      <w:r w:rsidRPr="00FB71E3">
        <w:tab/>
        <w:t>Утверждение повестки дня (пункт 1 повестки дня)</w:t>
      </w:r>
    </w:p>
    <w:p w:rsidR="00FB71E3" w:rsidRPr="00FB71E3" w:rsidRDefault="00FB71E3" w:rsidP="00423593">
      <w:pPr>
        <w:pStyle w:val="SingleTxtGR"/>
      </w:pPr>
      <w:r w:rsidRPr="005666B8">
        <w:rPr>
          <w:i/>
        </w:rPr>
        <w:t>Документы</w:t>
      </w:r>
      <w:r w:rsidRPr="00FB71E3">
        <w:t>:</w:t>
      </w:r>
      <w:r w:rsidRPr="00FB71E3">
        <w:tab/>
      </w:r>
      <w:r w:rsidR="005666B8">
        <w:tab/>
      </w:r>
      <w:r w:rsidR="005666B8">
        <w:tab/>
      </w:r>
      <w:r w:rsidR="005666B8">
        <w:tab/>
      </w:r>
      <w:r w:rsidRPr="00FB71E3">
        <w:t>ECE/TRANS/WP.15/234 и Add.1 (секретариат)</w:t>
      </w:r>
    </w:p>
    <w:p w:rsidR="00FB71E3" w:rsidRPr="00FB71E3" w:rsidRDefault="00FB71E3" w:rsidP="00BF03BF">
      <w:pPr>
        <w:pStyle w:val="SingleTxtGR"/>
      </w:pPr>
      <w:r w:rsidRPr="005666B8">
        <w:rPr>
          <w:i/>
        </w:rPr>
        <w:t>Неофициальные документы</w:t>
      </w:r>
      <w:r w:rsidRPr="00FB71E3">
        <w:t>:</w:t>
      </w:r>
      <w:r w:rsidRPr="00FB71E3">
        <w:tab/>
        <w:t>INF.1, INF.2 и INF.16 (секретариат)</w:t>
      </w:r>
    </w:p>
    <w:p w:rsidR="00FB71E3" w:rsidRPr="00FB71E3" w:rsidRDefault="00FB71E3" w:rsidP="00BF03BF">
      <w:pPr>
        <w:pStyle w:val="SingleTxtGR"/>
      </w:pPr>
      <w:r w:rsidRPr="00FB71E3">
        <w:t>7.</w:t>
      </w:r>
      <w:r w:rsidRPr="00FB71E3">
        <w:tab/>
        <w:t>Рабочая группа утвердила подготовленную секретариатом предварител</w:t>
      </w:r>
      <w:r w:rsidRPr="00FB71E3">
        <w:t>ь</w:t>
      </w:r>
      <w:r w:rsidRPr="00FB71E3">
        <w:t>ную повестку дня, измененную в соответствии с неофициальным докуме</w:t>
      </w:r>
      <w:r w:rsidRPr="00FB71E3">
        <w:t>н</w:t>
      </w:r>
      <w:r w:rsidRPr="00FB71E3">
        <w:t>том INF.2 с целью учесть неофициальные документы INF.1−INF.21.</w:t>
      </w:r>
    </w:p>
    <w:p w:rsidR="00FB71E3" w:rsidRPr="00FB71E3" w:rsidRDefault="00FB71E3" w:rsidP="009627D2">
      <w:pPr>
        <w:pStyle w:val="HChGR"/>
      </w:pPr>
      <w:r w:rsidRPr="00FB71E3">
        <w:tab/>
        <w:t>III.</w:t>
      </w:r>
      <w:r w:rsidRPr="00FB71E3">
        <w:tab/>
        <w:t>Семьдесят восьмая сессия Комитета по внутреннему транспорту (пункт 2 повестки дня)</w:t>
      </w:r>
    </w:p>
    <w:p w:rsidR="00FB71E3" w:rsidRPr="00FB71E3" w:rsidRDefault="00FB71E3" w:rsidP="00BF03BF">
      <w:pPr>
        <w:pStyle w:val="SingleTxtGR"/>
      </w:pPr>
      <w:r w:rsidRPr="005666B8">
        <w:rPr>
          <w:i/>
        </w:rPr>
        <w:t>Документ</w:t>
      </w:r>
      <w:r w:rsidRPr="00FB71E3">
        <w:t>:</w:t>
      </w:r>
      <w:r w:rsidRPr="00FB71E3">
        <w:tab/>
      </w:r>
      <w:r w:rsidR="005666B8">
        <w:tab/>
      </w:r>
      <w:r w:rsidR="005666B8">
        <w:tab/>
      </w:r>
      <w:r w:rsidR="005666B8">
        <w:tab/>
      </w:r>
      <w:r w:rsidRPr="00FB71E3">
        <w:t>ECE/TRANS/254</w:t>
      </w:r>
    </w:p>
    <w:p w:rsidR="00FB71E3" w:rsidRPr="00FB71E3" w:rsidRDefault="00FB71E3" w:rsidP="00BF03BF">
      <w:pPr>
        <w:pStyle w:val="SingleTxtGR"/>
      </w:pPr>
      <w:r w:rsidRPr="00FB71E3">
        <w:t>8.</w:t>
      </w:r>
      <w:r w:rsidRPr="00FB71E3">
        <w:tab/>
        <w:t>Сотрудник секретариат проинформировал Рабочую группу о деятельн</w:t>
      </w:r>
      <w:r w:rsidRPr="00FB71E3">
        <w:t>о</w:t>
      </w:r>
      <w:r w:rsidRPr="00FB71E3">
        <w:t>сти Комитета по внутреннему транспорту (КВТ). Рабочая группа, в частности, приняла к сведению достигнутый прогресс в подготовке празднования семид</w:t>
      </w:r>
      <w:r w:rsidRPr="00FB71E3">
        <w:t>е</w:t>
      </w:r>
      <w:r w:rsidRPr="00FB71E3">
        <w:t>сятой годовщины создания КВТ, которое планируется провести в ходе семьд</w:t>
      </w:r>
      <w:r w:rsidRPr="00FB71E3">
        <w:t>е</w:t>
      </w:r>
      <w:r w:rsidRPr="00FB71E3">
        <w:t>сят девятой сессии (21–24 февраля 2017 года).</w:t>
      </w:r>
    </w:p>
    <w:p w:rsidR="00FB71E3" w:rsidRPr="00FB71E3" w:rsidRDefault="00FB71E3" w:rsidP="00BF03BF">
      <w:pPr>
        <w:pStyle w:val="SingleTxtGR"/>
      </w:pPr>
      <w:r w:rsidRPr="00FB71E3">
        <w:t>9.</w:t>
      </w:r>
      <w:r w:rsidRPr="00FB71E3">
        <w:tab/>
        <w:t>Рабочая группа отметила, что совещание на уровне министров по вопр</w:t>
      </w:r>
      <w:r w:rsidRPr="00FB71E3">
        <w:t>о</w:t>
      </w:r>
      <w:r w:rsidRPr="00FB71E3">
        <w:t>сам прошлого и будущего КВТ состоится 21 февраля 2017 года. Оно должно з</w:t>
      </w:r>
      <w:r w:rsidRPr="00FB71E3">
        <w:t>а</w:t>
      </w:r>
      <w:r w:rsidRPr="00FB71E3">
        <w:t xml:space="preserve">вершиться принятием резолюции министров, направленной, в частности, на то, чтобы продемонстрировать существенный вклад, внесенный за семьдесят лет </w:t>
      </w:r>
      <w:r w:rsidRPr="00FB71E3">
        <w:lastRenderedPageBreak/>
        <w:t>КВТ и его вспомогательными органами в работу в области транспорта, а также стимулировать будущую работу, в частности в связи с целями в области усто</w:t>
      </w:r>
      <w:r w:rsidRPr="00FB71E3">
        <w:t>й</w:t>
      </w:r>
      <w:r w:rsidRPr="00FB71E3">
        <w:t>чивого развития.</w:t>
      </w:r>
    </w:p>
    <w:p w:rsidR="00FB71E3" w:rsidRPr="00FB71E3" w:rsidRDefault="00FB71E3" w:rsidP="00BF03BF">
      <w:pPr>
        <w:pStyle w:val="SingleTxtGR"/>
      </w:pPr>
      <w:r w:rsidRPr="00FB71E3">
        <w:t>10.</w:t>
      </w:r>
      <w:r w:rsidRPr="00FB71E3">
        <w:tab/>
        <w:t>Рабочая группа также отметила, что в соответствии с решением КВТ, принятым на его предыдущей сессии, секретариат Европейской экономической комиссии подготовит стратегическую записку о работе КВТ.</w:t>
      </w:r>
    </w:p>
    <w:p w:rsidR="00FB71E3" w:rsidRPr="00FB71E3" w:rsidRDefault="00FB71E3" w:rsidP="00BF03BF">
      <w:pPr>
        <w:pStyle w:val="SingleTxtGR"/>
      </w:pPr>
      <w:r w:rsidRPr="00FB71E3">
        <w:t>11.</w:t>
      </w:r>
      <w:r w:rsidRPr="00FB71E3">
        <w:tab/>
        <w:t>Рабочая группа также отметила, что 20 февраля 2017 года во Дворце Наций пройдет всемирный фестиваль фильмов по безопасности дорожного движения и что будет организован ряд выставок и демонстраций.</w:t>
      </w:r>
    </w:p>
    <w:p w:rsidR="00FB71E3" w:rsidRPr="00FB71E3" w:rsidRDefault="00FB71E3" w:rsidP="009627D2">
      <w:pPr>
        <w:pStyle w:val="HChGR"/>
      </w:pPr>
      <w:r w:rsidRPr="00FB71E3">
        <w:tab/>
        <w:t>IV.</w:t>
      </w:r>
      <w:r w:rsidRPr="00FB71E3">
        <w:tab/>
        <w:t>Сост</w:t>
      </w:r>
      <w:r w:rsidR="005666B8">
        <w:t>ояние Европейского соглашения о </w:t>
      </w:r>
      <w:r w:rsidRPr="00FB71E3">
        <w:t xml:space="preserve">международной дорожной перевозке опасных </w:t>
      </w:r>
      <w:r w:rsidR="00DB3A0F">
        <w:br/>
      </w:r>
      <w:r w:rsidRPr="00FB71E3">
        <w:t xml:space="preserve">грузов (ДОПОГ) и связанные с этим вопросы </w:t>
      </w:r>
      <w:r w:rsidR="005666B8">
        <w:br/>
      </w:r>
      <w:r w:rsidRPr="00FB71E3">
        <w:t>(пункт 3 повестки дня)</w:t>
      </w:r>
    </w:p>
    <w:p w:rsidR="00FB71E3" w:rsidRPr="00FB71E3" w:rsidRDefault="00FB71E3" w:rsidP="005666B8">
      <w:pPr>
        <w:pStyle w:val="H1GR"/>
      </w:pPr>
      <w:r w:rsidRPr="00FB71E3">
        <w:tab/>
        <w:t>A.</w:t>
      </w:r>
      <w:r w:rsidRPr="00FB71E3">
        <w:tab/>
        <w:t>Состояние Соглашения</w:t>
      </w:r>
    </w:p>
    <w:p w:rsidR="00FB71E3" w:rsidRPr="00FB71E3" w:rsidRDefault="00FB71E3" w:rsidP="00BF03BF">
      <w:pPr>
        <w:pStyle w:val="SingleTxtGR"/>
      </w:pPr>
      <w:r w:rsidRPr="005666B8">
        <w:rPr>
          <w:i/>
        </w:rPr>
        <w:t>Неофициальные документы</w:t>
      </w:r>
      <w:r w:rsidRPr="00FB71E3">
        <w:t>:</w:t>
      </w:r>
      <w:r w:rsidRPr="00FB71E3">
        <w:tab/>
        <w:t>INF.5 и INF.15 (секретариат)</w:t>
      </w:r>
    </w:p>
    <w:p w:rsidR="00FB71E3" w:rsidRPr="00FB71E3" w:rsidRDefault="00FB71E3" w:rsidP="00BF03BF">
      <w:pPr>
        <w:pStyle w:val="SingleTxtGR"/>
      </w:pPr>
      <w:r w:rsidRPr="00FB71E3">
        <w:t>12.</w:t>
      </w:r>
      <w:r w:rsidRPr="00FB71E3">
        <w:tab/>
        <w:t>Рабочая группа отметила, что поправки, принятые в течение двух п</w:t>
      </w:r>
      <w:r w:rsidRPr="00FB71E3">
        <w:t>о</w:t>
      </w:r>
      <w:r w:rsidRPr="00FB71E3">
        <w:t>следних лет (ECE/TRANS/WP.15/231 и Corr.1 и ECE/TRANS/WP.15/231/Add.1), были предложены Договаривающимся сторонам правительством Португалии и считаются принятыми для вступления в силу 1 января 2017 года (уведомления депозитария CN.443.2016-Treaties от 12 июля 2016 года и CN.744.2016-Treaties от 10 октября 2016 года).</w:t>
      </w:r>
    </w:p>
    <w:p w:rsidR="00FB71E3" w:rsidRPr="00FB71E3" w:rsidRDefault="00FB71E3" w:rsidP="00BF03BF">
      <w:pPr>
        <w:pStyle w:val="SingleTxtGR"/>
      </w:pPr>
      <w:r w:rsidRPr="00FB71E3">
        <w:t>13.</w:t>
      </w:r>
      <w:r w:rsidRPr="00FB71E3">
        <w:tab/>
        <w:t>Рабочая группа с удовлетворением отметила, что 19 сентября к ДОПОГ присоединилась Грузия и что вследствие этого ДОПОГ вступило в силу для данной страны 19 октября 2016 года.</w:t>
      </w:r>
    </w:p>
    <w:p w:rsidR="00FB71E3" w:rsidRPr="00FB71E3" w:rsidRDefault="00FB71E3" w:rsidP="005666B8">
      <w:pPr>
        <w:pStyle w:val="H1GR"/>
      </w:pPr>
      <w:r w:rsidRPr="00FB71E3">
        <w:tab/>
        <w:t>В.</w:t>
      </w:r>
      <w:r w:rsidRPr="00FB71E3">
        <w:tab/>
        <w:t>Протокол о внесении поправок 1993 года</w:t>
      </w:r>
    </w:p>
    <w:p w:rsidR="00FB71E3" w:rsidRPr="00FB71E3" w:rsidRDefault="00FB71E3" w:rsidP="00BF03BF">
      <w:pPr>
        <w:pStyle w:val="SingleTxtGR"/>
      </w:pPr>
      <w:r w:rsidRPr="00FB71E3">
        <w:t>14.</w:t>
      </w:r>
      <w:r w:rsidRPr="00FB71E3">
        <w:tab/>
        <w:t>Рабочая группа отметила, что 14 стран (Азербайджан, Беларусь, Босния и Герцеговина, бывшая югославская Республика Македония, Грузия, Исландия, Казахстан, Мальта, Марокко, Таджикистан, Тунис, Украина, Хорватия и Черн</w:t>
      </w:r>
      <w:r w:rsidRPr="00FB71E3">
        <w:t>о</w:t>
      </w:r>
      <w:r w:rsidRPr="00FB71E3">
        <w:t>гория) все еще не сдали на хранение соответствующий юридический документ, необходимый для вступления Протокола в силу, и призвала эти страны принять необходимые меры с целью ратификации Протокола или присоединения к нему, с тем чтобы он мог вступить в силу.</w:t>
      </w:r>
    </w:p>
    <w:p w:rsidR="00FB71E3" w:rsidRPr="00FB71E3" w:rsidRDefault="00FB71E3" w:rsidP="009627D2">
      <w:pPr>
        <w:pStyle w:val="HChGR"/>
      </w:pPr>
      <w:r w:rsidRPr="00FB71E3">
        <w:tab/>
        <w:t>V.</w:t>
      </w:r>
      <w:r w:rsidRPr="00FB71E3">
        <w:tab/>
        <w:t>Работа Совместного совещания МПОГ/ДОПОГ/</w:t>
      </w:r>
      <w:r w:rsidR="005666B8">
        <w:br/>
      </w:r>
      <w:r w:rsidRPr="00FB71E3">
        <w:t>ВОПОГ (пункт 4 повестки дня)</w:t>
      </w:r>
    </w:p>
    <w:p w:rsidR="00FB71E3" w:rsidRPr="00FB71E3" w:rsidRDefault="00FB71E3" w:rsidP="005666B8">
      <w:pPr>
        <w:pStyle w:val="H1GR"/>
      </w:pPr>
      <w:r w:rsidRPr="00FB71E3">
        <w:tab/>
        <w:t>A.</w:t>
      </w:r>
      <w:r w:rsidRPr="00FB71E3">
        <w:tab/>
        <w:t xml:space="preserve">Поправки, предложенные Совместным совещанием </w:t>
      </w:r>
      <w:r w:rsidR="002A1875">
        <w:br/>
      </w:r>
      <w:r w:rsidRPr="00FB71E3">
        <w:t>на его весенней сессии 2016 года</w:t>
      </w:r>
    </w:p>
    <w:p w:rsidR="00FB71E3" w:rsidRPr="00FB71E3" w:rsidRDefault="00FB71E3" w:rsidP="00BF03BF">
      <w:pPr>
        <w:pStyle w:val="SingleTxtGR"/>
      </w:pPr>
      <w:r w:rsidRPr="005666B8">
        <w:rPr>
          <w:i/>
        </w:rPr>
        <w:t>Документ</w:t>
      </w:r>
      <w:r w:rsidRPr="00FB71E3">
        <w:t>:</w:t>
      </w:r>
      <w:r w:rsidRPr="00FB71E3">
        <w:tab/>
      </w:r>
      <w:r w:rsidR="005666B8">
        <w:tab/>
      </w:r>
      <w:r w:rsidR="005666B8">
        <w:tab/>
      </w:r>
      <w:r w:rsidR="005666B8">
        <w:tab/>
      </w:r>
      <w:r w:rsidRPr="00FB71E3">
        <w:t>ECE/TRANS/WP.15/AC.1/142/Add.2, раздел IV</w:t>
      </w:r>
    </w:p>
    <w:p w:rsidR="00FB71E3" w:rsidRPr="00FB71E3" w:rsidRDefault="00FB71E3" w:rsidP="00BF03BF">
      <w:pPr>
        <w:pStyle w:val="SingleTxtGR"/>
      </w:pPr>
      <w:r w:rsidRPr="00FB71E3">
        <w:lastRenderedPageBreak/>
        <w:t>15.</w:t>
      </w:r>
      <w:r w:rsidRPr="00FB71E3">
        <w:tab/>
        <w:t>Данные поправки были приняты для вступления в силу 1 января 2019 г</w:t>
      </w:r>
      <w:r w:rsidRPr="00FB71E3">
        <w:t>о</w:t>
      </w:r>
      <w:r w:rsidRPr="00FB71E3">
        <w:t xml:space="preserve">да (см. приложение I). </w:t>
      </w:r>
    </w:p>
    <w:p w:rsidR="00FB71E3" w:rsidRPr="00FB71E3" w:rsidRDefault="00FB71E3" w:rsidP="00B676CC">
      <w:pPr>
        <w:pStyle w:val="H1GR"/>
      </w:pPr>
      <w:r w:rsidRPr="00FB71E3">
        <w:tab/>
        <w:t>В.</w:t>
      </w:r>
      <w:r w:rsidRPr="00FB71E3">
        <w:tab/>
        <w:t>Исправления, предложенные Совместн</w:t>
      </w:r>
      <w:r w:rsidR="00B676CC">
        <w:t>ым совещанием на его </w:t>
      </w:r>
      <w:r w:rsidRPr="00FB71E3">
        <w:t>осенней сессии 2016 года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Неофициальный документ</w:t>
      </w:r>
      <w:r w:rsidRPr="00FB71E3">
        <w:t>:</w:t>
      </w:r>
      <w:r w:rsidRPr="00FB71E3">
        <w:tab/>
        <w:t xml:space="preserve">INF.8/Rev.1 (секретариат) </w:t>
      </w:r>
    </w:p>
    <w:p w:rsidR="00FB71E3" w:rsidRPr="00FB71E3" w:rsidRDefault="00FB71E3" w:rsidP="00BF03BF">
      <w:pPr>
        <w:pStyle w:val="SingleTxtGR"/>
      </w:pPr>
      <w:r w:rsidRPr="00FB71E3">
        <w:t>16.</w:t>
      </w:r>
      <w:r w:rsidRPr="00FB71E3">
        <w:tab/>
        <w:t>Рабочая группа подтвердила, что исправления, предложенные Совмес</w:t>
      </w:r>
      <w:r w:rsidRPr="00FB71E3">
        <w:t>т</w:t>
      </w:r>
      <w:r w:rsidRPr="00FB71E3">
        <w:t>ным совещанием на его осенней сессии 2016 года, а также другие исправления, предложенные секретариатом, носят чисто технический характер и направлены на то, чтобы устранить несогласованность между текстами на английском и русском языках и подлинным текстом на французском языке либо исправить опечатки, ошибки в нумерации или перекрестные ссылки.</w:t>
      </w:r>
    </w:p>
    <w:p w:rsidR="00FB71E3" w:rsidRPr="00FB71E3" w:rsidRDefault="00FB71E3" w:rsidP="00BF03BF">
      <w:pPr>
        <w:pStyle w:val="SingleTxtGR"/>
      </w:pPr>
      <w:r w:rsidRPr="00FB71E3">
        <w:t>17.</w:t>
      </w:r>
      <w:r w:rsidRPr="00FB71E3">
        <w:tab/>
        <w:t>Учитывая то, что данные исправления не изменяют содержание полож</w:t>
      </w:r>
      <w:r w:rsidRPr="00FB71E3">
        <w:t>е</w:t>
      </w:r>
      <w:r w:rsidRPr="00FB71E3">
        <w:t xml:space="preserve">ний ДОПОГ, Рабочая группа приняла исправления, предложенные Совместным совещанием, и просила его сделать все необходимое для того, чтобы как можно скорее опубликовать их в виде документа </w:t>
      </w:r>
      <w:r w:rsidR="000163F3">
        <w:t>«</w:t>
      </w:r>
      <w:r w:rsidRPr="00FB71E3">
        <w:t>исправление</w:t>
      </w:r>
      <w:r w:rsidR="000163F3">
        <w:t>»</w:t>
      </w:r>
      <w:r w:rsidRPr="00FB71E3">
        <w:t xml:space="preserve"> (см. приложение II).</w:t>
      </w:r>
    </w:p>
    <w:p w:rsidR="00FB71E3" w:rsidRPr="00FB71E3" w:rsidRDefault="00FB71E3" w:rsidP="009627D2">
      <w:pPr>
        <w:pStyle w:val="HChGR"/>
      </w:pPr>
      <w:r w:rsidRPr="00FB71E3">
        <w:tab/>
        <w:t>VI.</w:t>
      </w:r>
      <w:r w:rsidRPr="00FB71E3">
        <w:tab/>
        <w:t>Предложения о вне</w:t>
      </w:r>
      <w:r w:rsidR="00B676CC">
        <w:t>сении поправок в приложения A и </w:t>
      </w:r>
      <w:r w:rsidRPr="00FB71E3">
        <w:t>B к ДОПОГ (пункт 5 повестки дня)</w:t>
      </w:r>
    </w:p>
    <w:p w:rsidR="00FB71E3" w:rsidRPr="00FB71E3" w:rsidRDefault="00FB71E3" w:rsidP="00B676CC">
      <w:pPr>
        <w:pStyle w:val="H1GR"/>
      </w:pPr>
      <w:r w:rsidRPr="00FB71E3">
        <w:tab/>
        <w:t>A.</w:t>
      </w:r>
      <w:r w:rsidRPr="00FB71E3">
        <w:tab/>
        <w:t>Конструкция и допущение к перевозке транспортных средств</w:t>
      </w:r>
    </w:p>
    <w:p w:rsidR="00FB71E3" w:rsidRPr="00FB71E3" w:rsidRDefault="00FB71E3" w:rsidP="00B676CC">
      <w:pPr>
        <w:pStyle w:val="H23GR"/>
      </w:pPr>
      <w:r w:rsidRPr="00FB71E3">
        <w:tab/>
        <w:t>1.</w:t>
      </w:r>
      <w:r w:rsidRPr="00FB71E3">
        <w:tab/>
        <w:t>Поправка к таблице в пункте 9.2.1.1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Документ</w:t>
      </w:r>
      <w:r w:rsidRPr="00FB71E3">
        <w:t>:</w:t>
      </w:r>
      <w:r w:rsidRPr="00FB71E3">
        <w:tab/>
      </w:r>
      <w:r w:rsidR="00B676CC">
        <w:tab/>
      </w:r>
      <w:r w:rsidR="00B676CC">
        <w:tab/>
      </w:r>
      <w:r w:rsidR="00B676CC">
        <w:tab/>
      </w:r>
      <w:r w:rsidRPr="00FB71E3">
        <w:t>ECE/TRANS/WP.15/2016/14 (Нидерланды)</w:t>
      </w:r>
      <w:bookmarkStart w:id="3" w:name="OLE_LINK4"/>
      <w:bookmarkStart w:id="4" w:name="OLE_LINK3"/>
      <w:bookmarkEnd w:id="3"/>
      <w:bookmarkEnd w:id="4"/>
    </w:p>
    <w:p w:rsidR="00FB71E3" w:rsidRPr="00FB71E3" w:rsidRDefault="00FB71E3" w:rsidP="00BF03BF">
      <w:pPr>
        <w:pStyle w:val="SingleTxtGR"/>
      </w:pPr>
      <w:r w:rsidRPr="00FB71E3">
        <w:t>18.</w:t>
      </w:r>
      <w:r w:rsidRPr="00FB71E3">
        <w:tab/>
        <w:t>Рабочая группа подтвердила, что в таблице в пункте 9.2.1.1 отсутствует соответствующая метка в отношении раздела</w:t>
      </w:r>
      <w:r w:rsidR="00DB3A0F">
        <w:t xml:space="preserve"> 9.2.7 для транспортных средств </w:t>
      </w:r>
      <w:r w:rsidRPr="00FB71E3">
        <w:t>FL и AT и что такая метка должна была быть добавлена согласно п</w:t>
      </w:r>
      <w:r w:rsidRPr="00FB71E3">
        <w:t>о</w:t>
      </w:r>
      <w:r w:rsidRPr="00FB71E3">
        <w:t>правкам, вступающим в силу 1 января 2017 года.</w:t>
      </w:r>
    </w:p>
    <w:p w:rsidR="00FB71E3" w:rsidRPr="00FB71E3" w:rsidRDefault="00FB71E3" w:rsidP="00BF03BF">
      <w:pPr>
        <w:pStyle w:val="SingleTxtGR"/>
      </w:pPr>
      <w:r w:rsidRPr="00FB71E3">
        <w:t>19.</w:t>
      </w:r>
      <w:r w:rsidRPr="00FB71E3">
        <w:tab/>
        <w:t>Рабочая группа приняла это исправление и просила секретариат пре</w:t>
      </w:r>
      <w:r w:rsidRPr="00FB71E3">
        <w:t>д</w:t>
      </w:r>
      <w:r w:rsidRPr="00FB71E3">
        <w:t>принять необходимые шаги с целью скорейшего издания соответствующего и</w:t>
      </w:r>
      <w:r w:rsidRPr="00FB71E3">
        <w:t>с</w:t>
      </w:r>
      <w:r w:rsidRPr="00FB71E3">
        <w:t>правления (см. приложение II).</w:t>
      </w:r>
    </w:p>
    <w:p w:rsidR="00FB71E3" w:rsidRPr="00FB71E3" w:rsidRDefault="00FB71E3" w:rsidP="00BF03BF">
      <w:pPr>
        <w:pStyle w:val="SingleTxtGR"/>
      </w:pPr>
      <w:r w:rsidRPr="00FB71E3">
        <w:t>20.</w:t>
      </w:r>
      <w:r w:rsidRPr="00FB71E3">
        <w:tab/>
        <w:t>Кроме того, переходную меру, предложенную Нидерландами для после</w:t>
      </w:r>
      <w:r w:rsidRPr="00FB71E3">
        <w:t>д</w:t>
      </w:r>
      <w:r w:rsidRPr="00FB71E3">
        <w:t>ней колонки таблицы, следует представить в виде нового предложения о внес</w:t>
      </w:r>
      <w:r w:rsidRPr="00FB71E3">
        <w:t>е</w:t>
      </w:r>
      <w:r w:rsidRPr="00FB71E3">
        <w:t>нии поправки. Этот вопрос можно было бы рассмотреть на одной из будущих сессий на основе нового документа.</w:t>
      </w:r>
    </w:p>
    <w:p w:rsidR="00FB71E3" w:rsidRPr="00FB71E3" w:rsidRDefault="00FB71E3" w:rsidP="00B676CC">
      <w:pPr>
        <w:pStyle w:val="H23GR"/>
      </w:pPr>
      <w:r w:rsidRPr="00FB71E3">
        <w:tab/>
        <w:t>2.</w:t>
      </w:r>
      <w:r w:rsidRPr="00FB71E3">
        <w:tab/>
        <w:t>Требования к креплениям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Документ</w:t>
      </w:r>
      <w:r w:rsidRPr="00FB71E3">
        <w:t>:</w:t>
      </w:r>
      <w:r w:rsidRPr="00FB71E3">
        <w:tab/>
      </w:r>
      <w:r w:rsidR="00B676CC">
        <w:tab/>
      </w:r>
      <w:r w:rsidR="00B676CC">
        <w:tab/>
      </w:r>
      <w:r w:rsidR="00B676CC">
        <w:tab/>
      </w:r>
      <w:r w:rsidRPr="00FB71E3">
        <w:t>ECE/TRANS/WP.15/2016/19 (Норвегия)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Неофициальный документ</w:t>
      </w:r>
      <w:r w:rsidRPr="00FB71E3">
        <w:t>:</w:t>
      </w:r>
      <w:r w:rsidRPr="00FB71E3">
        <w:tab/>
        <w:t>INF.17 (Норвегия)</w:t>
      </w:r>
    </w:p>
    <w:p w:rsidR="00FB71E3" w:rsidRPr="00FB71E3" w:rsidRDefault="00FB71E3" w:rsidP="00BF03BF">
      <w:pPr>
        <w:pStyle w:val="SingleTxtGR"/>
      </w:pPr>
      <w:r w:rsidRPr="00FB71E3">
        <w:t>21.</w:t>
      </w:r>
      <w:r w:rsidRPr="00FB71E3">
        <w:tab/>
        <w:t>Предложение Нидерландов получило широкую поддержку. Вместе с тем несколько делегаций сочли, что предлагаемый текст можно было бы улучшить. Представитель Норвегии внесет на следующей сессии новый документ, с тем чтобы учесть различные высказанные замечания. Делегации, желающие сд</w:t>
      </w:r>
      <w:r w:rsidRPr="00FB71E3">
        <w:t>е</w:t>
      </w:r>
      <w:r w:rsidRPr="00FB71E3">
        <w:t>лать это, могут передать представителю Норвегии свои замечания в письме</w:t>
      </w:r>
      <w:r w:rsidRPr="00FB71E3">
        <w:t>н</w:t>
      </w:r>
      <w:r w:rsidRPr="00FB71E3">
        <w:t>ном виде.</w:t>
      </w:r>
    </w:p>
    <w:p w:rsidR="00FB71E3" w:rsidRPr="00FB71E3" w:rsidRDefault="00FB71E3" w:rsidP="00B676CC">
      <w:pPr>
        <w:pStyle w:val="H23GR"/>
      </w:pPr>
      <w:r w:rsidRPr="00FB71E3">
        <w:lastRenderedPageBreak/>
        <w:tab/>
        <w:t>3.</w:t>
      </w:r>
      <w:r w:rsidRPr="00FB71E3">
        <w:tab/>
        <w:t>Исправление опечатки в тексте на англ</w:t>
      </w:r>
      <w:r w:rsidR="00B676CC">
        <w:t>ийском языке в таблице в пункте </w:t>
      </w:r>
      <w:r w:rsidRPr="00FB71E3">
        <w:t>9.2.1.1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Неофициальный документ</w:t>
      </w:r>
      <w:r w:rsidRPr="00FB71E3">
        <w:t>:</w:t>
      </w:r>
      <w:r w:rsidRPr="00FB71E3">
        <w:tab/>
        <w:t>INF.12 (Нидерланды)</w:t>
      </w:r>
    </w:p>
    <w:p w:rsidR="00FB71E3" w:rsidRPr="00FB71E3" w:rsidRDefault="00FB71E3" w:rsidP="00BF03BF">
      <w:pPr>
        <w:pStyle w:val="SingleTxtGR"/>
      </w:pPr>
      <w:r w:rsidRPr="00FB71E3">
        <w:t>22.</w:t>
      </w:r>
      <w:r w:rsidRPr="00FB71E3">
        <w:tab/>
        <w:t>Рабочая группа приняла предложенную поправку к сведению. Она будет опубликована в качестве исправления к варианту ДОПОГ на английском языке.</w:t>
      </w:r>
    </w:p>
    <w:p w:rsidR="00FB71E3" w:rsidRPr="00FB71E3" w:rsidRDefault="00FB71E3" w:rsidP="00B676CC">
      <w:pPr>
        <w:pStyle w:val="H23GR"/>
      </w:pPr>
      <w:r w:rsidRPr="00FB71E3">
        <w:tab/>
        <w:t>4.</w:t>
      </w:r>
      <w:r w:rsidRPr="00FB71E3">
        <w:tab/>
        <w:t>Замечание, вносимое в свидетельства о допущении к перевозке транспортных средств EX/III, предназначенных для перевозки веществ класса 1 в цистернах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Документы</w:t>
      </w:r>
      <w:r w:rsidRPr="00FB71E3">
        <w:t xml:space="preserve">: </w:t>
      </w:r>
      <w:r w:rsidRPr="00FB71E3">
        <w:tab/>
      </w:r>
      <w:r w:rsidR="00B676CC">
        <w:tab/>
      </w:r>
      <w:r w:rsidR="00B676CC">
        <w:tab/>
      </w:r>
      <w:r w:rsidRPr="00FB71E3">
        <w:t>ECE/TRANS/WP.15/2016/18 (Нидерланды)</w:t>
      </w:r>
    </w:p>
    <w:p w:rsidR="00FB71E3" w:rsidRPr="00FB71E3" w:rsidRDefault="00FB71E3" w:rsidP="00BF03BF">
      <w:pPr>
        <w:pStyle w:val="SingleTxtGR"/>
      </w:pPr>
      <w:r w:rsidRPr="00FB71E3">
        <w:t>23.</w:t>
      </w:r>
      <w:r w:rsidRPr="00FB71E3">
        <w:tab/>
        <w:t xml:space="preserve">Рабочая группа приняла предложение Нидерландов (см. приложение I). На одной из будущих сессий необходимо рассмотреть, следует ли принимать аналогичные поправки в случае MEMU. </w:t>
      </w:r>
    </w:p>
    <w:p w:rsidR="00FB71E3" w:rsidRPr="00FB71E3" w:rsidRDefault="00FB71E3" w:rsidP="00B676CC">
      <w:pPr>
        <w:pStyle w:val="H1GR"/>
      </w:pPr>
      <w:r w:rsidRPr="00FB71E3">
        <w:tab/>
        <w:t>B.</w:t>
      </w:r>
      <w:r w:rsidRPr="00FB71E3">
        <w:tab/>
        <w:t>Различные предложения</w:t>
      </w:r>
    </w:p>
    <w:p w:rsidR="00FB71E3" w:rsidRPr="00FB71E3" w:rsidRDefault="00FB71E3" w:rsidP="00B676CC">
      <w:pPr>
        <w:pStyle w:val="H23GR"/>
      </w:pPr>
      <w:r w:rsidRPr="00FB71E3">
        <w:tab/>
        <w:t>1.</w:t>
      </w:r>
      <w:r w:rsidRPr="00FB71E3">
        <w:tab/>
        <w:t>Предложения об изменении подраздела 1.1.3.6 и пункта 5.4.1.1.1 f)</w:t>
      </w:r>
    </w:p>
    <w:p w:rsidR="00FB71E3" w:rsidRPr="00FB71E3" w:rsidRDefault="00FB71E3" w:rsidP="00B676CC">
      <w:pPr>
        <w:pStyle w:val="SingleTxtGR"/>
        <w:jc w:val="left"/>
        <w:rPr>
          <w:lang w:val="en-GB"/>
        </w:rPr>
      </w:pPr>
      <w:r w:rsidRPr="00B676CC">
        <w:rPr>
          <w:i/>
        </w:rPr>
        <w:t>Документы</w:t>
      </w:r>
      <w:r w:rsidRPr="00FB71E3">
        <w:rPr>
          <w:lang w:val="en-US"/>
        </w:rPr>
        <w:t xml:space="preserve">: </w:t>
      </w:r>
      <w:r w:rsidRPr="00FB71E3">
        <w:rPr>
          <w:lang w:val="en-US"/>
        </w:rPr>
        <w:tab/>
      </w:r>
      <w:r w:rsidR="00B676CC" w:rsidRPr="00B676CC">
        <w:rPr>
          <w:lang w:val="en-US"/>
        </w:rPr>
        <w:tab/>
      </w:r>
      <w:r w:rsidR="00B676CC" w:rsidRPr="00B676CC">
        <w:rPr>
          <w:lang w:val="en-US"/>
        </w:rPr>
        <w:tab/>
      </w:r>
      <w:r w:rsidRPr="00FB71E3">
        <w:rPr>
          <w:lang w:val="en-US"/>
        </w:rPr>
        <w:t>ECE/TRANS/WP.15/2016/10 (</w:t>
      </w:r>
      <w:r w:rsidRPr="00FB71E3">
        <w:t>Швеция</w:t>
      </w:r>
      <w:r w:rsidRPr="00FB71E3">
        <w:rPr>
          <w:lang w:val="en-US"/>
        </w:rPr>
        <w:t>)</w:t>
      </w:r>
      <w:r w:rsidRPr="00FB71E3">
        <w:rPr>
          <w:lang w:val="en-GB"/>
        </w:rPr>
        <w:t xml:space="preserve"> </w:t>
      </w:r>
      <w:r w:rsidRPr="00FB71E3">
        <w:rPr>
          <w:lang w:val="en-GB"/>
        </w:rPr>
        <w:br/>
      </w:r>
      <w:r w:rsidRPr="00FB71E3">
        <w:rPr>
          <w:lang w:val="en-US"/>
        </w:rPr>
        <w:tab/>
      </w:r>
      <w:r w:rsidR="00B676CC" w:rsidRPr="00067046">
        <w:rPr>
          <w:lang w:val="en-US"/>
        </w:rPr>
        <w:tab/>
      </w:r>
      <w:r w:rsidR="00B676CC" w:rsidRPr="00067046">
        <w:rPr>
          <w:lang w:val="en-US"/>
        </w:rPr>
        <w:tab/>
      </w:r>
      <w:r w:rsidR="00B676CC" w:rsidRPr="00067046">
        <w:rPr>
          <w:lang w:val="en-US"/>
        </w:rPr>
        <w:tab/>
      </w:r>
      <w:r w:rsidRPr="00FB71E3">
        <w:rPr>
          <w:lang w:val="en-US"/>
        </w:rPr>
        <w:tab/>
        <w:t>ECE/TRANS/WP.15/2016/17 (</w:t>
      </w:r>
      <w:r w:rsidRPr="00FB71E3">
        <w:t>МСАТ</w:t>
      </w:r>
      <w:r w:rsidRPr="00FB71E3">
        <w:rPr>
          <w:lang w:val="en-US"/>
        </w:rPr>
        <w:t>)</w:t>
      </w:r>
    </w:p>
    <w:p w:rsidR="00FB71E3" w:rsidRPr="00FB71E3" w:rsidRDefault="00FB71E3" w:rsidP="00BF03BF">
      <w:pPr>
        <w:pStyle w:val="SingleTxtGR"/>
      </w:pPr>
      <w:r w:rsidRPr="00B676CC">
        <w:rPr>
          <w:i/>
        </w:rPr>
        <w:t>Неофициальный документ</w:t>
      </w:r>
      <w:r w:rsidRPr="00FB71E3">
        <w:t xml:space="preserve">: </w:t>
      </w:r>
      <w:r w:rsidRPr="00FB71E3">
        <w:tab/>
        <w:t>INF.20 (Румыния)</w:t>
      </w:r>
    </w:p>
    <w:p w:rsidR="00FB71E3" w:rsidRPr="00FB71E3" w:rsidRDefault="00FB71E3" w:rsidP="00BF03BF">
      <w:pPr>
        <w:pStyle w:val="SingleTxtGR"/>
      </w:pPr>
      <w:r w:rsidRPr="00FB71E3">
        <w:t>24.</w:t>
      </w:r>
      <w:r w:rsidRPr="00FB71E3">
        <w:tab/>
        <w:t>После обсуждения представитель Швеции сняла с рассмотрения свое предложение. Некоторые делегации поддержали идею добавления рассчита</w:t>
      </w:r>
      <w:r w:rsidRPr="00FB71E3">
        <w:t>н</w:t>
      </w:r>
      <w:r w:rsidRPr="00FB71E3">
        <w:t>ных значений в транспортный документ при применении подраздела 1.1.3.6. Представитель Швеции внесет пересмотренный вариант предложений 3 и 4, сформулированных в документе ECE/TRANS/WP.15/2016/10, с целью учесть замечания, высказанные в ходе сессии.</w:t>
      </w:r>
    </w:p>
    <w:p w:rsidR="00FB71E3" w:rsidRPr="00FB71E3" w:rsidRDefault="00FB71E3" w:rsidP="006C6589">
      <w:pPr>
        <w:pStyle w:val="H23GR"/>
      </w:pPr>
      <w:r w:rsidRPr="00FB71E3">
        <w:tab/>
        <w:t>2.</w:t>
      </w:r>
      <w:r w:rsidRPr="00FB71E3">
        <w:tab/>
        <w:t>Совместная погрузка в смесительно-зарядные машины (MEMU) эмульсий нитрата аммония под № ООН 3375 и бризантных взрывчатых веществ – пункт 7.5.5.2.3 f)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Документ</w:t>
      </w:r>
      <w:r w:rsidRPr="00FB71E3">
        <w:t xml:space="preserve">: </w:t>
      </w:r>
      <w:r w:rsidRPr="00FB71E3">
        <w:tab/>
      </w:r>
      <w:r w:rsidR="006C6589">
        <w:tab/>
      </w:r>
      <w:r w:rsidR="006C6589">
        <w:tab/>
      </w:r>
      <w:r w:rsidR="006C6589">
        <w:tab/>
      </w:r>
      <w:r w:rsidRPr="00FB71E3">
        <w:t>ECE/TRANS/WP.15/2016/11 (Швейцария)</w:t>
      </w:r>
    </w:p>
    <w:p w:rsidR="00FB71E3" w:rsidRPr="00FB71E3" w:rsidRDefault="00FB71E3" w:rsidP="00BF03BF">
      <w:pPr>
        <w:pStyle w:val="SingleTxtGR"/>
      </w:pPr>
      <w:r w:rsidRPr="00FB71E3">
        <w:t>25.</w:t>
      </w:r>
      <w:r w:rsidRPr="00FB71E3">
        <w:tab/>
        <w:t>Выступившие делегации пожелали сохранить все положения, касающи</w:t>
      </w:r>
      <w:r w:rsidRPr="00FB71E3">
        <w:t>е</w:t>
      </w:r>
      <w:r w:rsidRPr="00FB71E3">
        <w:t>ся совместной погрузки в MEMU, в пункте 7.5.5.2.3, с тем чтобы не нужно б</w:t>
      </w:r>
      <w:r w:rsidRPr="00FB71E3">
        <w:t>ы</w:t>
      </w:r>
      <w:r w:rsidRPr="00FB71E3">
        <w:t>ло обращаться к разделу 7.5.2. Представитель Швейцарии снял с рассмотрения свое предложение.</w:t>
      </w:r>
    </w:p>
    <w:p w:rsidR="00FB71E3" w:rsidRPr="00FB71E3" w:rsidRDefault="00FB71E3" w:rsidP="006C6589">
      <w:pPr>
        <w:pStyle w:val="H23GR"/>
      </w:pPr>
      <w:r w:rsidRPr="00FB71E3">
        <w:tab/>
        <w:t>3.</w:t>
      </w:r>
      <w:r w:rsidRPr="00FB71E3">
        <w:tab/>
        <w:t>Включение членов экипажа в сфер</w:t>
      </w:r>
      <w:r w:rsidR="006C6589">
        <w:t>у применения требований пунктов </w:t>
      </w:r>
      <w:r w:rsidRPr="00FB71E3">
        <w:t>7.5.1.1 и 7.5.1.2 ДОПОГ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Документ</w:t>
      </w:r>
      <w:r w:rsidRPr="00FB71E3">
        <w:t xml:space="preserve">: </w:t>
      </w:r>
      <w:r w:rsidR="006C6589">
        <w:tab/>
      </w:r>
      <w:r w:rsidR="006C6589">
        <w:tab/>
      </w:r>
      <w:r w:rsidR="006C6589">
        <w:tab/>
      </w:r>
      <w:r w:rsidRPr="00FB71E3">
        <w:tab/>
        <w:t xml:space="preserve">ECE/TRANS/WP.15/2016/12 </w:t>
      </w:r>
      <w:r w:rsidR="006C6589">
        <w:br/>
      </w:r>
      <w:r w:rsidR="006C6589">
        <w:tab/>
      </w:r>
      <w:r w:rsidR="006C6589">
        <w:tab/>
      </w:r>
      <w:r w:rsidR="006C6589">
        <w:tab/>
      </w:r>
      <w:r w:rsidR="006C6589">
        <w:tab/>
      </w:r>
      <w:r w:rsidR="006C6589">
        <w:tab/>
      </w:r>
      <w:r w:rsidRPr="00FB71E3">
        <w:t>(Соединенное Королевство)</w:t>
      </w:r>
    </w:p>
    <w:p w:rsidR="00FB71E3" w:rsidRPr="00FB71E3" w:rsidRDefault="00FB71E3" w:rsidP="00BF03BF">
      <w:pPr>
        <w:pStyle w:val="SingleTxtGR"/>
      </w:pPr>
      <w:r w:rsidRPr="00FB71E3">
        <w:t>26.</w:t>
      </w:r>
      <w:r w:rsidRPr="00FB71E3">
        <w:tab/>
        <w:t xml:space="preserve">Предложение Соединенного Королевства было принято с изменениями, внесенными в ходе сессии (см. приложение I). </w:t>
      </w:r>
    </w:p>
    <w:p w:rsidR="00FB71E3" w:rsidRPr="00FB71E3" w:rsidRDefault="00FB71E3" w:rsidP="006C6589">
      <w:pPr>
        <w:pStyle w:val="H23GR"/>
      </w:pPr>
      <w:r w:rsidRPr="00FB71E3">
        <w:tab/>
        <w:t>4.</w:t>
      </w:r>
      <w:r w:rsidRPr="00FB71E3">
        <w:tab/>
        <w:t>Ссылка на Кодекс практики ИМО/</w:t>
      </w:r>
      <w:r w:rsidR="006C6589">
        <w:t>МОТ/ЕЭК ООН по укладке грузов в </w:t>
      </w:r>
      <w:r w:rsidRPr="00FB71E3">
        <w:t>грузовые транспортные единицы (Кодекс ГТЕ)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Документ</w:t>
      </w:r>
      <w:r w:rsidRPr="00FB71E3">
        <w:t xml:space="preserve">: </w:t>
      </w:r>
      <w:r w:rsidR="006C6589">
        <w:tab/>
      </w:r>
      <w:r w:rsidR="006C6589">
        <w:tab/>
      </w:r>
      <w:r w:rsidR="006C6589">
        <w:tab/>
      </w:r>
      <w:r w:rsidRPr="00FB71E3">
        <w:tab/>
        <w:t>ECE/TRANS/WP.15/2016/20 (секретариат)</w:t>
      </w:r>
    </w:p>
    <w:p w:rsidR="00FB71E3" w:rsidRPr="00FB71E3" w:rsidRDefault="00FB71E3" w:rsidP="00BF03BF">
      <w:pPr>
        <w:pStyle w:val="SingleTxtGR"/>
      </w:pPr>
      <w:r w:rsidRPr="00FB71E3">
        <w:lastRenderedPageBreak/>
        <w:t>27.</w:t>
      </w:r>
      <w:r w:rsidRPr="00FB71E3">
        <w:tab/>
        <w:t>Ряд делегаций согласились добавить ссылку на некоторые части Коде</w:t>
      </w:r>
      <w:r w:rsidRPr="00FB71E3">
        <w:t>к</w:t>
      </w:r>
      <w:r w:rsidRPr="00FB71E3">
        <w:t>са ГТЕ в сноску 1 в подразделе 7.5.7.1. В частности, представляется уместным сослаться на главы 9 и 10 Кодекса. Рабочая группа просила секретариат подг</w:t>
      </w:r>
      <w:r w:rsidRPr="00FB71E3">
        <w:t>о</w:t>
      </w:r>
      <w:r w:rsidRPr="00FB71E3">
        <w:t>товить предложение о соответствующей поправке для следующей сессии. Дел</w:t>
      </w:r>
      <w:r w:rsidRPr="00FB71E3">
        <w:t>е</w:t>
      </w:r>
      <w:r w:rsidRPr="00FB71E3">
        <w:t>гации, желающие сделать это, могут передать свои замечания в секретариат.</w:t>
      </w:r>
    </w:p>
    <w:p w:rsidR="00FB71E3" w:rsidRPr="00FB71E3" w:rsidRDefault="00FB71E3" w:rsidP="006C6589">
      <w:pPr>
        <w:pStyle w:val="H23GR"/>
      </w:pPr>
      <w:r w:rsidRPr="00FB71E3">
        <w:tab/>
        <w:t>5.</w:t>
      </w:r>
      <w:r w:rsidRPr="00FB71E3">
        <w:tab/>
        <w:t>Исправление к варианту на французском языке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Документ</w:t>
      </w:r>
      <w:r w:rsidRPr="00FB71E3">
        <w:t xml:space="preserve">: </w:t>
      </w:r>
      <w:r w:rsidR="006C6589">
        <w:tab/>
      </w:r>
      <w:r w:rsidR="006C6589">
        <w:tab/>
      </w:r>
      <w:r w:rsidR="006C6589">
        <w:tab/>
      </w:r>
      <w:r w:rsidRPr="00FB71E3">
        <w:tab/>
        <w:t>ECE/TRANS/WP.15/2016/21 (секретариат)</w:t>
      </w:r>
    </w:p>
    <w:p w:rsidR="00FB71E3" w:rsidRPr="00FB71E3" w:rsidRDefault="00FB71E3" w:rsidP="00BF03BF">
      <w:pPr>
        <w:pStyle w:val="SingleTxtGR"/>
      </w:pPr>
      <w:r w:rsidRPr="00FB71E3">
        <w:t>28.</w:t>
      </w:r>
      <w:r w:rsidRPr="00FB71E3">
        <w:tab/>
        <w:t>Рабочая группа подтвердила, что предложенное секретариатом исправл</w:t>
      </w:r>
      <w:r w:rsidRPr="00FB71E3">
        <w:t>е</w:t>
      </w:r>
      <w:r w:rsidRPr="00FB71E3">
        <w:t>ние направлено на обеспечение согласованности между вариантами ДОПОГ на разных языках. Рабочая группа приняла предложенное исправление и просила секретариат сделать все необходимое для того, чтобы как можно скорее опубл</w:t>
      </w:r>
      <w:r w:rsidRPr="00FB71E3">
        <w:t>и</w:t>
      </w:r>
      <w:r w:rsidRPr="00FB71E3">
        <w:t xml:space="preserve">ковать </w:t>
      </w:r>
      <w:r w:rsidR="000163F3">
        <w:t>«</w:t>
      </w:r>
      <w:r w:rsidRPr="00FB71E3">
        <w:t>исправление</w:t>
      </w:r>
      <w:r w:rsidR="000163F3">
        <w:t>»</w:t>
      </w:r>
      <w:r w:rsidRPr="00FB71E3">
        <w:t xml:space="preserve"> (см. приложение II).</w:t>
      </w:r>
    </w:p>
    <w:p w:rsidR="00FB71E3" w:rsidRPr="00FB71E3" w:rsidRDefault="00FB71E3" w:rsidP="006C6589">
      <w:pPr>
        <w:pStyle w:val="H23GR"/>
      </w:pPr>
      <w:r w:rsidRPr="00FB71E3">
        <w:tab/>
        <w:t>6.</w:t>
      </w:r>
      <w:r w:rsidRPr="00FB71E3">
        <w:tab/>
        <w:t>Заголовок подраздела 7.5.5.3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Неофициальный документ</w:t>
      </w:r>
      <w:r w:rsidRPr="00FB71E3">
        <w:t>:</w:t>
      </w:r>
      <w:r w:rsidRPr="00FB71E3">
        <w:tab/>
        <w:t>INF.10 (Швеция)</w:t>
      </w:r>
    </w:p>
    <w:p w:rsidR="00FB71E3" w:rsidRPr="00FB71E3" w:rsidRDefault="00FB71E3" w:rsidP="00BF03BF">
      <w:pPr>
        <w:pStyle w:val="SingleTxtGR"/>
      </w:pPr>
      <w:r w:rsidRPr="00FB71E3">
        <w:t>29.</w:t>
      </w:r>
      <w:r w:rsidRPr="00FB71E3">
        <w:tab/>
        <w:t>Рабочая группа подтвердила, что поправки, принятые на ее восемьдесят первой сессии на основе варианта 2, содержавшегося в документе ECE/TRANS/</w:t>
      </w:r>
      <w:r w:rsidR="00DB3A0F">
        <w:br/>
      </w:r>
      <w:r w:rsidRPr="00FB71E3">
        <w:t>WP.15/2006/12, не предусматривали исключение заголовка подраздела 7.5.5.3.</w:t>
      </w:r>
    </w:p>
    <w:p w:rsidR="00FB71E3" w:rsidRPr="00FB71E3" w:rsidRDefault="00FB71E3" w:rsidP="00BF03BF">
      <w:pPr>
        <w:pStyle w:val="SingleTxtGR"/>
      </w:pPr>
      <w:r w:rsidRPr="00FB71E3">
        <w:t>30.</w:t>
      </w:r>
      <w:r w:rsidRPr="00FB71E3">
        <w:tab/>
        <w:t xml:space="preserve">Рабочая группа приняла исправление, предложенное в неофициальном документе INF.10, и просила секретариат сделать все необходимое для того, чтобы как можно скорее опубликовать </w:t>
      </w:r>
      <w:r w:rsidR="000163F3">
        <w:t>«</w:t>
      </w:r>
      <w:r w:rsidRPr="00FB71E3">
        <w:t>исправление</w:t>
      </w:r>
      <w:r w:rsidR="000163F3">
        <w:t>»</w:t>
      </w:r>
      <w:r w:rsidRPr="00FB71E3">
        <w:t xml:space="preserve"> (см. приложение II).</w:t>
      </w:r>
    </w:p>
    <w:p w:rsidR="00FB71E3" w:rsidRPr="00FB71E3" w:rsidRDefault="00FB71E3" w:rsidP="006C6589">
      <w:pPr>
        <w:pStyle w:val="H23GR"/>
      </w:pPr>
      <w:r w:rsidRPr="00FB71E3">
        <w:tab/>
        <w:t>7.</w:t>
      </w:r>
      <w:r w:rsidRPr="00FB71E3">
        <w:tab/>
        <w:t>Специальное положение 636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Неофициальный документ</w:t>
      </w:r>
      <w:r w:rsidRPr="00FB71E3">
        <w:t>:</w:t>
      </w:r>
      <w:r w:rsidRPr="00FB71E3">
        <w:tab/>
        <w:t>INF.19 (Швейцария)</w:t>
      </w:r>
    </w:p>
    <w:p w:rsidR="00FB71E3" w:rsidRPr="00FB71E3" w:rsidRDefault="00FB71E3" w:rsidP="00BF03BF">
      <w:pPr>
        <w:pStyle w:val="SingleTxtGR"/>
      </w:pPr>
      <w:r w:rsidRPr="00FB71E3">
        <w:t>31.</w:t>
      </w:r>
      <w:r w:rsidRPr="00FB71E3">
        <w:tab/>
        <w:t xml:space="preserve">Рабочая группа отметила, что на своей осенней сессии 2016 года </w:t>
      </w:r>
      <w:r w:rsidR="00DB3A0F">
        <w:br/>
      </w:r>
      <w:r w:rsidRPr="00FB71E3">
        <w:t>Совместное совещание приняло поправку, уточняющую, что литиевые элеме</w:t>
      </w:r>
      <w:r w:rsidRPr="00FB71E3">
        <w:t>н</w:t>
      </w:r>
      <w:r w:rsidRPr="00FB71E3">
        <w:t xml:space="preserve">ты и батареи, на которые распространяется </w:t>
      </w:r>
      <w:r w:rsidR="00DB3A0F">
        <w:t>действие специального полож</w:t>
      </w:r>
      <w:r w:rsidR="00DB3A0F">
        <w:t>е</w:t>
      </w:r>
      <w:r w:rsidR="00DB3A0F">
        <w:t>ния </w:t>
      </w:r>
      <w:r w:rsidRPr="00FB71E3">
        <w:t>636 b), могут перевозиться вместе с нелитиевыми элементами или батаре</w:t>
      </w:r>
      <w:r w:rsidRPr="00FB71E3">
        <w:t>я</w:t>
      </w:r>
      <w:r w:rsidRPr="00FB71E3">
        <w:t>ми.</w:t>
      </w:r>
    </w:p>
    <w:p w:rsidR="00FB71E3" w:rsidRPr="00FB71E3" w:rsidRDefault="00FB71E3" w:rsidP="00BF03BF">
      <w:pPr>
        <w:pStyle w:val="SingleTxtGR"/>
      </w:pPr>
      <w:r w:rsidRPr="00FB71E3">
        <w:t>32.</w:t>
      </w:r>
      <w:r w:rsidRPr="00FB71E3">
        <w:tab/>
        <w:t>Данное уточнение уже имелось в изданиях МПОГ/ДОПОГ/ВОПОГ 2015 года, однако оно не было повторено в измененном тексте специального положения 636, принятом для вступления в силу 1 января 2017 года.</w:t>
      </w:r>
    </w:p>
    <w:p w:rsidR="00FB71E3" w:rsidRPr="00FB71E3" w:rsidRDefault="00FB71E3" w:rsidP="00BF03BF">
      <w:pPr>
        <w:pStyle w:val="SingleTxtGR"/>
      </w:pPr>
      <w:r w:rsidRPr="00FB71E3">
        <w:t>33.</w:t>
      </w:r>
      <w:r w:rsidRPr="00FB71E3">
        <w:tab/>
        <w:t>Представитель Швейцарии предложил вновь включить данное уточнение в тексты, вступающие в силу в 2017 году, в качестве исправления. Сотрудник секретариата напомнил, что Совместное совещание обсудило и приняло реш</w:t>
      </w:r>
      <w:r w:rsidRPr="00FB71E3">
        <w:t>е</w:t>
      </w:r>
      <w:r w:rsidRPr="00FB71E3">
        <w:t>ние об исключении этого текста и что пересмотр данного решения означал бы принятие новой поправки, а не исправления.</w:t>
      </w:r>
    </w:p>
    <w:p w:rsidR="00FB71E3" w:rsidRPr="00FB71E3" w:rsidRDefault="00FB71E3" w:rsidP="00BF03BF">
      <w:pPr>
        <w:pStyle w:val="SingleTxtGR"/>
      </w:pPr>
      <w:r w:rsidRPr="00FB71E3">
        <w:t>34.</w:t>
      </w:r>
      <w:r w:rsidRPr="00FB71E3">
        <w:tab/>
        <w:t>Представитель Швейцарии снял с рассмотрения свое предложение.</w:t>
      </w:r>
    </w:p>
    <w:p w:rsidR="00FB71E3" w:rsidRPr="00FB71E3" w:rsidRDefault="00FB71E3" w:rsidP="006C6589">
      <w:pPr>
        <w:pStyle w:val="H23GR"/>
      </w:pPr>
      <w:r w:rsidRPr="00FB71E3">
        <w:tab/>
        <w:t>8.</w:t>
      </w:r>
      <w:r w:rsidRPr="00FB71E3">
        <w:tab/>
        <w:t>Увеличение разрешенного к</w:t>
      </w:r>
      <w:r w:rsidR="006C6589">
        <w:t>оличества взрывчатых веществ на </w:t>
      </w:r>
      <w:r w:rsidRPr="00FB71E3">
        <w:t>транспортную единицу</w:t>
      </w:r>
    </w:p>
    <w:p w:rsidR="00FB71E3" w:rsidRPr="00FB71E3" w:rsidRDefault="00FB71E3" w:rsidP="00BF03BF">
      <w:pPr>
        <w:pStyle w:val="SingleTxtGR"/>
      </w:pPr>
      <w:r w:rsidRPr="00FB71E3">
        <w:rPr>
          <w:i/>
          <w:iCs/>
        </w:rPr>
        <w:t>Неофициальный документ:</w:t>
      </w:r>
      <w:r w:rsidR="006C6589">
        <w:rPr>
          <w:i/>
          <w:iCs/>
        </w:rPr>
        <w:tab/>
      </w:r>
      <w:r w:rsidR="006C6589">
        <w:rPr>
          <w:i/>
          <w:iCs/>
        </w:rPr>
        <w:tab/>
      </w:r>
      <w:r w:rsidRPr="00FB71E3">
        <w:t>INF.13 (Испания)</w:t>
      </w:r>
    </w:p>
    <w:p w:rsidR="00FB71E3" w:rsidRPr="00FB71E3" w:rsidRDefault="00FB71E3" w:rsidP="00BF03BF">
      <w:pPr>
        <w:pStyle w:val="SingleTxtGR"/>
      </w:pPr>
      <w:r w:rsidRPr="00FB71E3">
        <w:t>35.</w:t>
      </w:r>
      <w:r w:rsidRPr="00FB71E3">
        <w:tab/>
        <w:t>Несколько делегаций заявили, что им хотелось бы получить больше вр</w:t>
      </w:r>
      <w:r w:rsidRPr="00FB71E3">
        <w:t>е</w:t>
      </w:r>
      <w:r w:rsidRPr="00FB71E3">
        <w:t>мени для изучения предложения Испании об увеличении максимального разр</w:t>
      </w:r>
      <w:r w:rsidRPr="00FB71E3">
        <w:t>е</w:t>
      </w:r>
      <w:r w:rsidRPr="00FB71E3">
        <w:t>шенного к перевозке количества взрывчатых веществ на транспортную един</w:t>
      </w:r>
      <w:r w:rsidRPr="00FB71E3">
        <w:t>и</w:t>
      </w:r>
      <w:r w:rsidRPr="00FB71E3">
        <w:t>цу. Представитель Испании просил делегации, желающие представить замеч</w:t>
      </w:r>
      <w:r w:rsidRPr="00FB71E3">
        <w:t>а</w:t>
      </w:r>
      <w:r w:rsidRPr="00FB71E3">
        <w:lastRenderedPageBreak/>
        <w:t>ния, предоставлять их в письменном виде. Представитель Испании подготовит официальное предложение к будущей сессии.</w:t>
      </w:r>
    </w:p>
    <w:p w:rsidR="00FB71E3" w:rsidRPr="00FB71E3" w:rsidRDefault="00FB71E3" w:rsidP="00BF03BF">
      <w:pPr>
        <w:pStyle w:val="SingleTxtGR"/>
      </w:pPr>
      <w:r w:rsidRPr="00FB71E3">
        <w:t>36.</w:t>
      </w:r>
      <w:r w:rsidRPr="00FB71E3">
        <w:tab/>
        <w:t>В рамках дальнейшего обсуждения этой темы будут рассмотрены, в час</w:t>
      </w:r>
      <w:r w:rsidRPr="00FB71E3">
        <w:t>т</w:t>
      </w:r>
      <w:r w:rsidRPr="00FB71E3">
        <w:t>ности, следующие вопросы:</w:t>
      </w:r>
    </w:p>
    <w:p w:rsidR="00FB71E3" w:rsidRPr="00FB71E3" w:rsidRDefault="00FB71E3" w:rsidP="006C6589">
      <w:pPr>
        <w:pStyle w:val="Bullet1GR"/>
      </w:pPr>
      <w:r w:rsidRPr="00FB71E3">
        <w:t>национальные различия в части максимального веса, разрешенного для транспортных средств;</w:t>
      </w:r>
    </w:p>
    <w:p w:rsidR="00FB71E3" w:rsidRPr="00FB71E3" w:rsidRDefault="00FB71E3" w:rsidP="006C6589">
      <w:pPr>
        <w:pStyle w:val="Bullet1GR"/>
      </w:pPr>
      <w:r w:rsidRPr="00FB71E3">
        <w:t>разрешенные предельные значения для других видов транспорта;</w:t>
      </w:r>
    </w:p>
    <w:p w:rsidR="00FB71E3" w:rsidRPr="00FB71E3" w:rsidRDefault="00FB71E3" w:rsidP="006C6589">
      <w:pPr>
        <w:pStyle w:val="Bullet1GR"/>
      </w:pPr>
      <w:r w:rsidRPr="00FB71E3">
        <w:t>дополнительные положения о предотвращении аварий и защите в случае аварии с тем, чтобы учесть, было ли увеличено разрешенное количество;</w:t>
      </w:r>
    </w:p>
    <w:p w:rsidR="00FB71E3" w:rsidRPr="00FB71E3" w:rsidRDefault="00FB71E3" w:rsidP="006C6589">
      <w:pPr>
        <w:pStyle w:val="Bullet1GR"/>
      </w:pPr>
      <w:r w:rsidRPr="00FB71E3">
        <w:t>положения, касающиеся безопасности;</w:t>
      </w:r>
    </w:p>
    <w:p w:rsidR="00FB71E3" w:rsidRPr="00FB71E3" w:rsidRDefault="00FB71E3" w:rsidP="006C6589">
      <w:pPr>
        <w:pStyle w:val="Bullet1GR"/>
      </w:pPr>
      <w:r w:rsidRPr="00FB71E3">
        <w:t>анализ рисков.</w:t>
      </w:r>
    </w:p>
    <w:p w:rsidR="00FB71E3" w:rsidRPr="00FB71E3" w:rsidRDefault="00FB71E3" w:rsidP="006C6589">
      <w:pPr>
        <w:pStyle w:val="HChGR"/>
      </w:pPr>
      <w:r w:rsidRPr="00FB71E3">
        <w:tab/>
        <w:t>VII.</w:t>
      </w:r>
      <w:r w:rsidRPr="00FB71E3">
        <w:tab/>
        <w:t>Толкование ДОПОГ (пункт 6 повестки дня)</w:t>
      </w:r>
    </w:p>
    <w:p w:rsidR="00FB71E3" w:rsidRPr="00FB71E3" w:rsidRDefault="00FB71E3" w:rsidP="006C6589">
      <w:pPr>
        <w:pStyle w:val="H1GR"/>
      </w:pPr>
      <w:r w:rsidRPr="00FB71E3">
        <w:tab/>
        <w:t>A.</w:t>
      </w:r>
      <w:r w:rsidRPr="00FB71E3">
        <w:tab/>
        <w:t>Вступление в Польше в силу нового закона, требующего указания в транспортном документе собственника опасного груза в соответствии с главой 5.4 ДОПОГ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Неофициальный документ</w:t>
      </w:r>
      <w:r w:rsidRPr="00FB71E3">
        <w:t>:</w:t>
      </w:r>
      <w:r w:rsidRPr="00FB71E3">
        <w:tab/>
        <w:t>INF.7 (МСАТ)</w:t>
      </w:r>
    </w:p>
    <w:p w:rsidR="00FB71E3" w:rsidRPr="00FB71E3" w:rsidRDefault="00FB71E3" w:rsidP="00BF03BF">
      <w:pPr>
        <w:pStyle w:val="SingleTxtGR"/>
      </w:pPr>
      <w:r w:rsidRPr="00FB71E3">
        <w:t>37.</w:t>
      </w:r>
      <w:r w:rsidRPr="00FB71E3">
        <w:tab/>
        <w:t>Рабочая группа отметила, что в Польше вступил в силу новый закон, тр</w:t>
      </w:r>
      <w:r w:rsidRPr="00FB71E3">
        <w:t>е</w:t>
      </w:r>
      <w:r w:rsidRPr="00FB71E3">
        <w:t>бующий от участников перевозки опасных грузов указать в документах, пред</w:t>
      </w:r>
      <w:r w:rsidRPr="00FB71E3">
        <w:t>у</w:t>
      </w:r>
      <w:r w:rsidRPr="00FB71E3">
        <w:t>смотренных МПОГ/ДОПОГ/ВОПОГ, наименование и адрес образования, кот</w:t>
      </w:r>
      <w:r w:rsidRPr="00FB71E3">
        <w:t>о</w:t>
      </w:r>
      <w:r w:rsidRPr="00FB71E3">
        <w:t>рому принадлежит опасный груз на момент его передачи перевозчику.</w:t>
      </w:r>
    </w:p>
    <w:p w:rsidR="00FB71E3" w:rsidRPr="00FB71E3" w:rsidRDefault="00FB71E3" w:rsidP="00BF03BF">
      <w:pPr>
        <w:pStyle w:val="SingleTxtGR"/>
      </w:pPr>
      <w:r w:rsidRPr="00FB71E3">
        <w:t>38.</w:t>
      </w:r>
      <w:r w:rsidRPr="00FB71E3">
        <w:tab/>
        <w:t>Рабочая группа также отметила, что перевозки, не отвечающие этим тр</w:t>
      </w:r>
      <w:r w:rsidRPr="00FB71E3">
        <w:t>е</w:t>
      </w:r>
      <w:r w:rsidRPr="00FB71E3">
        <w:t>бованиям, могут быть подвергнуты штрафу и запрещены на территории Пол</w:t>
      </w:r>
      <w:r w:rsidRPr="00FB71E3">
        <w:t>ь</w:t>
      </w:r>
      <w:r w:rsidRPr="00FB71E3">
        <w:t>ши.</w:t>
      </w:r>
    </w:p>
    <w:p w:rsidR="00FB71E3" w:rsidRPr="00FB71E3" w:rsidRDefault="00FB71E3" w:rsidP="00BF03BF">
      <w:pPr>
        <w:pStyle w:val="SingleTxtGR"/>
      </w:pPr>
      <w:r w:rsidRPr="00FB71E3">
        <w:t>39.</w:t>
      </w:r>
      <w:r w:rsidRPr="00FB71E3">
        <w:tab/>
        <w:t>Представитель Польши указал, что этот закон направлен на борьбу с че</w:t>
      </w:r>
      <w:r w:rsidRPr="00FB71E3">
        <w:t>р</w:t>
      </w:r>
      <w:r w:rsidRPr="00FB71E3">
        <w:t>ным рынком некоторых опасных грузов, в силу чего он был принят по прич</w:t>
      </w:r>
      <w:r w:rsidRPr="00FB71E3">
        <w:t>и</w:t>
      </w:r>
      <w:r w:rsidRPr="00FB71E3">
        <w:t>нам иным, чем безопасность во время перевозки.</w:t>
      </w:r>
    </w:p>
    <w:p w:rsidR="00FB71E3" w:rsidRPr="00FB71E3" w:rsidRDefault="00FB71E3" w:rsidP="00BF03BF">
      <w:pPr>
        <w:pStyle w:val="SingleTxtGR"/>
      </w:pPr>
      <w:r w:rsidRPr="00FB71E3">
        <w:t>40.</w:t>
      </w:r>
      <w:r w:rsidRPr="00FB71E3">
        <w:tab/>
        <w:t>Рабочая группа подтвердила, что в данном случае применяется пункт 1 статьи 4 ДОПОГ, выразив при этом сожаление в связи с принятием такого р</w:t>
      </w:r>
      <w:r w:rsidRPr="00FB71E3">
        <w:t>е</w:t>
      </w:r>
      <w:r w:rsidRPr="00FB71E3">
        <w:t>шения, поскольку оно создает препятствия для международной торговли опа</w:t>
      </w:r>
      <w:r w:rsidRPr="00FB71E3">
        <w:t>с</w:t>
      </w:r>
      <w:r w:rsidRPr="00FB71E3">
        <w:t>ными грузами.</w:t>
      </w:r>
    </w:p>
    <w:p w:rsidR="00FB71E3" w:rsidRPr="00FB71E3" w:rsidRDefault="00FB71E3" w:rsidP="00BF03BF">
      <w:pPr>
        <w:pStyle w:val="SingleTxtGR"/>
      </w:pPr>
      <w:r w:rsidRPr="00FB71E3">
        <w:t>41.</w:t>
      </w:r>
      <w:r w:rsidRPr="00FB71E3">
        <w:tab/>
        <w:t>Ряд делегаций подняли проблему толкования понятия собственника гр</w:t>
      </w:r>
      <w:r w:rsidRPr="00FB71E3">
        <w:t>у</w:t>
      </w:r>
      <w:r w:rsidRPr="00FB71E3">
        <w:t>за.</w:t>
      </w:r>
    </w:p>
    <w:p w:rsidR="00FB71E3" w:rsidRPr="00FB71E3" w:rsidRDefault="00FB71E3" w:rsidP="00BF03BF">
      <w:pPr>
        <w:pStyle w:val="SingleTxtGR"/>
      </w:pPr>
      <w:r w:rsidRPr="00FB71E3">
        <w:t>42.</w:t>
      </w:r>
      <w:r w:rsidRPr="00FB71E3">
        <w:tab/>
        <w:t>Представитель Польши сообщил, что его правительство приняло к свед</w:t>
      </w:r>
      <w:r w:rsidRPr="00FB71E3">
        <w:t>е</w:t>
      </w:r>
      <w:r w:rsidRPr="00FB71E3">
        <w:t>нию поднятые вопросы, при этом в настоящее время проводится анализ с целью изыскания наилучшего решения с точки зрения как учета экономических аспе</w:t>
      </w:r>
      <w:r w:rsidRPr="00FB71E3">
        <w:t>к</w:t>
      </w:r>
      <w:r w:rsidRPr="00FB71E3">
        <w:t>тов, так и упрощения процедур международной торговли. Пока что министе</w:t>
      </w:r>
      <w:r w:rsidRPr="00FB71E3">
        <w:t>р</w:t>
      </w:r>
      <w:r w:rsidRPr="00FB71E3">
        <w:t>ство транспорта рекомендовало контролирующим органам не наказывать в св</w:t>
      </w:r>
      <w:r w:rsidRPr="00FB71E3">
        <w:t>я</w:t>
      </w:r>
      <w:r w:rsidRPr="00FB71E3">
        <w:t>зи с перевозками, которые не отвечают требованиям указанного закона. Однако данная рекомендация не имеет юридического характера, и контролирующие о</w:t>
      </w:r>
      <w:r w:rsidRPr="00FB71E3">
        <w:t>р</w:t>
      </w:r>
      <w:r w:rsidRPr="00FB71E3">
        <w:lastRenderedPageBreak/>
        <w:t>ганы могут по своему усмотрению наказывать или не наказывать за несоблюд</w:t>
      </w:r>
      <w:r w:rsidRPr="00FB71E3">
        <w:t>е</w:t>
      </w:r>
      <w:r w:rsidRPr="00FB71E3">
        <w:t>ние этого закона</w:t>
      </w:r>
      <w:r w:rsidR="00035565" w:rsidRPr="00035565">
        <w:rPr>
          <w:rStyle w:val="Appelnotedebasdep"/>
          <w:sz w:val="20"/>
          <w:vertAlign w:val="baseline"/>
        </w:rPr>
        <w:footnoteReference w:customMarkFollows="1" w:id="1"/>
        <w:t>*</w:t>
      </w:r>
      <w:r w:rsidR="00035565">
        <w:t>.</w:t>
      </w:r>
    </w:p>
    <w:p w:rsidR="00FB71E3" w:rsidRPr="00FB71E3" w:rsidRDefault="00FB71E3" w:rsidP="00BF03BF">
      <w:pPr>
        <w:pStyle w:val="SingleTxtGR"/>
      </w:pPr>
      <w:r w:rsidRPr="00FB71E3">
        <w:t>43.</w:t>
      </w:r>
      <w:r w:rsidRPr="00FB71E3">
        <w:tab/>
        <w:t>Представитель Европейского союза отметил, что несколько его членов направили жалобы, имеющие отношение к этому закону, и в настоящее время Европейский союз и правительство Польши действуют в соответствии с особой официальной процедурой.</w:t>
      </w:r>
    </w:p>
    <w:p w:rsidR="00FB71E3" w:rsidRPr="00FB71E3" w:rsidRDefault="00FB71E3" w:rsidP="006C6589">
      <w:pPr>
        <w:pStyle w:val="H1GR"/>
      </w:pPr>
      <w:r w:rsidRPr="00FB71E3">
        <w:tab/>
        <w:t>В.</w:t>
      </w:r>
      <w:r w:rsidRPr="00FB71E3">
        <w:tab/>
        <w:t>Толкование раздела 9.2.5</w:t>
      </w:r>
    </w:p>
    <w:p w:rsidR="00FB71E3" w:rsidRPr="00FB71E3" w:rsidRDefault="00FB71E3" w:rsidP="00BF03BF">
      <w:pPr>
        <w:pStyle w:val="SingleTxtGR"/>
      </w:pPr>
      <w:r w:rsidRPr="006C6589">
        <w:rPr>
          <w:i/>
        </w:rPr>
        <w:t>Документ</w:t>
      </w:r>
      <w:r w:rsidRPr="00FB71E3">
        <w:t>:</w:t>
      </w:r>
      <w:r w:rsidR="006C6589">
        <w:tab/>
      </w:r>
      <w:r w:rsidR="006C6589">
        <w:tab/>
      </w:r>
      <w:r w:rsidR="006C6589">
        <w:tab/>
      </w:r>
      <w:r w:rsidRPr="00FB71E3">
        <w:tab/>
        <w:t xml:space="preserve">ECE/TRANS/WP.15/2016/13 </w:t>
      </w:r>
      <w:r w:rsidR="006C6589">
        <w:br/>
      </w:r>
      <w:r w:rsidR="006C6589">
        <w:tab/>
      </w:r>
      <w:r w:rsidR="006C6589">
        <w:tab/>
      </w:r>
      <w:r w:rsidR="006C6589">
        <w:tab/>
      </w:r>
      <w:r w:rsidR="006C6589">
        <w:tab/>
      </w:r>
      <w:r w:rsidR="006C6589">
        <w:tab/>
      </w:r>
      <w:r w:rsidRPr="00FB71E3">
        <w:t>(Российская Федерация)</w:t>
      </w:r>
    </w:p>
    <w:p w:rsidR="00FB71E3" w:rsidRPr="00FB71E3" w:rsidRDefault="00FB71E3" w:rsidP="00BF03BF">
      <w:pPr>
        <w:pStyle w:val="SingleTxtGR"/>
      </w:pPr>
      <w:r w:rsidRPr="00FB71E3">
        <w:t>44.</w:t>
      </w:r>
      <w:r w:rsidRPr="00FB71E3">
        <w:tab/>
        <w:t>По мнению нескольких делегаций, транспортное средство, оснащенное функцией ограничения скорости (ФОС), может считаться соответствующим требованиям раздела 9.2.5, однако это следует уточнить в самом разделе 9.2.5. Кроме того, в этот раздел следует внести поправки с тем, чтобы учесть техн</w:t>
      </w:r>
      <w:r w:rsidRPr="00FB71E3">
        <w:t>и</w:t>
      </w:r>
      <w:r w:rsidRPr="00FB71E3">
        <w:t>ческий прогресс и новые технологии, используемые для ограничения скорости.</w:t>
      </w:r>
    </w:p>
    <w:p w:rsidR="00FB71E3" w:rsidRPr="00FB71E3" w:rsidRDefault="00FB71E3" w:rsidP="00BF03BF">
      <w:pPr>
        <w:pStyle w:val="SingleTxtGR"/>
      </w:pPr>
      <w:r w:rsidRPr="00FB71E3">
        <w:t>45.</w:t>
      </w:r>
      <w:r w:rsidRPr="00FB71E3">
        <w:tab/>
        <w:t>Рабочая группа предложила представителю Российской Федерации также проконсультироваться с Рабочей группой по вопросам торможения и ходовой части Всемирного форума по согласованию правил в области транспортных средств (WP.29). Представитель Российской Федерации представит предлож</w:t>
      </w:r>
      <w:r w:rsidRPr="00FB71E3">
        <w:t>е</w:t>
      </w:r>
      <w:r w:rsidRPr="00FB71E3">
        <w:t>ние о внесении поправок в раздел 9.2.5 на одной из будущих сессий.</w:t>
      </w:r>
    </w:p>
    <w:p w:rsidR="00FB71E3" w:rsidRPr="00FB71E3" w:rsidRDefault="00FB71E3" w:rsidP="00946BA7">
      <w:pPr>
        <w:pStyle w:val="H1GR"/>
      </w:pPr>
      <w:r w:rsidRPr="00FB71E3">
        <w:tab/>
        <w:t>C.</w:t>
      </w:r>
      <w:r w:rsidRPr="00FB71E3">
        <w:tab/>
        <w:t>Сфера применения специального положения 601</w:t>
      </w:r>
    </w:p>
    <w:p w:rsidR="00FB71E3" w:rsidRPr="00FB71E3" w:rsidRDefault="00FB71E3" w:rsidP="00946BA7">
      <w:pPr>
        <w:pStyle w:val="SingleTxtGR"/>
        <w:rPr>
          <w:bCs/>
        </w:rPr>
      </w:pPr>
      <w:r w:rsidRPr="00946BA7">
        <w:rPr>
          <w:i/>
        </w:rPr>
        <w:t>Неофициальный документ</w:t>
      </w:r>
      <w:r w:rsidRPr="00FB71E3">
        <w:t>:</w:t>
      </w:r>
      <w:r w:rsidR="00946BA7">
        <w:tab/>
      </w:r>
      <w:r w:rsidR="00946BA7">
        <w:tab/>
        <w:t>INF.6 (Швейцария)</w:t>
      </w:r>
    </w:p>
    <w:p w:rsidR="00FB71E3" w:rsidRPr="00FB71E3" w:rsidRDefault="00FB71E3" w:rsidP="00BF03BF">
      <w:pPr>
        <w:pStyle w:val="SingleTxtGR"/>
      </w:pPr>
      <w:r w:rsidRPr="00FB71E3">
        <w:t>46.</w:t>
      </w:r>
      <w:r w:rsidRPr="00FB71E3">
        <w:tab/>
        <w:t xml:space="preserve">Представитель Австрии заявил, что </w:t>
      </w:r>
      <w:r w:rsidR="00035565">
        <w:t>в Австрии специальное полож</w:t>
      </w:r>
      <w:r w:rsidR="00035565">
        <w:t>е</w:t>
      </w:r>
      <w:r w:rsidR="00035565">
        <w:t>ние </w:t>
      </w:r>
      <w:r w:rsidRPr="00FB71E3">
        <w:t>601 используется только в отношении товаров в розничной упаковке. Пре</w:t>
      </w:r>
      <w:r w:rsidRPr="00FB71E3">
        <w:t>д</w:t>
      </w:r>
      <w:r w:rsidRPr="00FB71E3">
        <w:t>ставитель ЕСФХП подтвердил, что члены ЕСФХП применяют это специальное положение в таких же случаях.</w:t>
      </w:r>
    </w:p>
    <w:p w:rsidR="00FB71E3" w:rsidRPr="00FB71E3" w:rsidRDefault="00FB71E3" w:rsidP="00035565">
      <w:pPr>
        <w:pStyle w:val="H1GR"/>
      </w:pPr>
      <w:r w:rsidRPr="00FB71E3">
        <w:lastRenderedPageBreak/>
        <w:tab/>
        <w:t>D.</w:t>
      </w:r>
      <w:r w:rsidRPr="00FB71E3">
        <w:tab/>
        <w:t>Необходимость включения ссылки на положения раздела 8.2.3 в главы 3.4 и 3.5</w:t>
      </w:r>
    </w:p>
    <w:p w:rsidR="00FB71E3" w:rsidRPr="00FB71E3" w:rsidRDefault="00FB71E3" w:rsidP="00BF03BF">
      <w:pPr>
        <w:pStyle w:val="SingleTxtGR"/>
      </w:pPr>
      <w:r w:rsidRPr="00FB71E3">
        <w:rPr>
          <w:i/>
          <w:iCs/>
        </w:rPr>
        <w:t>Неофициальный документ:</w:t>
      </w:r>
      <w:r w:rsidR="00C34CF7">
        <w:tab/>
      </w:r>
      <w:r w:rsidRPr="00FB71E3">
        <w:t xml:space="preserve">INF.11 (Румыния) </w:t>
      </w:r>
    </w:p>
    <w:p w:rsidR="00FB71E3" w:rsidRPr="00FB71E3" w:rsidRDefault="00FB71E3" w:rsidP="00BF03BF">
      <w:pPr>
        <w:pStyle w:val="SingleTxtGR"/>
      </w:pPr>
      <w:r w:rsidRPr="00FB71E3">
        <w:t>47.</w:t>
      </w:r>
      <w:r w:rsidRPr="00FB71E3">
        <w:tab/>
        <w:t>По вопросу о включении ссылки на раздел 8.2.3 в главы 3.4 и 3.5 консе</w:t>
      </w:r>
      <w:r w:rsidRPr="00FB71E3">
        <w:t>н</w:t>
      </w:r>
      <w:r w:rsidRPr="00FB71E3">
        <w:t>сус достигнут не был.</w:t>
      </w:r>
    </w:p>
    <w:p w:rsidR="00FB71E3" w:rsidRPr="00FB71E3" w:rsidRDefault="00FB71E3" w:rsidP="00BF03BF">
      <w:pPr>
        <w:pStyle w:val="SingleTxtGR"/>
      </w:pPr>
      <w:r w:rsidRPr="00FB71E3">
        <w:t>48.</w:t>
      </w:r>
      <w:r w:rsidRPr="00FB71E3">
        <w:tab/>
        <w:t>По мнению некоторых делегаций, содержащейся в разделах 3.4.1 и 3.5.1.1 ссылки на главу 1.3 вполне достаточно, поскольку раздел 8.2.3 содержит ссылку на положения этой главы 1.3 и не вводит дополнительных требований. Другие делегации сочли, что раздел 8.2.3 дополняет главу 1.3, и, следовательно, было бы целесообразно включить соответствующую ссылку.</w:t>
      </w:r>
    </w:p>
    <w:p w:rsidR="00FB71E3" w:rsidRPr="00FB71E3" w:rsidRDefault="00FB71E3" w:rsidP="00C34CF7">
      <w:pPr>
        <w:pStyle w:val="H1GR"/>
      </w:pPr>
      <w:r w:rsidRPr="00FB71E3">
        <w:tab/>
        <w:t>E.</w:t>
      </w:r>
      <w:r w:rsidRPr="00FB71E3">
        <w:tab/>
        <w:t>Аварийный жилет и ссылка на стандарт EN 471</w:t>
      </w:r>
    </w:p>
    <w:p w:rsidR="00FB71E3" w:rsidRPr="00FB71E3" w:rsidRDefault="00FB71E3" w:rsidP="00C34CF7">
      <w:pPr>
        <w:pStyle w:val="SingleTxtGR"/>
        <w:rPr>
          <w:bCs/>
        </w:rPr>
      </w:pPr>
      <w:r w:rsidRPr="00C34CF7">
        <w:rPr>
          <w:i/>
        </w:rPr>
        <w:t>Неофициальный документ</w:t>
      </w:r>
      <w:r w:rsidR="00C34CF7">
        <w:t>:</w:t>
      </w:r>
      <w:r w:rsidR="00C34CF7">
        <w:tab/>
      </w:r>
      <w:r w:rsidRPr="00FB71E3">
        <w:t>INF.14 (Финляндия)</w:t>
      </w:r>
    </w:p>
    <w:p w:rsidR="00FB71E3" w:rsidRPr="00FB71E3" w:rsidRDefault="00FB71E3" w:rsidP="00BF03BF">
      <w:pPr>
        <w:pStyle w:val="SingleTxtGR"/>
      </w:pPr>
      <w:r w:rsidRPr="00FB71E3">
        <w:t>49.</w:t>
      </w:r>
      <w:r w:rsidRPr="00FB71E3">
        <w:tab/>
        <w:t xml:space="preserve">Рабочая группа приняла поправку, предложенную представителем </w:t>
      </w:r>
      <w:r w:rsidR="001D41CF">
        <w:br/>
      </w:r>
      <w:r w:rsidRPr="00FB71E3">
        <w:t>Финляндии, о замене ссылки на стандарт EN</w:t>
      </w:r>
      <w:r w:rsidR="001D41CF">
        <w:t xml:space="preserve"> 471 ссылкой на ста</w:t>
      </w:r>
      <w:r w:rsidR="001D41CF">
        <w:t>н</w:t>
      </w:r>
      <w:r w:rsidR="001D41CF">
        <w:t>дарт EN ISO </w:t>
      </w:r>
      <w:r w:rsidRPr="00FB71E3">
        <w:t>20471.</w:t>
      </w:r>
    </w:p>
    <w:p w:rsidR="00FB71E3" w:rsidRPr="00FB71E3" w:rsidRDefault="00FB71E3" w:rsidP="00BF03BF">
      <w:pPr>
        <w:pStyle w:val="SingleTxtGR"/>
      </w:pPr>
      <w:r w:rsidRPr="00FB71E3">
        <w:t>50.</w:t>
      </w:r>
      <w:r w:rsidRPr="00FB71E3">
        <w:tab/>
        <w:t>По мнению делегаций, которые представили замечания, вид экипировки по требованию четвертого подпункта раздела 8.1.5.2 может представлять собой куртку с рукавами или без рукавов при условии ее достаточной видимости.</w:t>
      </w:r>
    </w:p>
    <w:p w:rsidR="00FB71E3" w:rsidRPr="00FB71E3" w:rsidRDefault="00FB71E3" w:rsidP="00BF03BF">
      <w:pPr>
        <w:pStyle w:val="SingleTxtGR"/>
      </w:pPr>
      <w:r w:rsidRPr="00FB71E3">
        <w:t>51.</w:t>
      </w:r>
      <w:r w:rsidRPr="00FB71E3">
        <w:tab/>
        <w:t>Рабочая группа отметила, что обозначающие экипировку термины ра</w:t>
      </w:r>
      <w:r w:rsidRPr="00FB71E3">
        <w:t>з</w:t>
      </w:r>
      <w:r w:rsidRPr="00FB71E3">
        <w:t>нятся в текстах ДОПОГ на разных языках и что их следует унифицировать, в конечном итоге используя термины стандарта EN ISO 20471.</w:t>
      </w:r>
    </w:p>
    <w:p w:rsidR="00FB71E3" w:rsidRPr="00FB71E3" w:rsidRDefault="00FB71E3" w:rsidP="00BF03BF">
      <w:pPr>
        <w:pStyle w:val="SingleTxtGR"/>
      </w:pPr>
      <w:r w:rsidRPr="00FB71E3">
        <w:t>52.</w:t>
      </w:r>
      <w:r w:rsidRPr="00FB71E3">
        <w:tab/>
        <w:t>Представитель Финляндии, возможно, представит предложение о внес</w:t>
      </w:r>
      <w:r w:rsidRPr="00FB71E3">
        <w:t>е</w:t>
      </w:r>
      <w:r w:rsidRPr="00FB71E3">
        <w:t>нии поправок в раздел 8.1.5.2 на одной из будущих сессий.</w:t>
      </w:r>
    </w:p>
    <w:p w:rsidR="00FB71E3" w:rsidRPr="00FB71E3" w:rsidRDefault="00FB71E3" w:rsidP="009627D2">
      <w:pPr>
        <w:pStyle w:val="HChGR"/>
      </w:pPr>
      <w:r w:rsidRPr="00FB71E3">
        <w:tab/>
        <w:t>VIII.</w:t>
      </w:r>
      <w:r w:rsidRPr="00FB71E3">
        <w:tab/>
        <w:t>Программа работы (пункт 7 повестки дня)</w:t>
      </w:r>
    </w:p>
    <w:p w:rsidR="00FB71E3" w:rsidRPr="00FB71E3" w:rsidRDefault="00FB71E3" w:rsidP="00BF03BF">
      <w:pPr>
        <w:pStyle w:val="SingleTxtGR"/>
      </w:pPr>
      <w:r w:rsidRPr="00FB71E3">
        <w:t>53.</w:t>
      </w:r>
      <w:r w:rsidRPr="00FB71E3">
        <w:tab/>
        <w:t>В повестку дня следующей сессии будут включены пункты: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Утверждение повестки дня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Семьдесят девятая сессия Комитета по внутреннему транспорту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Состояние Европейского соглашения о международной дорожной пер</w:t>
      </w:r>
      <w:r w:rsidR="00FB71E3" w:rsidRPr="00FB71E3">
        <w:t>е</w:t>
      </w:r>
      <w:r w:rsidR="00FB71E3" w:rsidRPr="00FB71E3">
        <w:t>возке опасных грузов (ДОПОГ) и связанные с этим вопросы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Работа Совместного совещания МПОГ/ДОПОГ/ВОПОГ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Предложения о внесении поправок в приложения A и B к ДОПОГ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Толкование ДОПОГ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Программа работы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Прочие вопросы</w:t>
      </w:r>
      <w:r>
        <w:t>»</w:t>
      </w:r>
      <w:r w:rsidR="00FB71E3" w:rsidRPr="00FB71E3">
        <w:t>;</w:t>
      </w:r>
    </w:p>
    <w:p w:rsidR="00FB71E3" w:rsidRPr="00FB71E3" w:rsidRDefault="000163F3" w:rsidP="00C34CF7">
      <w:pPr>
        <w:pStyle w:val="Bullet1GR"/>
      </w:pPr>
      <w:r>
        <w:t>«</w:t>
      </w:r>
      <w:r w:rsidR="00FB71E3" w:rsidRPr="00FB71E3">
        <w:t>Утверждение доклада</w:t>
      </w:r>
      <w:r>
        <w:t>»</w:t>
      </w:r>
      <w:r w:rsidR="00FB71E3" w:rsidRPr="00FB71E3">
        <w:t>.</w:t>
      </w:r>
    </w:p>
    <w:p w:rsidR="00FB71E3" w:rsidRPr="00FB71E3" w:rsidRDefault="00FB71E3" w:rsidP="009627D2">
      <w:pPr>
        <w:pStyle w:val="HChGR"/>
      </w:pPr>
      <w:r w:rsidRPr="00FB71E3">
        <w:lastRenderedPageBreak/>
        <w:tab/>
        <w:t>IX.</w:t>
      </w:r>
      <w:r w:rsidRPr="00FB71E3">
        <w:tab/>
        <w:t xml:space="preserve">Выборы должностных лиц на 2017 год </w:t>
      </w:r>
      <w:r w:rsidR="00CD6DC4">
        <w:br/>
      </w:r>
      <w:r w:rsidRPr="00FB71E3">
        <w:t>(пункт 8 повестки дня)</w:t>
      </w:r>
    </w:p>
    <w:p w:rsidR="00FB71E3" w:rsidRPr="00FB71E3" w:rsidRDefault="00FB71E3" w:rsidP="00BF03BF">
      <w:pPr>
        <w:pStyle w:val="SingleTxtGR"/>
      </w:pPr>
      <w:r w:rsidRPr="00FB71E3">
        <w:t>54.</w:t>
      </w:r>
      <w:r w:rsidRPr="00FB71E3">
        <w:tab/>
        <w:t xml:space="preserve">По предложению представителя Германии, которого поддержали </w:t>
      </w:r>
      <w:r w:rsidR="00CD6DC4">
        <w:br/>
      </w:r>
      <w:r w:rsidRPr="00FB71E3">
        <w:t>представители Румынии, Нидерландов и Турции, Рабочая группа вновь избрала г-на Ж.A. Франку (Португалия) и г-жу А. Румье (Франция) соответственно Председателем и заместителем Председателя на 2017 год.</w:t>
      </w:r>
    </w:p>
    <w:p w:rsidR="00FB71E3" w:rsidRPr="00FB71E3" w:rsidRDefault="00FB71E3" w:rsidP="009627D2">
      <w:pPr>
        <w:pStyle w:val="HChGR"/>
      </w:pPr>
      <w:r w:rsidRPr="00FB71E3">
        <w:tab/>
        <w:t>X.</w:t>
      </w:r>
      <w:r w:rsidRPr="00FB71E3">
        <w:tab/>
        <w:t>Прочие вопросы (пункт 9 повестки дня)</w:t>
      </w:r>
    </w:p>
    <w:p w:rsidR="00FB71E3" w:rsidRPr="00FB71E3" w:rsidRDefault="00FB71E3" w:rsidP="00CD6DC4">
      <w:pPr>
        <w:pStyle w:val="H1GR"/>
      </w:pPr>
      <w:r w:rsidRPr="00FB71E3">
        <w:tab/>
        <w:t>A.</w:t>
      </w:r>
      <w:r w:rsidRPr="00FB71E3">
        <w:tab/>
        <w:t>Презентация проекта ЕвроМед</w:t>
      </w:r>
    </w:p>
    <w:p w:rsidR="00FB71E3" w:rsidRPr="00FB71E3" w:rsidRDefault="00FB71E3" w:rsidP="00BF03BF">
      <w:pPr>
        <w:pStyle w:val="SingleTxtGR"/>
      </w:pPr>
      <w:r w:rsidRPr="00CD6DC4">
        <w:rPr>
          <w:i/>
        </w:rPr>
        <w:t>Неофициальный документ</w:t>
      </w:r>
      <w:r w:rsidRPr="00FB71E3">
        <w:t>:</w:t>
      </w:r>
      <w:r w:rsidRPr="00FB71E3">
        <w:tab/>
        <w:t xml:space="preserve">INF.21 (ЕвроМед) </w:t>
      </w:r>
    </w:p>
    <w:p w:rsidR="00FB71E3" w:rsidRPr="00FB71E3" w:rsidRDefault="00FB71E3" w:rsidP="00BF03BF">
      <w:pPr>
        <w:pStyle w:val="SingleTxtGR"/>
      </w:pPr>
      <w:r w:rsidRPr="00FB71E3">
        <w:t>55.</w:t>
      </w:r>
      <w:r w:rsidRPr="00FB71E3">
        <w:tab/>
        <w:t>Представитель программы ЕвроМед сообщил о различных мероприятиях, осуществляемых в рамках программы Евро-Средиземноморского транспортн</w:t>
      </w:r>
      <w:r w:rsidRPr="00FB71E3">
        <w:t>о</w:t>
      </w:r>
      <w:r w:rsidRPr="00FB71E3">
        <w:t>го форума с целью согласовать применяемые странами-партнерами национал</w:t>
      </w:r>
      <w:r w:rsidRPr="00FB71E3">
        <w:t>ь</w:t>
      </w:r>
      <w:r w:rsidRPr="00FB71E3">
        <w:t>ные и международные правила по образцу ДОПОГ.</w:t>
      </w:r>
    </w:p>
    <w:p w:rsidR="00FB71E3" w:rsidRPr="00FB71E3" w:rsidRDefault="00FB71E3" w:rsidP="00BF03BF">
      <w:pPr>
        <w:pStyle w:val="SingleTxtGR"/>
      </w:pPr>
      <w:r w:rsidRPr="00FB71E3">
        <w:t>56.</w:t>
      </w:r>
      <w:r w:rsidRPr="00FB71E3">
        <w:tab/>
        <w:t>Рабочая группа с удовлетворением отметила действия, предпринимаемые в настоящее время в Алжире, Израиле и Иордании с целью присоединиться к ДОПОГ в ближайшем будущем.</w:t>
      </w:r>
    </w:p>
    <w:p w:rsidR="00FB71E3" w:rsidRPr="00FB71E3" w:rsidRDefault="00FB71E3" w:rsidP="00BF03BF">
      <w:pPr>
        <w:pStyle w:val="SingleTxtGR"/>
      </w:pPr>
      <w:r w:rsidRPr="00FB71E3">
        <w:t>57.</w:t>
      </w:r>
      <w:r w:rsidRPr="00FB71E3">
        <w:tab/>
        <w:t>Рабочая группа также с удовлетворением отметила участие представит</w:t>
      </w:r>
      <w:r w:rsidRPr="00FB71E3">
        <w:t>е</w:t>
      </w:r>
      <w:r w:rsidRPr="00FB71E3">
        <w:t>ля Туниса (Договаривающаяся сторона ДОПОГ) в работе нынешней сессии Р</w:t>
      </w:r>
      <w:r w:rsidRPr="00FB71E3">
        <w:t>а</w:t>
      </w:r>
      <w:r w:rsidRPr="00FB71E3">
        <w:t>бочей группы и его намерение участвовать в работе последующих сессий.</w:t>
      </w:r>
    </w:p>
    <w:p w:rsidR="00FB71E3" w:rsidRPr="00FB71E3" w:rsidRDefault="00FB71E3" w:rsidP="00CD6DC4">
      <w:pPr>
        <w:pStyle w:val="H1GR"/>
      </w:pPr>
      <w:r w:rsidRPr="00FB71E3">
        <w:tab/>
        <w:t>B.</w:t>
      </w:r>
      <w:r w:rsidRPr="00FB71E3">
        <w:tab/>
        <w:t>Поправки к приложению 2 к Соглашению о международном железнодорожном грузовом сообщении (СМГС)</w:t>
      </w:r>
    </w:p>
    <w:p w:rsidR="00FB71E3" w:rsidRPr="00FB71E3" w:rsidRDefault="00FB71E3" w:rsidP="00BF03BF">
      <w:pPr>
        <w:pStyle w:val="SingleTxtGR"/>
      </w:pPr>
      <w:r w:rsidRPr="00CD6DC4">
        <w:rPr>
          <w:i/>
        </w:rPr>
        <w:t>Неофициальный документ</w:t>
      </w:r>
      <w:r w:rsidRPr="00FB71E3">
        <w:t>:</w:t>
      </w:r>
      <w:r w:rsidRPr="00FB71E3">
        <w:tab/>
        <w:t>INF.18 (ОТИФ)</w:t>
      </w:r>
    </w:p>
    <w:p w:rsidR="00FB71E3" w:rsidRPr="00FB71E3" w:rsidRDefault="00FB71E3" w:rsidP="00BF03BF">
      <w:pPr>
        <w:pStyle w:val="SingleTxtGR"/>
      </w:pPr>
      <w:r w:rsidRPr="00FB71E3">
        <w:t>58.</w:t>
      </w:r>
      <w:r w:rsidRPr="00FB71E3">
        <w:tab/>
        <w:t>Рабочая группа отметила, что предлагаемые поправки к приложению 2 к СМГС, направленные, в частности, на согласование СМГС с изданием МПОГ 2017 года, в ходе последней сессии Комиссии ОСЖД по транспортному праву были отклонены. Российская Федерация выступила против принятия этих п</w:t>
      </w:r>
      <w:r w:rsidRPr="00FB71E3">
        <w:t>о</w:t>
      </w:r>
      <w:r w:rsidRPr="00FB71E3">
        <w:t>правок, часть которых содержала ссылки на европейские стандарты или дире</w:t>
      </w:r>
      <w:r w:rsidRPr="00FB71E3">
        <w:t>к</w:t>
      </w:r>
      <w:r w:rsidRPr="00FB71E3">
        <w:t>тивы Европейского союза, не переведенные на русский язык.</w:t>
      </w:r>
    </w:p>
    <w:p w:rsidR="00FB71E3" w:rsidRPr="00FB71E3" w:rsidRDefault="00FB71E3" w:rsidP="00BF03BF">
      <w:pPr>
        <w:pStyle w:val="SingleTxtGR"/>
      </w:pPr>
      <w:r w:rsidRPr="00FB71E3">
        <w:t>59.</w:t>
      </w:r>
      <w:r w:rsidRPr="00FB71E3">
        <w:tab/>
        <w:t>Рабочая группа выразила озабоченность по поводу этого решения, кот</w:t>
      </w:r>
      <w:r w:rsidRPr="00FB71E3">
        <w:t>о</w:t>
      </w:r>
      <w:r w:rsidRPr="00FB71E3">
        <w:t>рое повлечет расхождения между СМГС и МПОГ, ДОПОГ и ВОПОГ. Она рек</w:t>
      </w:r>
      <w:r w:rsidRPr="00FB71E3">
        <w:t>о</w:t>
      </w:r>
      <w:r w:rsidRPr="00FB71E3">
        <w:t>мендовала ОТИФ и ОСЖД продолжить работу по согласованию. Она предл</w:t>
      </w:r>
      <w:r w:rsidRPr="00FB71E3">
        <w:t>о</w:t>
      </w:r>
      <w:r w:rsidRPr="00FB71E3">
        <w:t>жила ОСЖД предпринять попытку найти решение с целью ограничить разл</w:t>
      </w:r>
      <w:r w:rsidRPr="00FB71E3">
        <w:t>и</w:t>
      </w:r>
      <w:r w:rsidRPr="00FB71E3">
        <w:t>чия, которые возникнут между приложением 2 к СМГС и другими междунаро</w:t>
      </w:r>
      <w:r w:rsidRPr="00FB71E3">
        <w:t>д</w:t>
      </w:r>
      <w:r w:rsidRPr="00FB71E3">
        <w:t>ными правилами с 1 июля 2017 года.</w:t>
      </w:r>
    </w:p>
    <w:p w:rsidR="00FB71E3" w:rsidRPr="00FB71E3" w:rsidRDefault="00FB71E3" w:rsidP="00CD6DC4">
      <w:pPr>
        <w:pStyle w:val="H1GR"/>
      </w:pPr>
      <w:r w:rsidRPr="00FB71E3">
        <w:tab/>
        <w:t>С.</w:t>
      </w:r>
      <w:r w:rsidRPr="00FB71E3">
        <w:tab/>
        <w:t>Уведомления о происшествиях, связанных с опасными грузами</w:t>
      </w:r>
    </w:p>
    <w:p w:rsidR="00FB71E3" w:rsidRPr="00FB71E3" w:rsidRDefault="00FB71E3" w:rsidP="00BF03BF">
      <w:pPr>
        <w:pStyle w:val="SingleTxtGR"/>
      </w:pPr>
      <w:r w:rsidRPr="00CD6DC4">
        <w:rPr>
          <w:i/>
        </w:rPr>
        <w:t>Документ</w:t>
      </w:r>
      <w:r w:rsidRPr="00FB71E3">
        <w:t>:</w:t>
      </w:r>
      <w:r w:rsidRPr="00FB71E3">
        <w:tab/>
      </w:r>
      <w:r w:rsidR="00CD6DC4">
        <w:tab/>
      </w:r>
      <w:r w:rsidR="00CD6DC4">
        <w:tab/>
      </w:r>
      <w:r w:rsidR="00CD6DC4">
        <w:tab/>
      </w:r>
      <w:r w:rsidRPr="00FB71E3">
        <w:t>ECE/TRANS/WP.15/2016/15 (Германия)</w:t>
      </w:r>
    </w:p>
    <w:p w:rsidR="00FB71E3" w:rsidRPr="00FB71E3" w:rsidRDefault="00FB71E3" w:rsidP="00BF03BF">
      <w:pPr>
        <w:pStyle w:val="SingleTxtGR"/>
        <w:rPr>
          <w:bCs/>
        </w:rPr>
      </w:pPr>
      <w:r w:rsidRPr="00FB71E3">
        <w:rPr>
          <w:i/>
          <w:iCs/>
        </w:rPr>
        <w:t>Неофициальный документ:</w:t>
      </w:r>
      <w:r w:rsidRPr="00FB71E3">
        <w:tab/>
        <w:t>INF.3 (Германия)</w:t>
      </w:r>
    </w:p>
    <w:p w:rsidR="00FB71E3" w:rsidRPr="00FB71E3" w:rsidRDefault="00FB71E3" w:rsidP="00BF03BF">
      <w:pPr>
        <w:pStyle w:val="SingleTxtGR"/>
      </w:pPr>
      <w:r w:rsidRPr="00FB71E3">
        <w:lastRenderedPageBreak/>
        <w:t>60.</w:t>
      </w:r>
      <w:r w:rsidRPr="00FB71E3">
        <w:tab/>
        <w:t>Представитель Германии проинформировал Рабочую группу об обсто</w:t>
      </w:r>
      <w:r w:rsidRPr="00FB71E3">
        <w:t>я</w:t>
      </w:r>
      <w:r w:rsidRPr="00FB71E3">
        <w:t>тельствах и последствиях аварии при перевозке расплавленного металла (ал</w:t>
      </w:r>
      <w:r w:rsidRPr="00FB71E3">
        <w:t>ю</w:t>
      </w:r>
      <w:r w:rsidRPr="00FB71E3">
        <w:t>миний, № ООН 3257) в специальных контейнерах и аварии при перевозке ртути (№ ООН 2809).</w:t>
      </w:r>
    </w:p>
    <w:p w:rsidR="00FB71E3" w:rsidRPr="00FB71E3" w:rsidRDefault="00FB71E3" w:rsidP="00BF03BF">
      <w:pPr>
        <w:pStyle w:val="SingleTxtGR"/>
      </w:pPr>
      <w:r w:rsidRPr="00FB71E3">
        <w:t>61.</w:t>
      </w:r>
      <w:r w:rsidRPr="00FB71E3">
        <w:tab/>
        <w:t>Была обсуждена авария при перевозке алюминия. Рабочая группа отм</w:t>
      </w:r>
      <w:r w:rsidRPr="00FB71E3">
        <w:t>е</w:t>
      </w:r>
      <w:r w:rsidRPr="00FB71E3">
        <w:t>тила, что расследование происшествия еще продолжается, и предложила пре</w:t>
      </w:r>
      <w:r w:rsidRPr="00FB71E3">
        <w:t>д</w:t>
      </w:r>
      <w:r w:rsidRPr="00FB71E3">
        <w:t>ставителю Германии проинформировать Рабочую группу о результатах рассл</w:t>
      </w:r>
      <w:r w:rsidRPr="00FB71E3">
        <w:t>е</w:t>
      </w:r>
      <w:r w:rsidRPr="00FB71E3">
        <w:t>дования, особенно о причинах разрушения конструкций одного из контейнеров и об условиях, предписанных компетентным органом в соответствии со спец</w:t>
      </w:r>
      <w:r w:rsidRPr="00FB71E3">
        <w:t>и</w:t>
      </w:r>
      <w:r w:rsidRPr="00FB71E3">
        <w:t>альным положением VC3.</w:t>
      </w:r>
    </w:p>
    <w:p w:rsidR="00FB71E3" w:rsidRPr="00FB71E3" w:rsidRDefault="00FB71E3" w:rsidP="00CD6DC4">
      <w:pPr>
        <w:pStyle w:val="H1GR"/>
      </w:pPr>
      <w:r w:rsidRPr="00FB71E3">
        <w:tab/>
        <w:t>D.</w:t>
      </w:r>
      <w:r w:rsidRPr="00FB71E3">
        <w:tab/>
        <w:t>Авария при перевозке опасных грузов и защита транспортных средств с задней стороны</w:t>
      </w:r>
    </w:p>
    <w:p w:rsidR="00FB71E3" w:rsidRPr="00FB71E3" w:rsidRDefault="00FB71E3" w:rsidP="00BF03BF">
      <w:pPr>
        <w:pStyle w:val="SingleTxtGR"/>
      </w:pPr>
      <w:r w:rsidRPr="00CD6DC4">
        <w:rPr>
          <w:i/>
        </w:rPr>
        <w:t>Документ</w:t>
      </w:r>
      <w:r w:rsidRPr="00FB71E3">
        <w:t xml:space="preserve">: </w:t>
      </w:r>
      <w:r w:rsidR="00CD6DC4">
        <w:tab/>
      </w:r>
      <w:r w:rsidR="00CD6DC4">
        <w:tab/>
      </w:r>
      <w:r w:rsidR="00CD6DC4">
        <w:tab/>
      </w:r>
      <w:r w:rsidRPr="00FB71E3">
        <w:tab/>
        <w:t>ECE/TRANS/WP.15/2016/16 (Германия)</w:t>
      </w:r>
    </w:p>
    <w:p w:rsidR="00FB71E3" w:rsidRPr="00FB71E3" w:rsidRDefault="00FB71E3" w:rsidP="00BF03BF">
      <w:pPr>
        <w:pStyle w:val="SingleTxtGR"/>
      </w:pPr>
      <w:r w:rsidRPr="00FB71E3">
        <w:rPr>
          <w:i/>
          <w:iCs/>
        </w:rPr>
        <w:t>Неофициальный документ:</w:t>
      </w:r>
      <w:r w:rsidRPr="00FB71E3">
        <w:t xml:space="preserve"> </w:t>
      </w:r>
      <w:r w:rsidRPr="00FB71E3">
        <w:tab/>
        <w:t>INF.4 (Германия)</w:t>
      </w:r>
    </w:p>
    <w:p w:rsidR="00FB71E3" w:rsidRPr="00FB71E3" w:rsidRDefault="00FB71E3" w:rsidP="00BF03BF">
      <w:pPr>
        <w:pStyle w:val="SingleTxtGR"/>
      </w:pPr>
      <w:r w:rsidRPr="00FB71E3">
        <w:t>62.</w:t>
      </w:r>
      <w:r w:rsidRPr="00FB71E3">
        <w:tab/>
        <w:t>Представитель Германии проинформировал Рабочую группу о после</w:t>
      </w:r>
      <w:r w:rsidRPr="00FB71E3">
        <w:t>д</w:t>
      </w:r>
      <w:r w:rsidRPr="00FB71E3">
        <w:t>ствиях заднего столкновения с участием автоцистерны, перевозящей кислород охлажденный жидкий (№ ООН 1073).</w:t>
      </w:r>
    </w:p>
    <w:p w:rsidR="00FB71E3" w:rsidRPr="00FB71E3" w:rsidRDefault="00FB71E3" w:rsidP="00BF03BF">
      <w:pPr>
        <w:pStyle w:val="SingleTxtGR"/>
      </w:pPr>
      <w:r w:rsidRPr="00FB71E3">
        <w:t>63.</w:t>
      </w:r>
      <w:r w:rsidRPr="00FB71E3">
        <w:tab/>
        <w:t>По мнению нескольких делегаций, количество подобного рода аварий п</w:t>
      </w:r>
      <w:r w:rsidRPr="00FB71E3">
        <w:t>о</w:t>
      </w:r>
      <w:r w:rsidRPr="00FB71E3">
        <w:t>ка не оправдывает продолжение обсуждения вопроса о защите транспортных средств с задней стороны.</w:t>
      </w:r>
    </w:p>
    <w:p w:rsidR="00FB71E3" w:rsidRPr="00FB71E3" w:rsidRDefault="00FB71E3" w:rsidP="00BF03BF">
      <w:pPr>
        <w:pStyle w:val="SingleTxtGR"/>
      </w:pPr>
      <w:r w:rsidRPr="00FB71E3">
        <w:t>64.</w:t>
      </w:r>
      <w:r w:rsidRPr="00FB71E3">
        <w:tab/>
        <w:t>Представителю Германии было предложено сообщить дополнительную информацию об этой аварии, в частности проверить, были ли соблюдены тр</w:t>
      </w:r>
      <w:r w:rsidRPr="00FB71E3">
        <w:t>е</w:t>
      </w:r>
      <w:r w:rsidRPr="00FB71E3">
        <w:t>бования раздела 9.7.6.</w:t>
      </w:r>
    </w:p>
    <w:p w:rsidR="00FB71E3" w:rsidRPr="00FB71E3" w:rsidRDefault="00FB71E3" w:rsidP="00BF03BF">
      <w:pPr>
        <w:pStyle w:val="SingleTxtGR"/>
      </w:pPr>
      <w:r w:rsidRPr="00FB71E3">
        <w:t>65.</w:t>
      </w:r>
      <w:r w:rsidRPr="00FB71E3">
        <w:tab/>
        <w:t>Кроме того, Рабочая группа предложила представителю Германии обр</w:t>
      </w:r>
      <w:r w:rsidRPr="00FB71E3">
        <w:t>а</w:t>
      </w:r>
      <w:r w:rsidRPr="00FB71E3">
        <w:t>титься за консультациями к Рабочей группе по общим предписаниям, каса</w:t>
      </w:r>
      <w:r w:rsidRPr="00FB71E3">
        <w:t>ю</w:t>
      </w:r>
      <w:r w:rsidRPr="00FB71E3">
        <w:t>щимся безопасности, Всемирного форума по согласованию правил в области транспортных средств (WP.29), в частности по вопросу о мерах по предупр</w:t>
      </w:r>
      <w:r w:rsidRPr="00FB71E3">
        <w:t>е</w:t>
      </w:r>
      <w:r w:rsidRPr="00FB71E3">
        <w:t>ждению столкновений.</w:t>
      </w:r>
    </w:p>
    <w:p w:rsidR="00FB71E3" w:rsidRPr="00FB71E3" w:rsidRDefault="00FB71E3" w:rsidP="009627D2">
      <w:pPr>
        <w:pStyle w:val="HChGR"/>
      </w:pPr>
      <w:r w:rsidRPr="00FB71E3">
        <w:tab/>
        <w:t>XI.</w:t>
      </w:r>
      <w:r w:rsidRPr="00FB71E3">
        <w:tab/>
        <w:t>Утверждение доклада (пункт 10 повестки дня)</w:t>
      </w:r>
    </w:p>
    <w:p w:rsidR="00FB71E3" w:rsidRPr="00FB71E3" w:rsidRDefault="00FB71E3" w:rsidP="00BF03BF">
      <w:pPr>
        <w:pStyle w:val="SingleTxtGR"/>
      </w:pPr>
      <w:r w:rsidRPr="00FB71E3">
        <w:t>66.</w:t>
      </w:r>
      <w:r w:rsidRPr="00FB71E3">
        <w:tab/>
        <w:t>Рабочая группа утвердила доклад о работе своей сто первой сессии и приложения к нему на основе проекта, подготовленного секретариатом.</w:t>
      </w:r>
    </w:p>
    <w:p w:rsidR="00FB71E3" w:rsidRPr="00FB71E3" w:rsidRDefault="00FB71E3" w:rsidP="00FB71E3">
      <w:pPr>
        <w:spacing w:line="240" w:lineRule="auto"/>
      </w:pPr>
      <w:r w:rsidRPr="00FB71E3">
        <w:br w:type="page"/>
      </w:r>
    </w:p>
    <w:p w:rsidR="00FB71E3" w:rsidRPr="00FB71E3" w:rsidRDefault="00FB71E3" w:rsidP="009627D2">
      <w:pPr>
        <w:pStyle w:val="HChGR"/>
      </w:pPr>
      <w:r w:rsidRPr="00FB71E3">
        <w:lastRenderedPageBreak/>
        <w:t xml:space="preserve">Приложение </w:t>
      </w:r>
      <w:r w:rsidRPr="00FB71E3">
        <w:rPr>
          <w:lang w:val="en-US"/>
        </w:rPr>
        <w:t>I</w:t>
      </w:r>
    </w:p>
    <w:p w:rsidR="00FB71E3" w:rsidRPr="00FB71E3" w:rsidRDefault="00FB71E3" w:rsidP="009627D2">
      <w:pPr>
        <w:pStyle w:val="HChGR"/>
      </w:pPr>
      <w:r w:rsidRPr="00FB71E3">
        <w:tab/>
      </w:r>
      <w:r w:rsidRPr="00FB71E3">
        <w:tab/>
        <w:t xml:space="preserve">Проекты поправок к приложениям А и В к ДОПОГ, принятые Рабочей </w:t>
      </w:r>
      <w:r w:rsidR="00067046">
        <w:t>группой для вступления в силу 1 </w:t>
      </w:r>
      <w:r w:rsidRPr="00FB71E3">
        <w:t>января 2019 года</w:t>
      </w:r>
    </w:p>
    <w:p w:rsidR="00FB71E3" w:rsidRPr="00FB71E3" w:rsidRDefault="00FB71E3" w:rsidP="00CD6DC4">
      <w:pPr>
        <w:pStyle w:val="H1GR"/>
      </w:pPr>
      <w:r w:rsidRPr="00FB71E3">
        <w:tab/>
      </w:r>
      <w:r w:rsidRPr="00FB71E3">
        <w:tab/>
        <w:t>Глава 1.6</w:t>
      </w:r>
    </w:p>
    <w:p w:rsidR="00FB71E3" w:rsidRPr="00FB71E3" w:rsidRDefault="00FB71E3" w:rsidP="00BF03BF">
      <w:pPr>
        <w:pStyle w:val="SingleTxtGR"/>
      </w:pPr>
      <w:r w:rsidRPr="00FB71E3">
        <w:t>1.6.5</w:t>
      </w:r>
      <w:r w:rsidRPr="00FB71E3">
        <w:tab/>
      </w:r>
      <w:r w:rsidR="00CD6DC4">
        <w:tab/>
      </w:r>
      <w:r w:rsidRPr="00FB71E3">
        <w:t>Включить новую переходную меру следующего содержания:</w:t>
      </w:r>
    </w:p>
    <w:p w:rsidR="00FB71E3" w:rsidRPr="00FB71E3" w:rsidRDefault="001D41CF" w:rsidP="00BF03BF">
      <w:pPr>
        <w:pStyle w:val="SingleTxtGR"/>
      </w:pPr>
      <w:r>
        <w:t>«</w:t>
      </w:r>
      <w:r w:rsidR="00FB71E3" w:rsidRPr="00FB71E3">
        <w:t>1.6.5.21</w:t>
      </w:r>
      <w:r w:rsidR="00FB71E3" w:rsidRPr="00FB71E3">
        <w:tab/>
        <w:t>Свидетельства о допущении транспортных средств EX/III, предн</w:t>
      </w:r>
      <w:r w:rsidR="00FB71E3" w:rsidRPr="00FB71E3">
        <w:t>а</w:t>
      </w:r>
      <w:r w:rsidR="00FB71E3" w:rsidRPr="00FB71E3">
        <w:t>значенных для перевозки взрывчатых веществ в цистернах в соответствии с требованиями пункта 9.1.3.3, применяемыми до 31 декабря 2018 года, которые были выданы до 1 июля 2019 года и которые не содержат замечание относ</w:t>
      </w:r>
      <w:r w:rsidR="00FB71E3" w:rsidRPr="00FB71E3">
        <w:t>и</w:t>
      </w:r>
      <w:r w:rsidR="00FB71E3" w:rsidRPr="00FB71E3">
        <w:t>тельно соблюдения требований раздела 9.7.9, могут по-прежнему эксплуатир</w:t>
      </w:r>
      <w:r w:rsidR="00FB71E3" w:rsidRPr="00FB71E3">
        <w:t>о</w:t>
      </w:r>
      <w:r w:rsidR="00FB71E3" w:rsidRPr="00FB71E3">
        <w:t>ваться до следующего ежегодного технического осмотра транспортного сре</w:t>
      </w:r>
      <w:r w:rsidR="00FB71E3" w:rsidRPr="00FB71E3">
        <w:t>д</w:t>
      </w:r>
      <w:r w:rsidR="00FB71E3" w:rsidRPr="00FB71E3">
        <w:t>ства</w:t>
      </w:r>
      <w:r w:rsidR="00F74927">
        <w:t>.</w:t>
      </w:r>
      <w:r w:rsidR="000163F3">
        <w:t>»</w:t>
      </w:r>
      <w:r w:rsidR="00FB71E3" w:rsidRPr="00FB71E3">
        <w:t>.</w:t>
      </w:r>
    </w:p>
    <w:p w:rsidR="00FB71E3" w:rsidRPr="000D0815" w:rsidRDefault="00FB71E3" w:rsidP="00BF03BF">
      <w:pPr>
        <w:pStyle w:val="SingleTxtGR"/>
        <w:rPr>
          <w:i/>
          <w:iCs/>
        </w:rPr>
      </w:pPr>
      <w:r w:rsidRPr="000D0815">
        <w:rPr>
          <w:i/>
        </w:rPr>
        <w:t>(Справочный документ: ECE/TRANS/WP.15/2016/18 с поправками)</w:t>
      </w:r>
    </w:p>
    <w:p w:rsidR="00FB71E3" w:rsidRPr="00FB71E3" w:rsidRDefault="00FB71E3" w:rsidP="000D0815">
      <w:pPr>
        <w:pStyle w:val="H1GR"/>
      </w:pPr>
      <w:r w:rsidRPr="00FB71E3">
        <w:tab/>
      </w:r>
      <w:r w:rsidRPr="00FB71E3">
        <w:tab/>
        <w:t>Глава 1.8</w:t>
      </w:r>
    </w:p>
    <w:p w:rsidR="00FB71E3" w:rsidRPr="00FB71E3" w:rsidRDefault="00FB71E3" w:rsidP="00BF03BF">
      <w:pPr>
        <w:pStyle w:val="SingleTxtGR"/>
      </w:pPr>
      <w:r w:rsidRPr="00FB71E3">
        <w:t>1.8.3.1</w:t>
      </w:r>
      <w:r w:rsidRPr="00FB71E3">
        <w:tab/>
        <w:t xml:space="preserve">После </w:t>
      </w:r>
      <w:r w:rsidR="000163F3">
        <w:t>«</w:t>
      </w:r>
      <w:r w:rsidRPr="00FB71E3">
        <w:t>деятельность которого включает</w:t>
      </w:r>
      <w:r w:rsidR="000163F3">
        <w:t>»</w:t>
      </w:r>
      <w:r w:rsidRPr="00FB71E3">
        <w:t xml:space="preserve"> включить </w:t>
      </w:r>
      <w:r w:rsidR="000163F3">
        <w:t>«</w:t>
      </w:r>
      <w:r w:rsidRPr="00FB71E3">
        <w:t>отправку гр</w:t>
      </w:r>
      <w:r w:rsidRPr="00FB71E3">
        <w:t>у</w:t>
      </w:r>
      <w:r w:rsidRPr="00FB71E3">
        <w:t>за,</w:t>
      </w:r>
      <w:r w:rsidR="000163F3">
        <w:t>»</w:t>
      </w:r>
      <w:r w:rsidRPr="00FB71E3">
        <w:t>.</w:t>
      </w:r>
    </w:p>
    <w:p w:rsidR="00FB71E3" w:rsidRPr="00FB71E3" w:rsidRDefault="00FB71E3" w:rsidP="00BF03BF">
      <w:pPr>
        <w:pStyle w:val="SingleTxtGR"/>
      </w:pPr>
      <w:r w:rsidRPr="00FB71E3">
        <w:t>1.8.3.2</w:t>
      </w:r>
      <w:r w:rsidRPr="00FB71E3">
        <w:tab/>
        <w:t xml:space="preserve">В подпункте a) заменить </w:t>
      </w:r>
      <w:r w:rsidR="000163F3">
        <w:t>«</w:t>
      </w:r>
      <w:r w:rsidRPr="00FB71E3">
        <w:t>меньших</w:t>
      </w:r>
      <w:r w:rsidR="00D34715">
        <w:t>,</w:t>
      </w:r>
      <w:r w:rsidR="0086378D">
        <w:t>.</w:t>
      </w:r>
      <w:r w:rsidR="00D34715">
        <w:t>.</w:t>
      </w:r>
      <w:r w:rsidRPr="00FB71E3">
        <w:t xml:space="preserve"> чем</w:t>
      </w:r>
      <w:r w:rsidR="000163F3">
        <w:t>»</w:t>
      </w:r>
      <w:r w:rsidRPr="00FB71E3">
        <w:t xml:space="preserve"> на </w:t>
      </w:r>
      <w:r w:rsidR="000163F3">
        <w:t>«</w:t>
      </w:r>
      <w:r w:rsidRPr="00FB71E3">
        <w:t>не превышающих</w:t>
      </w:r>
      <w:r w:rsidR="000163F3">
        <w:t>»</w:t>
      </w:r>
      <w:r w:rsidRPr="00FB71E3">
        <w:t>.</w:t>
      </w:r>
    </w:p>
    <w:p w:rsidR="00FB71E3" w:rsidRPr="00FB71E3" w:rsidRDefault="00FB71E3" w:rsidP="00BF03BF">
      <w:pPr>
        <w:pStyle w:val="SingleTxtGR"/>
      </w:pPr>
      <w:r w:rsidRPr="00FB71E3">
        <w:t>1.8.3.3</w:t>
      </w:r>
      <w:r w:rsidRPr="00FB71E3">
        <w:tab/>
        <w:t xml:space="preserve">В девятом подпункте третьего абзаца после </w:t>
      </w:r>
      <w:r w:rsidR="000163F3">
        <w:t>«</w:t>
      </w:r>
      <w:r w:rsidRPr="00FB71E3">
        <w:t>работники, занима</w:t>
      </w:r>
      <w:r w:rsidRPr="00FB71E3">
        <w:t>ю</w:t>
      </w:r>
      <w:r w:rsidRPr="00FB71E3">
        <w:t>щиеся</w:t>
      </w:r>
      <w:r w:rsidR="000163F3">
        <w:t>»</w:t>
      </w:r>
      <w:r w:rsidRPr="00FB71E3">
        <w:t xml:space="preserve"> включить </w:t>
      </w:r>
      <w:r w:rsidR="000163F3">
        <w:t>«</w:t>
      </w:r>
      <w:r w:rsidRPr="00FB71E3">
        <w:t>отправкой,</w:t>
      </w:r>
      <w:r w:rsidR="000163F3">
        <w:t>»</w:t>
      </w:r>
      <w:r w:rsidRPr="00FB71E3">
        <w:t>.</w:t>
      </w:r>
    </w:p>
    <w:p w:rsidR="00FB71E3" w:rsidRPr="00FB71E3" w:rsidRDefault="00FB71E3" w:rsidP="00BF03BF">
      <w:pPr>
        <w:pStyle w:val="SingleTxtGR"/>
      </w:pPr>
      <w:r w:rsidRPr="00FB71E3">
        <w:t>1.8.3.18</w:t>
      </w:r>
      <w:r w:rsidRPr="00FB71E3">
        <w:tab/>
        <w:t>В восьмой строке образца свидетельства (</w:t>
      </w:r>
      <w:r w:rsidR="000163F3">
        <w:t>«</w:t>
      </w:r>
      <w:r w:rsidRPr="00FB71E3">
        <w:t>Действительно до…</w:t>
      </w:r>
      <w:r w:rsidR="000163F3">
        <w:t>»</w:t>
      </w:r>
      <w:r w:rsidRPr="00FB71E3">
        <w:t xml:space="preserve">) после </w:t>
      </w:r>
      <w:r w:rsidR="000163F3">
        <w:t>«</w:t>
      </w:r>
      <w:r w:rsidRPr="00FB71E3">
        <w:t>осуществляющих</w:t>
      </w:r>
      <w:r w:rsidR="000163F3">
        <w:t>»</w:t>
      </w:r>
      <w:r w:rsidRPr="00FB71E3">
        <w:t xml:space="preserve"> включить </w:t>
      </w:r>
      <w:r w:rsidR="000163F3">
        <w:t>«</w:t>
      </w:r>
      <w:r w:rsidRPr="00FB71E3">
        <w:t>отправку,</w:t>
      </w:r>
      <w:r w:rsidR="000163F3">
        <w:t>»</w:t>
      </w:r>
      <w:r w:rsidRPr="00FB71E3">
        <w:t>.</w:t>
      </w:r>
    </w:p>
    <w:p w:rsidR="00FB71E3" w:rsidRPr="000D0815" w:rsidRDefault="00FB71E3" w:rsidP="00BF03BF">
      <w:pPr>
        <w:pStyle w:val="SingleTxtGR"/>
        <w:rPr>
          <w:i/>
        </w:rPr>
      </w:pPr>
      <w:r w:rsidRPr="000D0815">
        <w:rPr>
          <w:i/>
        </w:rPr>
        <w:t>(Справочный документ: ECE/TRANS/WP.15/AC.1/142/Add.2)</w:t>
      </w:r>
    </w:p>
    <w:p w:rsidR="00FB71E3" w:rsidRPr="00FB71E3" w:rsidRDefault="00FB71E3" w:rsidP="000D0815">
      <w:pPr>
        <w:pStyle w:val="H1GR"/>
      </w:pPr>
      <w:r w:rsidRPr="00FB71E3">
        <w:tab/>
      </w:r>
      <w:r w:rsidRPr="00FB71E3">
        <w:tab/>
        <w:t>Глава 4.1</w:t>
      </w:r>
    </w:p>
    <w:p w:rsidR="00FB71E3" w:rsidRPr="00FB71E3" w:rsidRDefault="00FB71E3" w:rsidP="00BF03BF">
      <w:pPr>
        <w:pStyle w:val="SingleTxtGR"/>
      </w:pPr>
      <w:r w:rsidRPr="00FB71E3">
        <w:t>После заголовка включить примечание следующего содержания:</w:t>
      </w:r>
    </w:p>
    <w:p w:rsidR="00FB71E3" w:rsidRPr="00FB71E3" w:rsidRDefault="000163F3" w:rsidP="00BF03BF">
      <w:pPr>
        <w:pStyle w:val="SingleTxtGR"/>
      </w:pPr>
      <w:r>
        <w:t>«</w:t>
      </w:r>
      <w:r w:rsidR="00FB71E3" w:rsidRPr="000D0815">
        <w:rPr>
          <w:b/>
          <w:i/>
        </w:rPr>
        <w:t>ПРИМЕЧАНИЕ</w:t>
      </w:r>
      <w:r w:rsidR="00FB71E3" w:rsidRPr="000D0815">
        <w:rPr>
          <w:i/>
        </w:rPr>
        <w:t>:</w:t>
      </w:r>
      <w:r w:rsidR="00FB71E3" w:rsidRPr="000D0815">
        <w:rPr>
          <w:i/>
        </w:rPr>
        <w:tab/>
        <w:t>Тара, включая КСГМГ и крупногабаритную тару, ма</w:t>
      </w:r>
      <w:r w:rsidR="00FB71E3" w:rsidRPr="000D0815">
        <w:rPr>
          <w:i/>
        </w:rPr>
        <w:t>р</w:t>
      </w:r>
      <w:r w:rsidR="00FB71E3" w:rsidRPr="000D0815">
        <w:rPr>
          <w:i/>
        </w:rPr>
        <w:t>кированная в соответствии с требованиями разделов/пунктов 6.1.3, 6.2.2.7, 6.2.2.8, 6.2.2.9, 6.2.2.10, 6.3.4, 6.5.2 или 6.6.3, но утвержденная в стране, не я</w:t>
      </w:r>
      <w:r w:rsidR="00FB71E3" w:rsidRPr="000D0815">
        <w:rPr>
          <w:i/>
        </w:rPr>
        <w:t>в</w:t>
      </w:r>
      <w:r w:rsidR="00FB71E3" w:rsidRPr="000D0815">
        <w:rPr>
          <w:i/>
        </w:rPr>
        <w:t>ляющейся Договаривающейся стороной ДОПОГ, может, тем не менее, испол</w:t>
      </w:r>
      <w:r w:rsidR="00FB71E3" w:rsidRPr="000D0815">
        <w:rPr>
          <w:i/>
        </w:rPr>
        <w:t>ь</w:t>
      </w:r>
      <w:r w:rsidR="00FB71E3" w:rsidRPr="000D0815">
        <w:rPr>
          <w:i/>
        </w:rPr>
        <w:t>зоваться для перевозки в соответствии с ДОПОГ</w:t>
      </w:r>
      <w:r w:rsidR="00FB71E3" w:rsidRPr="00FB71E3">
        <w:t>.</w:t>
      </w:r>
      <w:r>
        <w:t>»</w:t>
      </w:r>
      <w:r w:rsidR="00FB71E3" w:rsidRPr="00FB71E3">
        <w:t>.</w:t>
      </w:r>
    </w:p>
    <w:p w:rsidR="00FB71E3" w:rsidRPr="00FB71E3" w:rsidRDefault="00FB71E3" w:rsidP="00BF03BF">
      <w:pPr>
        <w:pStyle w:val="SingleTxtGR"/>
        <w:rPr>
          <w:i/>
        </w:rPr>
      </w:pPr>
      <w:r w:rsidRPr="00FB71E3">
        <w:t>4.1.1.17</w:t>
      </w:r>
      <w:r w:rsidRPr="00FB71E3">
        <w:tab/>
        <w:t xml:space="preserve">Исключить и вставить </w:t>
      </w:r>
      <w:r w:rsidR="000163F3">
        <w:t>«</w:t>
      </w:r>
      <w:r w:rsidRPr="00FB71E3">
        <w:t>(</w:t>
      </w:r>
      <w:r w:rsidRPr="00D34715">
        <w:rPr>
          <w:i/>
        </w:rPr>
        <w:t>Исключено</w:t>
      </w:r>
      <w:r w:rsidRPr="00FB71E3">
        <w:t>)</w:t>
      </w:r>
      <w:r w:rsidR="000163F3">
        <w:t>»</w:t>
      </w:r>
      <w:r w:rsidRPr="00FB71E3">
        <w:t xml:space="preserve">. </w:t>
      </w:r>
    </w:p>
    <w:p w:rsidR="00FB71E3" w:rsidRPr="000D0815" w:rsidRDefault="00FB71E3" w:rsidP="00BF03BF">
      <w:pPr>
        <w:pStyle w:val="SingleTxtGR"/>
        <w:rPr>
          <w:i/>
        </w:rPr>
      </w:pPr>
      <w:r w:rsidRPr="000D0815">
        <w:rPr>
          <w:i/>
        </w:rPr>
        <w:t>(Справочный документ: ECE/TRANS/WP.15/AC.1/142/Add.2)</w:t>
      </w:r>
    </w:p>
    <w:p w:rsidR="00FB71E3" w:rsidRPr="00FB71E3" w:rsidRDefault="00FB71E3" w:rsidP="000D0815">
      <w:pPr>
        <w:pStyle w:val="H1GR"/>
      </w:pPr>
      <w:r w:rsidRPr="00FB71E3">
        <w:tab/>
      </w:r>
      <w:r w:rsidRPr="00FB71E3">
        <w:tab/>
        <w:t>Глава 7.3</w:t>
      </w:r>
    </w:p>
    <w:p w:rsidR="00FB71E3" w:rsidRPr="00FB71E3" w:rsidRDefault="00FB71E3" w:rsidP="00BF03BF">
      <w:pPr>
        <w:pStyle w:val="SingleTxtGR"/>
      </w:pPr>
      <w:r w:rsidRPr="00FB71E3">
        <w:t>7.3.2.10</w:t>
      </w:r>
      <w:r w:rsidRPr="00FB71E3">
        <w:tab/>
        <w:t>После заголовка включить примечание следующего содержания:</w:t>
      </w:r>
    </w:p>
    <w:p w:rsidR="00FB71E3" w:rsidRPr="00FB71E3" w:rsidRDefault="000163F3" w:rsidP="00BF03BF">
      <w:pPr>
        <w:pStyle w:val="SingleTxtGR"/>
      </w:pPr>
      <w:r>
        <w:lastRenderedPageBreak/>
        <w:t>«</w:t>
      </w:r>
      <w:r w:rsidR="00FB71E3" w:rsidRPr="00077815">
        <w:rPr>
          <w:b/>
          <w:i/>
        </w:rPr>
        <w:t>ПРИМЕЧАНИЕ</w:t>
      </w:r>
      <w:r w:rsidR="00FB71E3" w:rsidRPr="00077815">
        <w:rPr>
          <w:i/>
        </w:rPr>
        <w:t>:</w:t>
      </w:r>
      <w:r w:rsidR="00FB71E3" w:rsidRPr="00077815">
        <w:rPr>
          <w:i/>
        </w:rPr>
        <w:tab/>
        <w:t>Мягкие контейнеры для массовых грузов, маркирова</w:t>
      </w:r>
      <w:r w:rsidR="00FB71E3" w:rsidRPr="00077815">
        <w:rPr>
          <w:i/>
        </w:rPr>
        <w:t>н</w:t>
      </w:r>
      <w:r w:rsidR="00FB71E3" w:rsidRPr="00077815">
        <w:rPr>
          <w:i/>
        </w:rPr>
        <w:t>ные в соответствии с требованиями подраздела 6.11.5.5, но утвержденные в стране, не являющейся Договаривающейся стороной ДОПОГ, могут, тем не менее, использоваться для перевозки в соответствии с ДОПОГ</w:t>
      </w:r>
      <w:r w:rsidR="00FB71E3" w:rsidRPr="00FB71E3">
        <w:t>.</w:t>
      </w:r>
      <w:r>
        <w:t>»</w:t>
      </w:r>
      <w:r w:rsidR="00FB71E3" w:rsidRPr="00FB71E3">
        <w:t>.</w:t>
      </w:r>
    </w:p>
    <w:p w:rsidR="00FB71E3" w:rsidRPr="00FB71E3" w:rsidRDefault="00FB71E3" w:rsidP="00BF03BF">
      <w:pPr>
        <w:pStyle w:val="SingleTxtGR"/>
      </w:pPr>
      <w:r w:rsidRPr="00FB71E3">
        <w:t>7.3.3.1</w:t>
      </w:r>
      <w:r w:rsidRPr="00FB71E3">
        <w:tab/>
        <w:t>После первого абзаца включить примечание следующего содерж</w:t>
      </w:r>
      <w:r w:rsidRPr="00FB71E3">
        <w:t>а</w:t>
      </w:r>
      <w:r w:rsidRPr="00FB71E3">
        <w:t>ния:</w:t>
      </w:r>
    </w:p>
    <w:p w:rsidR="00FB71E3" w:rsidRPr="00FB71E3" w:rsidRDefault="000163F3" w:rsidP="00BF03BF">
      <w:pPr>
        <w:pStyle w:val="SingleTxtGR"/>
      </w:pPr>
      <w:r>
        <w:t>«</w:t>
      </w:r>
      <w:r w:rsidR="00FB71E3" w:rsidRPr="00F74927">
        <w:rPr>
          <w:b/>
          <w:i/>
        </w:rPr>
        <w:t>ПРИМЕЧАНИЕ</w:t>
      </w:r>
      <w:r w:rsidR="00FB71E3" w:rsidRPr="000E441B">
        <w:t>:</w:t>
      </w:r>
      <w:r w:rsidR="00FB71E3" w:rsidRPr="000E441B">
        <w:tab/>
      </w:r>
      <w:r w:rsidR="00FB71E3" w:rsidRPr="00F74927">
        <w:rPr>
          <w:i/>
        </w:rPr>
        <w:t>В том случае, когда в колонке 17 таблицы А главы 3.2 указан код VC1, для наземной перевозки может также использоваться ко</w:t>
      </w:r>
      <w:r w:rsidR="00FB71E3" w:rsidRPr="00F74927">
        <w:rPr>
          <w:i/>
        </w:rPr>
        <w:t>н</w:t>
      </w:r>
      <w:r w:rsidR="00FB71E3" w:rsidRPr="00F74927">
        <w:rPr>
          <w:i/>
        </w:rPr>
        <w:t>тейнер для массовых грузов BK1, если выполнены дополнительные положения, изложенные в подразделе 7.3.3.2. В том случае, когда в колонке 17 таблицы А главы 3.2 указан код VC2, для наземной перевозки может также использ</w:t>
      </w:r>
      <w:r w:rsidR="00FB71E3" w:rsidRPr="00F74927">
        <w:rPr>
          <w:i/>
        </w:rPr>
        <w:t>о</w:t>
      </w:r>
      <w:r w:rsidR="00FB71E3" w:rsidRPr="00F74927">
        <w:rPr>
          <w:i/>
        </w:rPr>
        <w:t>ваться контейнер для массовых грузов BK2, если выполнены дополнительные положения, изложенные в подразделе 7.3.3.2</w:t>
      </w:r>
      <w:r w:rsidR="00FB71E3" w:rsidRPr="000E441B">
        <w:t>.</w:t>
      </w:r>
      <w:r>
        <w:t>»</w:t>
      </w:r>
      <w:r w:rsidR="00D34715">
        <w:t>.</w:t>
      </w:r>
    </w:p>
    <w:p w:rsidR="00FB71E3" w:rsidRPr="000E441B" w:rsidRDefault="00FB71E3" w:rsidP="00BF03BF">
      <w:pPr>
        <w:pStyle w:val="SingleTxtGR"/>
        <w:rPr>
          <w:i/>
        </w:rPr>
      </w:pPr>
      <w:r w:rsidRPr="000E441B">
        <w:rPr>
          <w:i/>
        </w:rPr>
        <w:t>(Справочный документ: ECE/TRANS/WP.15/AC.1/142/Add.2)</w:t>
      </w:r>
    </w:p>
    <w:p w:rsidR="00FB71E3" w:rsidRPr="00FB71E3" w:rsidRDefault="00FB71E3" w:rsidP="000E441B">
      <w:pPr>
        <w:pStyle w:val="H1GR"/>
      </w:pPr>
      <w:r w:rsidRPr="00FB71E3">
        <w:tab/>
      </w:r>
      <w:r w:rsidRPr="00FB71E3">
        <w:tab/>
        <w:t xml:space="preserve">Глава 7.5 </w:t>
      </w:r>
    </w:p>
    <w:p w:rsidR="00FB71E3" w:rsidRPr="00FB71E3" w:rsidRDefault="00FB71E3" w:rsidP="00BF03BF">
      <w:pPr>
        <w:pStyle w:val="SingleTxtGR"/>
      </w:pPr>
      <w:r w:rsidRPr="00FB71E3">
        <w:t>7.5.1.1</w:t>
      </w:r>
      <w:r w:rsidRPr="00FB71E3">
        <w:tab/>
        <w:t xml:space="preserve">Заменить </w:t>
      </w:r>
      <w:r w:rsidR="000163F3">
        <w:t>«</w:t>
      </w:r>
      <w:r w:rsidRPr="00FB71E3">
        <w:t>транспортное средство и его водитель</w:t>
      </w:r>
      <w:r w:rsidR="000163F3">
        <w:t>»</w:t>
      </w:r>
      <w:r w:rsidRPr="00FB71E3">
        <w:t xml:space="preserve"> на </w:t>
      </w:r>
      <w:r w:rsidR="000163F3">
        <w:t>«</w:t>
      </w:r>
      <w:r w:rsidRPr="00FB71E3">
        <w:t>транспор</w:t>
      </w:r>
      <w:r w:rsidRPr="00FB71E3">
        <w:t>т</w:t>
      </w:r>
      <w:r w:rsidRPr="00FB71E3">
        <w:t>ное средство и экипаж транспортного средства</w:t>
      </w:r>
      <w:r w:rsidR="000163F3">
        <w:t>»</w:t>
      </w:r>
      <w:r w:rsidRPr="00FB71E3">
        <w:t>.</w:t>
      </w:r>
    </w:p>
    <w:p w:rsidR="00FB71E3" w:rsidRPr="00FB71E3" w:rsidRDefault="00FB71E3" w:rsidP="00BF03BF">
      <w:pPr>
        <w:pStyle w:val="SingleTxtGR"/>
      </w:pPr>
      <w:r w:rsidRPr="00FB71E3">
        <w:t>7.5.1.2</w:t>
      </w:r>
      <w:r w:rsidRPr="00FB71E3">
        <w:tab/>
        <w:t xml:space="preserve">Заменить </w:t>
      </w:r>
      <w:r w:rsidR="000163F3">
        <w:t>«</w:t>
      </w:r>
      <w:r w:rsidRPr="00FB71E3">
        <w:t>свидетельствуют о том, что транспортное средство, в</w:t>
      </w:r>
      <w:r w:rsidRPr="00FB71E3">
        <w:t>о</w:t>
      </w:r>
      <w:r w:rsidR="00D34715">
        <w:t>дитель,..</w:t>
      </w:r>
      <w:r w:rsidR="000163F3">
        <w:t>»</w:t>
      </w:r>
      <w:r w:rsidRPr="00FB71E3">
        <w:t xml:space="preserve"> на </w:t>
      </w:r>
      <w:r w:rsidR="000163F3">
        <w:t>«</w:t>
      </w:r>
      <w:r w:rsidRPr="00FB71E3">
        <w:t xml:space="preserve">свидетельствуют о том, что транспортное средство и </w:t>
      </w:r>
      <w:r w:rsidR="00F74927">
        <w:t>экипаж транспортного средства,..»</w:t>
      </w:r>
      <w:r w:rsidRPr="00FB71E3">
        <w:t xml:space="preserve">. </w:t>
      </w:r>
    </w:p>
    <w:p w:rsidR="00FB71E3" w:rsidRPr="00F74927" w:rsidRDefault="00FB71E3" w:rsidP="00BF03BF">
      <w:pPr>
        <w:pStyle w:val="SingleTxtGR"/>
        <w:rPr>
          <w:i/>
        </w:rPr>
      </w:pPr>
      <w:r w:rsidRPr="00F74927">
        <w:rPr>
          <w:i/>
        </w:rPr>
        <w:t>(Справочный документ: ECE/TRANS/WP.15/AC.1/2016/12 с поправками)</w:t>
      </w:r>
    </w:p>
    <w:p w:rsidR="00FB71E3" w:rsidRPr="00FB71E3" w:rsidRDefault="00FB71E3" w:rsidP="000E441B">
      <w:pPr>
        <w:pStyle w:val="H1GR"/>
      </w:pPr>
      <w:r w:rsidRPr="00FB71E3">
        <w:tab/>
      </w:r>
      <w:r w:rsidRPr="00FB71E3">
        <w:tab/>
        <w:t>Глава 8.1</w:t>
      </w:r>
    </w:p>
    <w:p w:rsidR="00FB71E3" w:rsidRPr="00FB71E3" w:rsidRDefault="00FB71E3" w:rsidP="00BF03BF">
      <w:pPr>
        <w:pStyle w:val="SingleTxtGR"/>
      </w:pPr>
      <w:r w:rsidRPr="00FB71E3">
        <w:t>8.1.5.2</w:t>
      </w:r>
      <w:r w:rsidRPr="00FB71E3">
        <w:tab/>
        <w:t xml:space="preserve">В четвертом подпункте заменить </w:t>
      </w:r>
      <w:r w:rsidR="000163F3">
        <w:t>«</w:t>
      </w:r>
      <w:r w:rsidRPr="00FB71E3">
        <w:t>в стандарте EN 471:2003+</w:t>
      </w:r>
      <w:r w:rsidR="00663950">
        <w:t xml:space="preserve"> </w:t>
      </w:r>
      <w:r w:rsidRPr="00FB71E3">
        <w:t>A1:2007</w:t>
      </w:r>
      <w:r w:rsidR="000163F3">
        <w:t>»</w:t>
      </w:r>
      <w:r w:rsidRPr="00FB71E3">
        <w:t xml:space="preserve"> на </w:t>
      </w:r>
      <w:r w:rsidR="000163F3">
        <w:t>«</w:t>
      </w:r>
      <w:r w:rsidRPr="00FB71E3">
        <w:t>в стандарте EN ISO 20471</w:t>
      </w:r>
      <w:r w:rsidR="000163F3">
        <w:t>»</w:t>
      </w:r>
      <w:r w:rsidRPr="00FB71E3">
        <w:t>.</w:t>
      </w:r>
    </w:p>
    <w:p w:rsidR="00FB71E3" w:rsidRPr="000E441B" w:rsidRDefault="00FB71E3" w:rsidP="00BF03BF">
      <w:pPr>
        <w:pStyle w:val="SingleTxtGR"/>
        <w:rPr>
          <w:i/>
          <w:iCs/>
        </w:rPr>
      </w:pPr>
      <w:r w:rsidRPr="000E441B">
        <w:rPr>
          <w:i/>
        </w:rPr>
        <w:t>(Справочный документ: неофициальный документ INF.14)</w:t>
      </w:r>
    </w:p>
    <w:p w:rsidR="00FB71E3" w:rsidRPr="00FB71E3" w:rsidRDefault="00FB71E3" w:rsidP="000E441B">
      <w:pPr>
        <w:pStyle w:val="H1GR"/>
      </w:pPr>
      <w:r w:rsidRPr="00FB71E3">
        <w:tab/>
      </w:r>
      <w:r w:rsidRPr="00FB71E3">
        <w:tab/>
        <w:t>Глава 9.1</w:t>
      </w:r>
    </w:p>
    <w:p w:rsidR="00FB71E3" w:rsidRPr="00FB71E3" w:rsidRDefault="00FB71E3" w:rsidP="00BF03BF">
      <w:pPr>
        <w:pStyle w:val="SingleTxtGR"/>
      </w:pPr>
      <w:r w:rsidRPr="00FB71E3">
        <w:t>9.1.3.3</w:t>
      </w:r>
      <w:r w:rsidRPr="00FB71E3">
        <w:tab/>
        <w:t>В конце включить новый абзац следующего содержания:</w:t>
      </w:r>
    </w:p>
    <w:p w:rsidR="00FB71E3" w:rsidRPr="00FB71E3" w:rsidRDefault="000E441B" w:rsidP="00BF03BF">
      <w:pPr>
        <w:pStyle w:val="SingleTxtGR"/>
      </w:pPr>
      <w:r>
        <w:tab/>
      </w:r>
      <w:r w:rsidR="000163F3">
        <w:t>«</w:t>
      </w:r>
      <w:r w:rsidR="00FB71E3" w:rsidRPr="00FB71E3">
        <w:t>В свидетельстве о допущении транспортных средств EX/III, предназн</w:t>
      </w:r>
      <w:r w:rsidR="00FB71E3" w:rsidRPr="00FB71E3">
        <w:t>а</w:t>
      </w:r>
      <w:r w:rsidR="00FB71E3" w:rsidRPr="00FB71E3">
        <w:t>ченных для перевозки взрывчатых веществ в цистернах в соответствии с треб</w:t>
      </w:r>
      <w:r w:rsidR="00FB71E3" w:rsidRPr="00FB71E3">
        <w:t>о</w:t>
      </w:r>
      <w:r w:rsidR="00FB71E3" w:rsidRPr="00FB71E3">
        <w:t xml:space="preserve">ваниями раздела 9.7.9, должна быть сделана следующая запись в графе № 11: </w:t>
      </w:r>
      <w:r w:rsidR="000163F3">
        <w:t>«</w:t>
      </w:r>
      <w:r w:rsidR="00FB71E3" w:rsidRPr="00FB71E3">
        <w:t>Транспортное средство, соответствующее разделу 9.7.9 ДОПОГ, для перевозки взрывчатых веществ в цистернах</w:t>
      </w:r>
      <w:r w:rsidR="000163F3">
        <w:t>»</w:t>
      </w:r>
      <w:r w:rsidR="00FB71E3" w:rsidRPr="00FB71E3">
        <w:t>.</w:t>
      </w:r>
    </w:p>
    <w:p w:rsidR="00FB71E3" w:rsidRPr="000E441B" w:rsidRDefault="00FB71E3" w:rsidP="00BF03BF">
      <w:pPr>
        <w:pStyle w:val="SingleTxtGR"/>
        <w:rPr>
          <w:i/>
          <w:iCs/>
        </w:rPr>
      </w:pPr>
      <w:r w:rsidRPr="000E441B">
        <w:rPr>
          <w:i/>
        </w:rPr>
        <w:t>(Справочный документ: ECE/TRANS/WP.15/2016/18)</w:t>
      </w:r>
    </w:p>
    <w:p w:rsidR="00BF03BF" w:rsidRDefault="00BF03BF" w:rsidP="009627D2">
      <w:pPr>
        <w:pStyle w:val="HChGR"/>
      </w:pPr>
      <w:r>
        <w:br w:type="page"/>
      </w:r>
    </w:p>
    <w:p w:rsidR="00FB71E3" w:rsidRPr="00FB71E3" w:rsidRDefault="00FB71E3" w:rsidP="009627D2">
      <w:pPr>
        <w:pStyle w:val="HChGR"/>
      </w:pPr>
      <w:r w:rsidRPr="00FB71E3">
        <w:lastRenderedPageBreak/>
        <w:t>Приложение II</w:t>
      </w:r>
    </w:p>
    <w:p w:rsidR="00FB71E3" w:rsidRPr="00FB71E3" w:rsidRDefault="00FB71E3" w:rsidP="009627D2">
      <w:pPr>
        <w:pStyle w:val="HChGR"/>
      </w:pPr>
      <w:r w:rsidRPr="00FB71E3">
        <w:tab/>
      </w:r>
      <w:r w:rsidRPr="00FB71E3">
        <w:tab/>
        <w:t>Исправлени</w:t>
      </w:r>
      <w:r w:rsidR="000E441B">
        <w:t>я к приложениям А и В к ДОПОГ с </w:t>
      </w:r>
      <w:r w:rsidRPr="00FB71E3">
        <w:t>внесенными в них поправками, всту</w:t>
      </w:r>
      <w:r w:rsidR="000E441B">
        <w:t>пающими в </w:t>
      </w:r>
      <w:r w:rsidRPr="00FB71E3">
        <w:t>силу 1 января 2017 года</w:t>
      </w:r>
    </w:p>
    <w:p w:rsidR="00FB71E3" w:rsidRPr="000E441B" w:rsidRDefault="00FB71E3" w:rsidP="00BF03BF">
      <w:pPr>
        <w:pStyle w:val="SingleTxtGR"/>
        <w:rPr>
          <w:i/>
        </w:rPr>
      </w:pPr>
      <w:r w:rsidRPr="000E441B">
        <w:rPr>
          <w:i/>
        </w:rPr>
        <w:t>(Справочные документы: ECE/TRANS/WP.15/2016/14, ECE/TRANS/WP.15/</w:t>
      </w:r>
      <w:r w:rsidR="000E441B">
        <w:rPr>
          <w:i/>
        </w:rPr>
        <w:br/>
      </w:r>
      <w:r w:rsidRPr="000E441B">
        <w:rPr>
          <w:i/>
        </w:rPr>
        <w:t>2016/21 и неофициальные документы INF.8/Rev.1 и INF.10)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1.1, 1.1.3.2 a)</w:t>
      </w:r>
    </w:p>
    <w:p w:rsidR="00FB71E3" w:rsidRPr="00FB71E3" w:rsidRDefault="00FB71E3" w:rsidP="00BF03BF">
      <w:pPr>
        <w:pStyle w:val="SingleTxtGR"/>
        <w:rPr>
          <w:b/>
        </w:rPr>
      </w:pPr>
      <w:r w:rsidRPr="00FB71E3">
        <w:t>Не касается текста на русском языке.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2.2, 2.2.43.1.8 c)</w:t>
      </w:r>
    </w:p>
    <w:p w:rsidR="00FB71E3" w:rsidRPr="00FB71E3" w:rsidRDefault="00FB71E3" w:rsidP="00BF03BF">
      <w:pPr>
        <w:pStyle w:val="SingleTxtGR"/>
        <w:rPr>
          <w:b/>
        </w:rPr>
      </w:pPr>
      <w:r w:rsidRPr="00FB71E3">
        <w:t>Не касается текста на русском языке.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2.2, 2.2.7.2.3.3.6 a) i)</w:t>
      </w:r>
    </w:p>
    <w:p w:rsidR="00FB71E3" w:rsidRPr="00FB71E3" w:rsidRDefault="00FB71E3" w:rsidP="00BF03BF">
      <w:pPr>
        <w:pStyle w:val="SingleTxtGR"/>
      </w:pPr>
      <w:r w:rsidRPr="005D58B9">
        <w:rPr>
          <w:i/>
        </w:rPr>
        <w:t>Вместо</w:t>
      </w:r>
      <w:r w:rsidRPr="00FB71E3">
        <w:t xml:space="preserve"> </w:t>
      </w:r>
      <w:r w:rsidR="000163F3">
        <w:t>«</w:t>
      </w:r>
      <w:r w:rsidRPr="00FB71E3">
        <w:t>равна или менее</w:t>
      </w:r>
      <w:r w:rsidR="000163F3">
        <w:t>»</w:t>
      </w:r>
      <w:r w:rsidRPr="00FB71E3">
        <w:t xml:space="preserve"> </w:t>
      </w:r>
      <w:r w:rsidRPr="005D58B9">
        <w:rPr>
          <w:i/>
        </w:rPr>
        <w:t>читать</w:t>
      </w:r>
      <w:r w:rsidRPr="00FB71E3">
        <w:t xml:space="preserve"> </w:t>
      </w:r>
      <w:r w:rsidR="000163F3">
        <w:t>«</w:t>
      </w:r>
      <w:r w:rsidRPr="00FB71E3">
        <w:t>менее</w:t>
      </w:r>
      <w:r w:rsidR="000163F3">
        <w:t>»</w:t>
      </w:r>
      <w:r w:rsidRPr="00FB71E3">
        <w:t>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3.3, специальное положение 363 a)</w:t>
      </w:r>
    </w:p>
    <w:p w:rsidR="00FB71E3" w:rsidRPr="00FB71E3" w:rsidRDefault="00FB71E3" w:rsidP="00BF03BF">
      <w:pPr>
        <w:pStyle w:val="SingleTxtGR"/>
        <w:rPr>
          <w:b/>
        </w:rPr>
      </w:pPr>
      <w:r w:rsidRPr="00F00562">
        <w:rPr>
          <w:i/>
        </w:rPr>
        <w:t>Исключить</w:t>
      </w:r>
      <w:r w:rsidRPr="00FB71E3">
        <w:t xml:space="preserve"> </w:t>
      </w:r>
      <w:r w:rsidR="000163F3">
        <w:t>«</w:t>
      </w:r>
      <w:r w:rsidRPr="00FB71E3">
        <w:t xml:space="preserve">в количестве, превышающем значение, указанное в колонке </w:t>
      </w:r>
      <w:r w:rsidR="00D34715">
        <w:t>(</w:t>
      </w:r>
      <w:r w:rsidRPr="00FB71E3">
        <w:t>7</w:t>
      </w:r>
      <w:r w:rsidR="00D34715">
        <w:t>)</w:t>
      </w:r>
      <w:r w:rsidRPr="00FB71E3">
        <w:t>а таблицы А главы 3.2</w:t>
      </w:r>
      <w:r w:rsidR="000163F3">
        <w:t>»</w:t>
      </w:r>
      <w:r w:rsidRPr="00FB71E3">
        <w:t>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4.3, 4.3.2.3.7, первый абзац, в конце</w:t>
      </w:r>
    </w:p>
    <w:p w:rsidR="00FB71E3" w:rsidRPr="00FB71E3" w:rsidRDefault="00FB71E3" w:rsidP="00BF03BF">
      <w:pPr>
        <w:pStyle w:val="SingleTxtGR"/>
      </w:pPr>
      <w:r w:rsidRPr="00F00562">
        <w:rPr>
          <w:i/>
        </w:rPr>
        <w:t>Вместо</w:t>
      </w:r>
      <w:r w:rsidRPr="00FB71E3">
        <w:t xml:space="preserve"> </w:t>
      </w:r>
      <w:r w:rsidR="000163F3">
        <w:t>«</w:t>
      </w:r>
      <w:r w:rsidR="00D34715">
        <w:t>6</w:t>
      </w:r>
      <w:r w:rsidRPr="00FB71E3">
        <w:t>.</w:t>
      </w:r>
      <w:r w:rsidR="00D34715">
        <w:t>8</w:t>
      </w:r>
      <w:r w:rsidRPr="00FB71E3">
        <w:t>.</w:t>
      </w:r>
      <w:r w:rsidR="00D34715">
        <w:t>3</w:t>
      </w:r>
      <w:r w:rsidRPr="00FB71E3">
        <w:t>.</w:t>
      </w:r>
      <w:r w:rsidR="00D34715">
        <w:t>4</w:t>
      </w:r>
      <w:r w:rsidRPr="00FB71E3">
        <w:t>.</w:t>
      </w:r>
      <w:r w:rsidR="00D34715">
        <w:t>10</w:t>
      </w:r>
      <w:r w:rsidR="000163F3">
        <w:t>»</w:t>
      </w:r>
      <w:r w:rsidRPr="00FB71E3">
        <w:t xml:space="preserve"> </w:t>
      </w:r>
      <w:r w:rsidRPr="00F00562">
        <w:rPr>
          <w:i/>
        </w:rPr>
        <w:t>читать</w:t>
      </w:r>
      <w:r w:rsidRPr="00FB71E3">
        <w:t xml:space="preserve"> </w:t>
      </w:r>
      <w:r w:rsidR="000163F3">
        <w:t>«</w:t>
      </w:r>
      <w:r w:rsidR="00D34715">
        <w:t>6</w:t>
      </w:r>
      <w:r w:rsidRPr="00FB71E3">
        <w:t>.</w:t>
      </w:r>
      <w:r w:rsidR="00D34715">
        <w:t>8</w:t>
      </w:r>
      <w:r w:rsidRPr="00FB71E3">
        <w:t>.</w:t>
      </w:r>
      <w:r w:rsidR="00D34715">
        <w:t>3</w:t>
      </w:r>
      <w:r w:rsidRPr="00FB71E3">
        <w:t>.4.</w:t>
      </w:r>
      <w:r w:rsidR="00D34715">
        <w:t>1</w:t>
      </w:r>
      <w:r w:rsidRPr="00FB71E3">
        <w:t>2</w:t>
      </w:r>
      <w:r w:rsidR="000163F3">
        <w:t>»</w:t>
      </w:r>
      <w:r w:rsidRPr="00FB71E3">
        <w:t>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4.3, 4.3.4.1.3 b), № ООН 3533 (код SGAN) и № ООН 3534 (код L4BN)</w:t>
      </w:r>
    </w:p>
    <w:p w:rsidR="00FB71E3" w:rsidRPr="00FB71E3" w:rsidRDefault="00FB71E3" w:rsidP="00BF03BF">
      <w:pPr>
        <w:pStyle w:val="SingleTxtGR"/>
      </w:pPr>
      <w:r w:rsidRPr="00F00562">
        <w:rPr>
          <w:i/>
        </w:rPr>
        <w:t>Исключить</w:t>
      </w:r>
      <w:r w:rsidRPr="00FB71E3">
        <w:t xml:space="preserve"> </w:t>
      </w:r>
      <w:r w:rsidR="000163F3">
        <w:t>«</w:t>
      </w:r>
      <w:r w:rsidRPr="00FB71E3">
        <w:t>стабилизированное</w:t>
      </w:r>
      <w:r w:rsidR="000163F3">
        <w:t>»</w:t>
      </w:r>
      <w:r w:rsidRPr="00FB71E3">
        <w:t>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6.2, 6.2.4.1</w:t>
      </w:r>
    </w:p>
    <w:p w:rsidR="00FB71E3" w:rsidRPr="00FB71E3" w:rsidRDefault="00FB71E3" w:rsidP="00BF03BF">
      <w:pPr>
        <w:pStyle w:val="SingleTxtGR"/>
      </w:pPr>
      <w:r w:rsidRPr="00FB71E3">
        <w:t>Не касается текста на русском языке.</w:t>
      </w:r>
    </w:p>
    <w:p w:rsidR="00FB71E3" w:rsidRPr="00FB71E3" w:rsidRDefault="00FB71E3" w:rsidP="00F00562">
      <w:pPr>
        <w:pStyle w:val="H23GR"/>
      </w:pPr>
      <w:r w:rsidRPr="00FB71E3">
        <w:tab/>
      </w:r>
      <w:r w:rsidRPr="00FB71E3">
        <w:tab/>
        <w:t>Глава 6.8, 6.8.2.6.1</w:t>
      </w:r>
    </w:p>
    <w:p w:rsidR="00FB71E3" w:rsidRPr="00FB71E3" w:rsidRDefault="00FB71E3" w:rsidP="00BF03BF">
      <w:pPr>
        <w:pStyle w:val="SingleTxtGR"/>
        <w:rPr>
          <w:b/>
        </w:rPr>
      </w:pPr>
      <w:r w:rsidRPr="00FB71E3">
        <w:t>Не касается текста на русском языке.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6.8, 6.8.3.2.15, последнее предложение (В отношении испытания системы изоляции на эффективност</w:t>
      </w:r>
      <w:r w:rsidR="00F00562">
        <w:t>ь по типу конструкции см. пункт </w:t>
      </w:r>
      <w:r w:rsidRPr="00FB71E3">
        <w:t>6.8.3.4.11)</w:t>
      </w:r>
    </w:p>
    <w:p w:rsidR="00FB71E3" w:rsidRPr="00FB71E3" w:rsidRDefault="00FB71E3" w:rsidP="00BF03BF">
      <w:pPr>
        <w:pStyle w:val="SingleTxtGR"/>
      </w:pPr>
      <w:r w:rsidRPr="00C56D9B">
        <w:rPr>
          <w:i/>
        </w:rPr>
        <w:t>Перенести</w:t>
      </w:r>
      <w:r w:rsidRPr="00FB71E3">
        <w:t xml:space="preserve"> в правую колонку.</w:t>
      </w:r>
    </w:p>
    <w:p w:rsidR="00FB71E3" w:rsidRPr="00FB71E3" w:rsidRDefault="005D58B9" w:rsidP="005D58B9">
      <w:pPr>
        <w:pStyle w:val="H23GR"/>
        <w:rPr>
          <w:bCs/>
        </w:rPr>
      </w:pPr>
      <w:r>
        <w:tab/>
      </w:r>
      <w:r>
        <w:tab/>
      </w:r>
      <w:r w:rsidR="00FB71E3" w:rsidRPr="00FB71E3">
        <w:t>Глава 7.5, 7.5.2.1, таблица: в заголовках последней графы и последней колонки</w:t>
      </w:r>
    </w:p>
    <w:p w:rsidR="00FB71E3" w:rsidRPr="00FB71E3" w:rsidRDefault="00FB71E3" w:rsidP="00BF03BF">
      <w:pPr>
        <w:pStyle w:val="SingleTxtGR"/>
      </w:pPr>
      <w:r w:rsidRPr="00B95294">
        <w:rPr>
          <w:i/>
        </w:rPr>
        <w:t>Вместо</w:t>
      </w:r>
      <w:r w:rsidRPr="00FB71E3">
        <w:t xml:space="preserve"> </w:t>
      </w:r>
      <w:r w:rsidR="000163F3">
        <w:t>«</w:t>
      </w:r>
      <w:r w:rsidRPr="00FB71E3">
        <w:t>9</w:t>
      </w:r>
      <w:r w:rsidR="000163F3">
        <w:t>»</w:t>
      </w:r>
      <w:r w:rsidRPr="00FB71E3">
        <w:t xml:space="preserve"> </w:t>
      </w:r>
      <w:r w:rsidRPr="00B95294">
        <w:rPr>
          <w:i/>
        </w:rPr>
        <w:t>читать</w:t>
      </w:r>
      <w:r w:rsidRPr="00FB71E3">
        <w:t xml:space="preserve"> </w:t>
      </w:r>
      <w:r w:rsidR="000163F3">
        <w:t>«</w:t>
      </w:r>
      <w:r w:rsidRPr="00FB71E3">
        <w:t>9, 9А</w:t>
      </w:r>
      <w:r w:rsidR="000163F3">
        <w:t>»</w:t>
      </w:r>
      <w:r w:rsidRPr="00FB71E3">
        <w:t>.</w:t>
      </w:r>
    </w:p>
    <w:p w:rsidR="00FB71E3" w:rsidRPr="00FB71E3" w:rsidRDefault="005D58B9" w:rsidP="005D58B9">
      <w:pPr>
        <w:pStyle w:val="H23GR"/>
        <w:rPr>
          <w:bCs/>
        </w:rPr>
      </w:pPr>
      <w:r>
        <w:tab/>
      </w:r>
      <w:r>
        <w:tab/>
      </w:r>
      <w:r w:rsidR="00B95294">
        <w:t>Глава 7.5, 7.5.5.3</w:t>
      </w:r>
    </w:p>
    <w:p w:rsidR="00FB71E3" w:rsidRPr="00FB71E3" w:rsidRDefault="00FB71E3" w:rsidP="00BF03BF">
      <w:pPr>
        <w:pStyle w:val="SingleTxtGR"/>
      </w:pPr>
      <w:r w:rsidRPr="00B95294">
        <w:rPr>
          <w:i/>
        </w:rPr>
        <w:t>Включить</w:t>
      </w:r>
      <w:r w:rsidRPr="00FB71E3">
        <w:t xml:space="preserve"> нижеследующий заголовок: </w:t>
      </w:r>
    </w:p>
    <w:p w:rsidR="00FB71E3" w:rsidRPr="00B95294" w:rsidRDefault="000163F3" w:rsidP="00BF03BF">
      <w:pPr>
        <w:pStyle w:val="SingleTxtGR"/>
        <w:rPr>
          <w:b/>
          <w:i/>
        </w:rPr>
      </w:pPr>
      <w:r>
        <w:rPr>
          <w:b/>
          <w:i/>
        </w:rPr>
        <w:lastRenderedPageBreak/>
        <w:t>«</w:t>
      </w:r>
      <w:r w:rsidR="00FB71E3" w:rsidRPr="00B95294">
        <w:rPr>
          <w:b/>
          <w:i/>
        </w:rPr>
        <w:t>Ограничения в отношении органических пероксидов, самореактивных в</w:t>
      </w:r>
      <w:r w:rsidR="00FB71E3" w:rsidRPr="00B95294">
        <w:rPr>
          <w:b/>
          <w:i/>
        </w:rPr>
        <w:t>е</w:t>
      </w:r>
      <w:r w:rsidR="00FB71E3" w:rsidRPr="00B95294">
        <w:rPr>
          <w:b/>
          <w:i/>
        </w:rPr>
        <w:t>ществ и полимеризующихся веществ</w:t>
      </w:r>
      <w:r>
        <w:rPr>
          <w:b/>
          <w:i/>
        </w:rPr>
        <w:t>»</w:t>
      </w:r>
      <w:r w:rsidR="00FB71E3" w:rsidRPr="00B95294">
        <w:rPr>
          <w:b/>
          <w:i/>
        </w:rPr>
        <w:t>.</w:t>
      </w:r>
    </w:p>
    <w:p w:rsidR="00FB71E3" w:rsidRPr="00FB71E3" w:rsidRDefault="00FB71E3" w:rsidP="000E441B">
      <w:pPr>
        <w:pStyle w:val="H23GR"/>
      </w:pPr>
      <w:r w:rsidRPr="00FB71E3">
        <w:tab/>
      </w:r>
      <w:r w:rsidRPr="00FB71E3">
        <w:tab/>
        <w:t>Глава 9.2, 9.2.1.1, таблица, в конце</w:t>
      </w:r>
    </w:p>
    <w:p w:rsidR="00FB71E3" w:rsidRPr="00FB71E3" w:rsidRDefault="00FB71E3" w:rsidP="00BF03BF">
      <w:pPr>
        <w:pStyle w:val="SingleTxtGR"/>
        <w:rPr>
          <w:bCs/>
        </w:rPr>
      </w:pPr>
      <w:r w:rsidRPr="00B95294">
        <w:rPr>
          <w:i/>
        </w:rPr>
        <w:t>Включить</w:t>
      </w:r>
      <w:r w:rsidRPr="00FB71E3">
        <w:t xml:space="preserve"> следующую новую строку:</w:t>
      </w:r>
    </w:p>
    <w:tbl>
      <w:tblPr>
        <w:tblStyle w:val="Grilledutableau"/>
        <w:tblW w:w="0" w:type="auto"/>
        <w:jc w:val="center"/>
        <w:tblInd w:w="-292" w:type="dxa"/>
        <w:tblLayout w:type="fixed"/>
        <w:tblLook w:val="04A0" w:firstRow="1" w:lastRow="0" w:firstColumn="1" w:lastColumn="0" w:noHBand="0" w:noVBand="1"/>
      </w:tblPr>
      <w:tblGrid>
        <w:gridCol w:w="1121"/>
        <w:gridCol w:w="3074"/>
        <w:gridCol w:w="910"/>
        <w:gridCol w:w="923"/>
        <w:gridCol w:w="882"/>
        <w:gridCol w:w="896"/>
        <w:gridCol w:w="1805"/>
      </w:tblGrid>
      <w:tr w:rsidR="00FB71E3" w:rsidRPr="00FB71E3" w:rsidTr="00E167DC">
        <w:trPr>
          <w:jc w:val="center"/>
        </w:trPr>
        <w:tc>
          <w:tcPr>
            <w:tcW w:w="4195" w:type="dxa"/>
            <w:gridSpan w:val="2"/>
          </w:tcPr>
          <w:p w:rsidR="00FB71E3" w:rsidRPr="00FB71E3" w:rsidRDefault="00FB71E3" w:rsidP="00B95294">
            <w:pPr>
              <w:spacing w:before="60" w:after="60" w:line="240" w:lineRule="auto"/>
            </w:pPr>
          </w:p>
        </w:tc>
        <w:tc>
          <w:tcPr>
            <w:tcW w:w="3611" w:type="dxa"/>
            <w:gridSpan w:val="4"/>
          </w:tcPr>
          <w:p w:rsidR="00FB71E3" w:rsidRPr="00FB71E3" w:rsidRDefault="00FB71E3" w:rsidP="00067046">
            <w:pPr>
              <w:spacing w:before="60" w:after="60" w:line="240" w:lineRule="auto"/>
              <w:rPr>
                <w:lang w:val="en-GB"/>
              </w:rPr>
            </w:pPr>
            <w:r w:rsidRPr="00FB71E3">
              <w:t>ТРАНСПОРТНЫЕ СРЕДСТВА</w:t>
            </w:r>
          </w:p>
        </w:tc>
        <w:tc>
          <w:tcPr>
            <w:tcW w:w="1805" w:type="dxa"/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ЗАМЕЧАНИЯ</w:t>
            </w:r>
          </w:p>
        </w:tc>
      </w:tr>
      <w:tr w:rsidR="00FB71E3" w:rsidRPr="00FB71E3" w:rsidTr="00E167DC">
        <w:trPr>
          <w:jc w:val="center"/>
        </w:trPr>
        <w:tc>
          <w:tcPr>
            <w:tcW w:w="4195" w:type="dxa"/>
            <w:gridSpan w:val="2"/>
            <w:tcBorders>
              <w:bottom w:val="single" w:sz="4" w:space="0" w:color="auto"/>
            </w:tcBorders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ТЕХНИЧЕСКИЕ ХАРАКТЕРИСТИКИ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ЕХ/II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ЕХ/III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FL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AT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</w:p>
        </w:tc>
      </w:tr>
      <w:tr w:rsidR="00FB71E3" w:rsidRPr="00337E21" w:rsidTr="00E167DC">
        <w:trPr>
          <w:jc w:val="center"/>
        </w:trPr>
        <w:tc>
          <w:tcPr>
            <w:tcW w:w="1121" w:type="dxa"/>
          </w:tcPr>
          <w:p w:rsidR="00FB71E3" w:rsidRPr="00FB71E3" w:rsidRDefault="00FB71E3" w:rsidP="00B95294">
            <w:pPr>
              <w:spacing w:before="60" w:after="60" w:line="240" w:lineRule="auto"/>
              <w:rPr>
                <w:lang w:val="en-GB"/>
              </w:rPr>
            </w:pPr>
            <w:r w:rsidRPr="00FB71E3">
              <w:t>9.2.7</w:t>
            </w:r>
          </w:p>
        </w:tc>
        <w:tc>
          <w:tcPr>
            <w:tcW w:w="3074" w:type="dxa"/>
          </w:tcPr>
          <w:p w:rsidR="00FB71E3" w:rsidRPr="00FB71E3" w:rsidRDefault="00FB71E3" w:rsidP="00B95294">
            <w:pPr>
              <w:spacing w:before="60" w:after="60" w:line="240" w:lineRule="auto"/>
            </w:pPr>
            <w:r w:rsidRPr="00FB71E3">
              <w:t xml:space="preserve">Предупреждение других </w:t>
            </w:r>
            <w:r w:rsidR="00337E21">
              <w:br/>
            </w:r>
            <w:r w:rsidRPr="00FB71E3">
              <w:t>рисков, связанных с топливом</w:t>
            </w:r>
          </w:p>
        </w:tc>
        <w:tc>
          <w:tcPr>
            <w:tcW w:w="910" w:type="dxa"/>
          </w:tcPr>
          <w:p w:rsidR="00FB71E3" w:rsidRPr="00FB71E3" w:rsidRDefault="00FB71E3" w:rsidP="00B95294">
            <w:pPr>
              <w:spacing w:before="60" w:after="60" w:line="240" w:lineRule="auto"/>
            </w:pPr>
          </w:p>
        </w:tc>
        <w:tc>
          <w:tcPr>
            <w:tcW w:w="923" w:type="dxa"/>
          </w:tcPr>
          <w:p w:rsidR="00FB71E3" w:rsidRPr="00FB71E3" w:rsidRDefault="00FB71E3" w:rsidP="00B95294">
            <w:pPr>
              <w:spacing w:before="60" w:after="60" w:line="240" w:lineRule="auto"/>
            </w:pPr>
          </w:p>
        </w:tc>
        <w:tc>
          <w:tcPr>
            <w:tcW w:w="882" w:type="dxa"/>
          </w:tcPr>
          <w:p w:rsidR="00FB71E3" w:rsidRPr="00337E21" w:rsidRDefault="00FB71E3" w:rsidP="00B95294">
            <w:pPr>
              <w:spacing w:before="60" w:after="60" w:line="240" w:lineRule="auto"/>
            </w:pPr>
            <w:r w:rsidRPr="00FB71E3">
              <w:t>X</w:t>
            </w:r>
          </w:p>
        </w:tc>
        <w:tc>
          <w:tcPr>
            <w:tcW w:w="896" w:type="dxa"/>
          </w:tcPr>
          <w:p w:rsidR="00FB71E3" w:rsidRPr="00337E21" w:rsidRDefault="00FB71E3" w:rsidP="00B95294">
            <w:pPr>
              <w:spacing w:before="60" w:after="60" w:line="240" w:lineRule="auto"/>
            </w:pPr>
            <w:r w:rsidRPr="00FB71E3">
              <w:t xml:space="preserve">X </w:t>
            </w:r>
          </w:p>
        </w:tc>
        <w:tc>
          <w:tcPr>
            <w:tcW w:w="1805" w:type="dxa"/>
          </w:tcPr>
          <w:p w:rsidR="00FB71E3" w:rsidRPr="00337E21" w:rsidRDefault="00FB71E3" w:rsidP="00B95294">
            <w:pPr>
              <w:spacing w:before="60" w:after="60" w:line="240" w:lineRule="auto"/>
            </w:pPr>
          </w:p>
        </w:tc>
      </w:tr>
    </w:tbl>
    <w:p w:rsidR="00FB71E3" w:rsidRPr="00337E21" w:rsidRDefault="00FB71E3" w:rsidP="00FB71E3">
      <w:pPr>
        <w:spacing w:before="240"/>
        <w:jc w:val="center"/>
        <w:rPr>
          <w:u w:val="single"/>
        </w:rPr>
      </w:pPr>
      <w:r w:rsidRPr="00337E21">
        <w:rPr>
          <w:u w:val="single"/>
        </w:rPr>
        <w:tab/>
      </w:r>
      <w:r w:rsidRPr="00337E21">
        <w:rPr>
          <w:u w:val="single"/>
        </w:rPr>
        <w:tab/>
      </w:r>
      <w:r w:rsidRPr="00337E21"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3" w:rsidRDefault="00AE7A13" w:rsidP="00B471C5">
      <w:r>
        <w:separator/>
      </w:r>
    </w:p>
  </w:endnote>
  <w:endnote w:type="continuationSeparator" w:id="0">
    <w:p w:rsidR="00AE7A13" w:rsidRDefault="00AE7A1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13" w:rsidRPr="009A6F4A" w:rsidRDefault="00AE7A13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07C94">
      <w:rPr>
        <w:b/>
        <w:noProof/>
        <w:sz w:val="18"/>
        <w:szCs w:val="18"/>
      </w:rPr>
      <w:t>16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GE.16-21083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13" w:rsidRPr="009A6F4A" w:rsidRDefault="00AE7A13" w:rsidP="007005EE">
    <w:pPr>
      <w:pStyle w:val="Pieddepage"/>
      <w:rPr>
        <w:lang w:val="en-US"/>
      </w:rPr>
    </w:pPr>
    <w:r>
      <w:rPr>
        <w:lang w:val="en-US"/>
      </w:rPr>
      <w:t>GE.16-21083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07C94">
      <w:rPr>
        <w:b/>
        <w:noProof/>
        <w:sz w:val="18"/>
        <w:szCs w:val="18"/>
      </w:rPr>
      <w:t>17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E7A13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E7A13" w:rsidRPr="001C3ABC" w:rsidRDefault="00AE7A13" w:rsidP="0006704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21083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281216  2</w:t>
          </w:r>
          <w:r w:rsidR="00067046">
            <w:t>9</w:t>
          </w:r>
          <w:r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E7A13" w:rsidRDefault="00AE7A13" w:rsidP="00F762CB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431374E" wp14:editId="6F23684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E7A13" w:rsidRDefault="00AE7A13" w:rsidP="00F762CB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7A13" w:rsidRPr="00797A78" w:rsidTr="00F762C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E7A13" w:rsidRPr="00FB71E3" w:rsidRDefault="00AE7A13" w:rsidP="00F762C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B71E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E7A13" w:rsidRDefault="00AE7A13" w:rsidP="00F762C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E7A13" w:rsidRDefault="00AE7A13" w:rsidP="00F762CB"/>
      </w:tc>
    </w:tr>
  </w:tbl>
  <w:p w:rsidR="00AE7A13" w:rsidRPr="007005EE" w:rsidRDefault="00AE7A13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3" w:rsidRPr="009141DC" w:rsidRDefault="00AE7A1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E7A13" w:rsidRPr="00D1261C" w:rsidRDefault="00AE7A1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E7A13" w:rsidRPr="00035565" w:rsidRDefault="00AE7A13">
      <w:pPr>
        <w:pStyle w:val="Notedebasdepage"/>
        <w:rPr>
          <w:lang w:val="ru-RU"/>
        </w:rPr>
      </w:pPr>
      <w:r>
        <w:tab/>
      </w:r>
      <w:r w:rsidRPr="00035565">
        <w:rPr>
          <w:rStyle w:val="Appelnotedebasdep"/>
          <w:sz w:val="20"/>
          <w:vertAlign w:val="baseline"/>
          <w:lang w:val="ru-RU"/>
        </w:rPr>
        <w:t>*</w:t>
      </w:r>
      <w:r w:rsidRPr="00035565">
        <w:rPr>
          <w:lang w:val="ru-RU"/>
        </w:rPr>
        <w:t xml:space="preserve"> </w:t>
      </w:r>
      <w:r w:rsidRPr="00035565">
        <w:rPr>
          <w:lang w:val="ru-RU"/>
        </w:rPr>
        <w:tab/>
        <w:t>После принятия настоящего доклада секретариат получил письмо от директора Департамента автомобильного транспорта Министерства инфраструктуры и строительства Польши с просьбой заменить это пр</w:t>
      </w:r>
      <w:r w:rsidR="001D41CF">
        <w:rPr>
          <w:lang w:val="ru-RU"/>
        </w:rPr>
        <w:t>едложение следующим текстом с </w:t>
      </w:r>
      <w:r w:rsidRPr="00035565">
        <w:rPr>
          <w:lang w:val="ru-RU"/>
        </w:rPr>
        <w:t xml:space="preserve">целью лучше описать положение в Польше: </w:t>
      </w:r>
      <w:r w:rsidR="000163F3">
        <w:rPr>
          <w:lang w:val="ru-RU"/>
        </w:rPr>
        <w:t>«</w:t>
      </w:r>
      <w:r w:rsidRPr="00035565">
        <w:rPr>
          <w:lang w:val="ru-RU"/>
        </w:rPr>
        <w:t>В связи с необходимостью адаптации участников рыночной деятельности к новым требованиям Министерство инфраструктуры и строительства (в которое входит Департамент транспорта) рекомендовало находящимся в его подчинении органам контроля не наказывать перевозчиков в случае нарушения новых правил. В настоящее время масштабы проблемы толкования этого положения являются объектом изучения, в связи с чем Министерство инфраструктуры и строительства направило органам Инспекции автомобильных перевозок и Управления железнодор</w:t>
      </w:r>
      <w:r w:rsidR="001D41CF">
        <w:rPr>
          <w:lang w:val="ru-RU"/>
        </w:rPr>
        <w:t>ожного транспорта заключение, в </w:t>
      </w:r>
      <w:r w:rsidRPr="00035565">
        <w:rPr>
          <w:lang w:val="ru-RU"/>
        </w:rPr>
        <w:t>котором предлагается воздерживаться от применения санкций в тех случаях, когда это возможно. Представитель Польши подчеркнул, что Министерство инфраструктуры и строительства готовит обширное исследование по вопросу о том, каким образом уточнить существующие положения, в частности в связи с тем, насколько подробной должна быть дополнительная информация (содержание и размещение информации)</w:t>
      </w:r>
      <w:r w:rsidR="000163F3">
        <w:rPr>
          <w:lang w:val="ru-RU"/>
        </w:rPr>
        <w:t>»</w:t>
      </w:r>
      <w:r w:rsidRPr="0003556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13" w:rsidRPr="007005EE" w:rsidRDefault="00AE7A13">
    <w:pPr>
      <w:pStyle w:val="En-tte"/>
      <w:rPr>
        <w:lang w:val="en-US"/>
      </w:rPr>
    </w:pPr>
    <w:r>
      <w:rPr>
        <w:lang w:val="en-US"/>
      </w:rPr>
      <w:t>ECE/</w:t>
    </w:r>
    <w:r w:rsidRPr="00FB71E3">
      <w:rPr>
        <w:lang w:val="en-US"/>
      </w:rPr>
      <w:t>TRANS/WP.15/235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13" w:rsidRPr="004D639B" w:rsidRDefault="00AE7A13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Pr="00FB71E3">
      <w:rPr>
        <w:lang w:val="en-US"/>
      </w:rPr>
      <w:t>TRANS/WP.15/235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E3"/>
    <w:rsid w:val="00002230"/>
    <w:rsid w:val="000163F3"/>
    <w:rsid w:val="00035565"/>
    <w:rsid w:val="000450D1"/>
    <w:rsid w:val="00067046"/>
    <w:rsid w:val="00077815"/>
    <w:rsid w:val="000B1FD5"/>
    <w:rsid w:val="000D0815"/>
    <w:rsid w:val="000E441B"/>
    <w:rsid w:val="000F2A4F"/>
    <w:rsid w:val="001D41CF"/>
    <w:rsid w:val="00203F84"/>
    <w:rsid w:val="00230365"/>
    <w:rsid w:val="00254D29"/>
    <w:rsid w:val="00275188"/>
    <w:rsid w:val="0028687D"/>
    <w:rsid w:val="002A1875"/>
    <w:rsid w:val="002B091C"/>
    <w:rsid w:val="002B3D40"/>
    <w:rsid w:val="002D0CCB"/>
    <w:rsid w:val="00307C94"/>
    <w:rsid w:val="00337E21"/>
    <w:rsid w:val="00345C79"/>
    <w:rsid w:val="00366A39"/>
    <w:rsid w:val="003D47B5"/>
    <w:rsid w:val="00423593"/>
    <w:rsid w:val="0048005C"/>
    <w:rsid w:val="004D639B"/>
    <w:rsid w:val="004E242B"/>
    <w:rsid w:val="00544379"/>
    <w:rsid w:val="005666B8"/>
    <w:rsid w:val="00566944"/>
    <w:rsid w:val="005C0D82"/>
    <w:rsid w:val="005D56BF"/>
    <w:rsid w:val="005D58B9"/>
    <w:rsid w:val="0062027E"/>
    <w:rsid w:val="00643644"/>
    <w:rsid w:val="00663950"/>
    <w:rsid w:val="00665D8D"/>
    <w:rsid w:val="006A7A3B"/>
    <w:rsid w:val="006B6B57"/>
    <w:rsid w:val="006C6589"/>
    <w:rsid w:val="006F49F1"/>
    <w:rsid w:val="007005EE"/>
    <w:rsid w:val="00705394"/>
    <w:rsid w:val="00743F62"/>
    <w:rsid w:val="00760D3A"/>
    <w:rsid w:val="00773BA8"/>
    <w:rsid w:val="007A1F42"/>
    <w:rsid w:val="007B4C28"/>
    <w:rsid w:val="007D76DD"/>
    <w:rsid w:val="0081006C"/>
    <w:rsid w:val="0086378D"/>
    <w:rsid w:val="008717E8"/>
    <w:rsid w:val="008D01AE"/>
    <w:rsid w:val="008E0423"/>
    <w:rsid w:val="009141DC"/>
    <w:rsid w:val="009174A1"/>
    <w:rsid w:val="00946BA7"/>
    <w:rsid w:val="009627D2"/>
    <w:rsid w:val="0098674D"/>
    <w:rsid w:val="00997ACA"/>
    <w:rsid w:val="00A03FB7"/>
    <w:rsid w:val="00A55C56"/>
    <w:rsid w:val="00A658DB"/>
    <w:rsid w:val="00A75A11"/>
    <w:rsid w:val="00A9606E"/>
    <w:rsid w:val="00AD7EAD"/>
    <w:rsid w:val="00AE7A13"/>
    <w:rsid w:val="00B35A32"/>
    <w:rsid w:val="00B432C6"/>
    <w:rsid w:val="00B471C5"/>
    <w:rsid w:val="00B6474A"/>
    <w:rsid w:val="00B676CC"/>
    <w:rsid w:val="00B95294"/>
    <w:rsid w:val="00BE1742"/>
    <w:rsid w:val="00BF03BF"/>
    <w:rsid w:val="00BF2D1F"/>
    <w:rsid w:val="00C34CF7"/>
    <w:rsid w:val="00C56D9B"/>
    <w:rsid w:val="00CD6DC4"/>
    <w:rsid w:val="00D1261C"/>
    <w:rsid w:val="00D26030"/>
    <w:rsid w:val="00D34715"/>
    <w:rsid w:val="00D75DCE"/>
    <w:rsid w:val="00D9275D"/>
    <w:rsid w:val="00DB3A0F"/>
    <w:rsid w:val="00DD35AC"/>
    <w:rsid w:val="00DD479F"/>
    <w:rsid w:val="00E15E48"/>
    <w:rsid w:val="00E167DC"/>
    <w:rsid w:val="00EB0723"/>
    <w:rsid w:val="00EB2957"/>
    <w:rsid w:val="00EE6F37"/>
    <w:rsid w:val="00F00562"/>
    <w:rsid w:val="00F05437"/>
    <w:rsid w:val="00F1599F"/>
    <w:rsid w:val="00F31EF2"/>
    <w:rsid w:val="00F74927"/>
    <w:rsid w:val="00F762CB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umros3">
    <w:name w:val="List Number 3"/>
    <w:basedOn w:val="Normal"/>
    <w:semiHidden/>
    <w:rsid w:val="00FB71E3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C9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umros3">
    <w:name w:val="List Number 3"/>
    <w:basedOn w:val="Normal"/>
    <w:semiHidden/>
    <w:rsid w:val="00FB71E3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C9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1693-93C0-4409-AAAC-CC52C4E4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4518</Words>
  <Characters>25758</Characters>
  <Application>Microsoft Office Word</Application>
  <DocSecurity>0</DocSecurity>
  <Lines>214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barrio-champeau</cp:lastModifiedBy>
  <cp:revision>2</cp:revision>
  <cp:lastPrinted>2016-12-28T13:42:00Z</cp:lastPrinted>
  <dcterms:created xsi:type="dcterms:W3CDTF">2017-01-20T10:58:00Z</dcterms:created>
  <dcterms:modified xsi:type="dcterms:W3CDTF">2017-01-20T10:58:00Z</dcterms:modified>
</cp:coreProperties>
</file>