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A1892" w:rsidTr="00751AD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A1892" w:rsidRDefault="00B56E9C" w:rsidP="00751AD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A1892" w:rsidRDefault="00B56E9C" w:rsidP="00751AD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A189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A1892" w:rsidRDefault="0023372B" w:rsidP="004A5A29">
            <w:pPr>
              <w:jc w:val="right"/>
            </w:pPr>
            <w:r w:rsidRPr="004A1892">
              <w:rPr>
                <w:sz w:val="40"/>
              </w:rPr>
              <w:t>ECE</w:t>
            </w:r>
            <w:r w:rsidR="004F6C6B" w:rsidRPr="004A1892">
              <w:t>/TRANS/WP.15/23</w:t>
            </w:r>
            <w:r w:rsidR="004A5A29" w:rsidRPr="004A1892">
              <w:t>6</w:t>
            </w:r>
            <w:r w:rsidRPr="004A1892">
              <w:t>/Add.1</w:t>
            </w:r>
          </w:p>
        </w:tc>
      </w:tr>
      <w:tr w:rsidR="00B56E9C" w:rsidRPr="004A1892" w:rsidTr="00B021B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4A1892" w:rsidRDefault="00F1720E" w:rsidP="00751ADD">
            <w:pPr>
              <w:spacing w:before="120"/>
            </w:pPr>
            <w:r w:rsidRPr="004A1892">
              <w:rPr>
                <w:noProof/>
                <w:lang w:val="en-US"/>
              </w:rPr>
              <w:drawing>
                <wp:inline distT="0" distB="0" distL="0" distR="0" wp14:anchorId="2D7BBE46" wp14:editId="7F3F3C4C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4A1892" w:rsidRDefault="00D773DF" w:rsidP="00751ADD">
            <w:pPr>
              <w:spacing w:before="120" w:line="420" w:lineRule="exact"/>
              <w:rPr>
                <w:sz w:val="40"/>
                <w:szCs w:val="40"/>
              </w:rPr>
            </w:pPr>
            <w:r w:rsidRPr="004A189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4A1892" w:rsidRDefault="0023372B" w:rsidP="0023372B">
            <w:pPr>
              <w:spacing w:before="240" w:line="240" w:lineRule="exact"/>
            </w:pPr>
            <w:r w:rsidRPr="004A1892">
              <w:t>Distr.: General</w:t>
            </w:r>
          </w:p>
          <w:p w:rsidR="0023372B" w:rsidRPr="004A1892" w:rsidRDefault="00E45B5B" w:rsidP="0023372B">
            <w:pPr>
              <w:spacing w:line="240" w:lineRule="exact"/>
            </w:pPr>
            <w:r>
              <w:t>24</w:t>
            </w:r>
            <w:r w:rsidR="00013C17" w:rsidRPr="004A1892">
              <w:t xml:space="preserve"> February 201</w:t>
            </w:r>
            <w:r w:rsidR="004A5A29" w:rsidRPr="004A1892">
              <w:t>7</w:t>
            </w:r>
          </w:p>
          <w:p w:rsidR="0023372B" w:rsidRPr="004A1892" w:rsidRDefault="00733B1E" w:rsidP="0023372B">
            <w:pPr>
              <w:spacing w:line="240" w:lineRule="exact"/>
            </w:pPr>
            <w:r w:rsidRPr="004A1892">
              <w:t>English</w:t>
            </w:r>
          </w:p>
          <w:p w:rsidR="0023372B" w:rsidRPr="004A1892" w:rsidRDefault="0023372B" w:rsidP="0023372B">
            <w:pPr>
              <w:spacing w:line="240" w:lineRule="exact"/>
            </w:pPr>
            <w:r w:rsidRPr="004A1892">
              <w:t>Original: English</w:t>
            </w:r>
            <w:r w:rsidR="00733B1E" w:rsidRPr="004A1892">
              <w:t xml:space="preserve"> and French</w:t>
            </w:r>
          </w:p>
        </w:tc>
      </w:tr>
    </w:tbl>
    <w:p w:rsidR="00442A83" w:rsidRPr="004A1892" w:rsidRDefault="00C96DF2" w:rsidP="00C96DF2">
      <w:pPr>
        <w:spacing w:before="120"/>
        <w:rPr>
          <w:b/>
          <w:sz w:val="28"/>
          <w:szCs w:val="28"/>
        </w:rPr>
      </w:pPr>
      <w:r w:rsidRPr="004A1892">
        <w:rPr>
          <w:b/>
          <w:sz w:val="28"/>
          <w:szCs w:val="28"/>
        </w:rPr>
        <w:t>Economic Commission for Europe</w:t>
      </w:r>
    </w:p>
    <w:p w:rsidR="00C96DF2" w:rsidRPr="004A1892" w:rsidRDefault="008F31D2" w:rsidP="00C96DF2">
      <w:pPr>
        <w:spacing w:before="120"/>
        <w:rPr>
          <w:sz w:val="28"/>
          <w:szCs w:val="28"/>
        </w:rPr>
      </w:pPr>
      <w:r w:rsidRPr="004A1892">
        <w:rPr>
          <w:sz w:val="28"/>
          <w:szCs w:val="28"/>
        </w:rPr>
        <w:t>Inland Transport Committee</w:t>
      </w:r>
    </w:p>
    <w:p w:rsidR="008F31D2" w:rsidRPr="004A1892" w:rsidRDefault="008F31D2" w:rsidP="00C96DF2">
      <w:pPr>
        <w:spacing w:before="120"/>
        <w:rPr>
          <w:b/>
          <w:sz w:val="24"/>
          <w:szCs w:val="24"/>
        </w:rPr>
      </w:pPr>
      <w:r w:rsidRPr="004A1892">
        <w:rPr>
          <w:b/>
          <w:sz w:val="24"/>
          <w:szCs w:val="24"/>
        </w:rPr>
        <w:t>Working Party on the Transport of Dangerous Goods</w:t>
      </w:r>
    </w:p>
    <w:p w:rsidR="004F6C6B" w:rsidRPr="004A1892" w:rsidRDefault="00123348" w:rsidP="004F6C6B">
      <w:pPr>
        <w:spacing w:before="120"/>
        <w:rPr>
          <w:b/>
        </w:rPr>
      </w:pPr>
      <w:r>
        <w:rPr>
          <w:b/>
        </w:rPr>
        <w:t>102nd</w:t>
      </w:r>
      <w:r w:rsidR="004F6C6B" w:rsidRPr="004A1892">
        <w:rPr>
          <w:b/>
        </w:rPr>
        <w:t xml:space="preserve"> session</w:t>
      </w:r>
    </w:p>
    <w:p w:rsidR="004F6C6B" w:rsidRPr="004A1892" w:rsidRDefault="004F6C6B" w:rsidP="004F6C6B">
      <w:r w:rsidRPr="004A1892">
        <w:t xml:space="preserve">Geneva, </w:t>
      </w:r>
      <w:r w:rsidR="00837B14" w:rsidRPr="004A1892">
        <w:t>8</w:t>
      </w:r>
      <w:r w:rsidRPr="004A1892">
        <w:t>-1</w:t>
      </w:r>
      <w:r w:rsidR="00837B14" w:rsidRPr="004A1892">
        <w:t>2</w:t>
      </w:r>
      <w:r w:rsidRPr="004A1892">
        <w:t xml:space="preserve"> May 201</w:t>
      </w:r>
      <w:r w:rsidR="00837B14" w:rsidRPr="004A1892">
        <w:t>7</w:t>
      </w:r>
    </w:p>
    <w:p w:rsidR="0023372B" w:rsidRPr="004A1892" w:rsidRDefault="0023372B" w:rsidP="0023372B">
      <w:r w:rsidRPr="004A1892">
        <w:t>Item 1 of the provisional agenda</w:t>
      </w:r>
    </w:p>
    <w:p w:rsidR="0023372B" w:rsidRPr="004A1892" w:rsidRDefault="0023372B" w:rsidP="0023372B">
      <w:pPr>
        <w:rPr>
          <w:b/>
        </w:rPr>
      </w:pPr>
      <w:r w:rsidRPr="004A1892">
        <w:rPr>
          <w:b/>
        </w:rPr>
        <w:t>Adoption of the agenda</w:t>
      </w:r>
    </w:p>
    <w:p w:rsidR="0023372B" w:rsidRPr="004A1892" w:rsidRDefault="0023372B" w:rsidP="00652F96">
      <w:pPr>
        <w:pStyle w:val="HChG"/>
      </w:pPr>
      <w:r w:rsidRPr="004A1892">
        <w:tab/>
      </w:r>
      <w:r w:rsidRPr="004A1892">
        <w:tab/>
        <w:t xml:space="preserve">Provisional agenda for </w:t>
      </w:r>
      <w:r w:rsidR="002816DD" w:rsidRPr="004A1892">
        <w:t xml:space="preserve">the </w:t>
      </w:r>
      <w:r w:rsidR="00123348">
        <w:t>102nd</w:t>
      </w:r>
      <w:r w:rsidRPr="004A1892">
        <w:t xml:space="preserve"> session</w:t>
      </w:r>
    </w:p>
    <w:p w:rsidR="0023372B" w:rsidRPr="004A1892" w:rsidRDefault="0023372B" w:rsidP="00652F96">
      <w:pPr>
        <w:pStyle w:val="H23G"/>
      </w:pPr>
      <w:r w:rsidRPr="004A1892">
        <w:tab/>
      </w:r>
      <w:r w:rsidRPr="004A1892">
        <w:tab/>
        <w:t>Addendum</w:t>
      </w:r>
    </w:p>
    <w:p w:rsidR="0023372B" w:rsidRPr="004A1892" w:rsidRDefault="0023372B" w:rsidP="00652F96">
      <w:pPr>
        <w:pStyle w:val="H1G"/>
      </w:pPr>
      <w:r w:rsidRPr="004A1892">
        <w:tab/>
      </w:r>
      <w:r w:rsidRPr="004A1892">
        <w:tab/>
        <w:t>Annotations and list of documents</w:t>
      </w:r>
    </w:p>
    <w:p w:rsidR="000B1B6B" w:rsidRPr="004A1892" w:rsidRDefault="000B1B6B" w:rsidP="000B1B6B">
      <w:pPr>
        <w:pStyle w:val="SingleTxtG"/>
      </w:pPr>
      <w:r w:rsidRPr="004A1892">
        <w:rPr>
          <w:szCs w:val="24"/>
          <w:u w:val="single"/>
        </w:rPr>
        <w:t>Note:</w:t>
      </w:r>
      <w:r w:rsidRPr="004A1892">
        <w:tab/>
        <w:t>Following consultations with the Bureau of the Working Party</w:t>
      </w:r>
      <w:r w:rsidR="00922623">
        <w:t xml:space="preserve"> and </w:t>
      </w:r>
      <w:r w:rsidR="00922623" w:rsidRPr="004A1892">
        <w:t>in the light of the number of documents submitted for the session</w:t>
      </w:r>
      <w:r w:rsidR="00922623">
        <w:t>, it has been agreed</w:t>
      </w:r>
      <w:r w:rsidRPr="004A1892">
        <w:t xml:space="preserve"> to reduce the number of meeting days to four and a half. Therefore, the session will start </w:t>
      </w:r>
      <w:r w:rsidRPr="004A1892">
        <w:rPr>
          <w:bCs/>
        </w:rPr>
        <w:t>at 2.30 p.m. on Monday</w:t>
      </w:r>
      <w:r w:rsidR="00123348">
        <w:rPr>
          <w:bCs/>
        </w:rPr>
        <w:t>,</w:t>
      </w:r>
      <w:bookmarkStart w:id="0" w:name="_GoBack"/>
      <w:bookmarkEnd w:id="0"/>
      <w:r w:rsidRPr="004A1892">
        <w:rPr>
          <w:bCs/>
        </w:rPr>
        <w:t xml:space="preserve"> 8 May 2017.</w:t>
      </w:r>
    </w:p>
    <w:p w:rsidR="0023372B" w:rsidRPr="004A1892" w:rsidRDefault="0023372B" w:rsidP="0023372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tab/>
        <w:t>1.</w:t>
      </w:r>
      <w:r w:rsidRPr="004A1892">
        <w:rPr>
          <w:b/>
          <w:sz w:val="28"/>
        </w:rPr>
        <w:tab/>
        <w:t>Adoption of the agenda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3372B" w:rsidRPr="004A1892" w:rsidTr="002F1277">
        <w:trPr>
          <w:cantSplit/>
        </w:trPr>
        <w:tc>
          <w:tcPr>
            <w:tcW w:w="3402" w:type="dxa"/>
            <w:shd w:val="clear" w:color="auto" w:fill="auto"/>
          </w:tcPr>
          <w:p w:rsidR="0023372B" w:rsidRPr="004A1892" w:rsidRDefault="0023372B" w:rsidP="00837B14">
            <w:pPr>
              <w:spacing w:after="60"/>
              <w:ind w:right="99"/>
            </w:pPr>
            <w:r w:rsidRPr="004A1892">
              <w:t>ECE/TRANS/WP.15/</w:t>
            </w:r>
            <w:r w:rsidR="00F43599" w:rsidRPr="004A1892">
              <w:t>23</w:t>
            </w:r>
            <w:r w:rsidR="00837B14" w:rsidRPr="004A1892">
              <w:t>6</w:t>
            </w:r>
            <w:r w:rsidRPr="004A1892">
              <w:t xml:space="preserve"> (</w:t>
            </w:r>
            <w:r w:rsidR="009D1EFF" w:rsidRPr="004A1892">
              <w:t>S</w:t>
            </w:r>
            <w:r w:rsidRPr="004A1892"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23372B" w:rsidRPr="004A1892" w:rsidRDefault="0023372B" w:rsidP="00837B14">
            <w:pPr>
              <w:spacing w:after="60"/>
            </w:pPr>
            <w:r w:rsidRPr="004A1892">
              <w:t xml:space="preserve">Provisional agenda for the </w:t>
            </w:r>
            <w:r w:rsidR="00311832" w:rsidRPr="004A1892">
              <w:t>102nd</w:t>
            </w:r>
            <w:r w:rsidRPr="004A1892">
              <w:t xml:space="preserve"> session</w:t>
            </w:r>
          </w:p>
        </w:tc>
      </w:tr>
      <w:tr w:rsidR="0023372B" w:rsidRPr="004A1892" w:rsidTr="002F1277">
        <w:trPr>
          <w:cantSplit/>
        </w:trPr>
        <w:tc>
          <w:tcPr>
            <w:tcW w:w="3402" w:type="dxa"/>
            <w:shd w:val="clear" w:color="auto" w:fill="auto"/>
          </w:tcPr>
          <w:p w:rsidR="0023372B" w:rsidRPr="004A1892" w:rsidRDefault="0023372B" w:rsidP="00837B14">
            <w:pPr>
              <w:spacing w:after="60"/>
              <w:ind w:right="99"/>
            </w:pPr>
            <w:r w:rsidRPr="004A1892">
              <w:t>ECE/TRANS/WP.15/</w:t>
            </w:r>
            <w:r w:rsidR="00F43599" w:rsidRPr="004A1892">
              <w:t>23</w:t>
            </w:r>
            <w:r w:rsidR="00837B14" w:rsidRPr="004A1892">
              <w:t>6</w:t>
            </w:r>
            <w:r w:rsidR="00796533" w:rsidRPr="004A1892">
              <w:t>/Add.1 (S</w:t>
            </w:r>
            <w:r w:rsidRPr="004A1892"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23372B" w:rsidRPr="004A1892" w:rsidRDefault="0023372B" w:rsidP="004143D3">
            <w:pPr>
              <w:spacing w:after="60"/>
            </w:pPr>
            <w:r w:rsidRPr="004A1892">
              <w:t>Annotations and list of documents</w:t>
            </w:r>
          </w:p>
        </w:tc>
      </w:tr>
    </w:tbl>
    <w:p w:rsidR="0023372B" w:rsidRPr="004A1892" w:rsidRDefault="0023372B" w:rsidP="0023372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4A1892">
        <w:rPr>
          <w:b/>
          <w:sz w:val="24"/>
        </w:rPr>
        <w:tab/>
      </w:r>
      <w:r w:rsidRPr="004A1892">
        <w:rPr>
          <w:b/>
          <w:sz w:val="24"/>
        </w:rPr>
        <w:tab/>
        <w:t>Background documents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3372B" w:rsidRPr="004A1892" w:rsidTr="002F1277">
        <w:trPr>
          <w:cantSplit/>
        </w:trPr>
        <w:tc>
          <w:tcPr>
            <w:tcW w:w="3402" w:type="dxa"/>
            <w:shd w:val="clear" w:color="auto" w:fill="auto"/>
          </w:tcPr>
          <w:p w:rsidR="0023372B" w:rsidRPr="004A1892" w:rsidRDefault="0023372B" w:rsidP="00796533">
            <w:pPr>
              <w:spacing w:after="60"/>
              <w:ind w:right="99"/>
              <w:rPr>
                <w:b/>
              </w:rPr>
            </w:pPr>
            <w:r w:rsidRPr="004A1892">
              <w:t>ECE/TRANS/WP.15/190/Add.1 (</w:t>
            </w:r>
            <w:r w:rsidR="00796533" w:rsidRPr="004A1892">
              <w:t>S</w:t>
            </w:r>
            <w:r w:rsidRPr="004A1892"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23372B" w:rsidRPr="004A1892" w:rsidRDefault="0023372B" w:rsidP="00B021B9">
            <w:pPr>
              <w:spacing w:after="60"/>
              <w:rPr>
                <w:b/>
              </w:rPr>
            </w:pPr>
            <w:r w:rsidRPr="004A1892">
              <w:t>Terms of Reference and Rules of Procedure of the Working Party</w:t>
            </w:r>
          </w:p>
        </w:tc>
      </w:tr>
      <w:tr w:rsidR="0023372B" w:rsidRPr="004A1892" w:rsidTr="002F1277">
        <w:trPr>
          <w:cantSplit/>
        </w:trPr>
        <w:tc>
          <w:tcPr>
            <w:tcW w:w="3402" w:type="dxa"/>
            <w:shd w:val="clear" w:color="auto" w:fill="auto"/>
          </w:tcPr>
          <w:p w:rsidR="0023372B" w:rsidRPr="004A1892" w:rsidRDefault="0023372B" w:rsidP="00F50BBA">
            <w:pPr>
              <w:spacing w:after="60"/>
              <w:ind w:right="99"/>
            </w:pPr>
            <w:r w:rsidRPr="004A1892">
              <w:t>ECE/TRANS/WP.15/</w:t>
            </w:r>
            <w:r w:rsidR="00F43599" w:rsidRPr="004A1892">
              <w:t>23</w:t>
            </w:r>
            <w:r w:rsidR="00F50BBA" w:rsidRPr="004A1892">
              <w:t>5</w:t>
            </w:r>
            <w:r w:rsidR="009D1EFF" w:rsidRPr="004A1892">
              <w:t xml:space="preserve"> (S</w:t>
            </w:r>
            <w:r w:rsidRPr="004A1892"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23372B" w:rsidRPr="004A1892" w:rsidRDefault="0023372B" w:rsidP="00311832">
            <w:pPr>
              <w:spacing w:after="60"/>
            </w:pPr>
            <w:r w:rsidRPr="004A1892">
              <w:t xml:space="preserve">Report of the Working Party on </w:t>
            </w:r>
            <w:r w:rsidR="00311832" w:rsidRPr="004A1892">
              <w:t xml:space="preserve">its </w:t>
            </w:r>
            <w:r w:rsidR="00F50BBA" w:rsidRPr="004A1892">
              <w:t>101st</w:t>
            </w:r>
            <w:r w:rsidRPr="004A1892">
              <w:t xml:space="preserve"> </w:t>
            </w:r>
            <w:r w:rsidR="00311832" w:rsidRPr="004A1892">
              <w:t xml:space="preserve">session </w:t>
            </w:r>
            <w:r w:rsidRPr="004A1892">
              <w:t xml:space="preserve">(Geneva, </w:t>
            </w:r>
            <w:r w:rsidR="00F50BBA" w:rsidRPr="004A1892">
              <w:t>8</w:t>
            </w:r>
            <w:r w:rsidR="00A773D2" w:rsidRPr="004A1892">
              <w:t xml:space="preserve"> to </w:t>
            </w:r>
            <w:r w:rsidR="00F43599" w:rsidRPr="004A1892">
              <w:t>1</w:t>
            </w:r>
            <w:r w:rsidR="002C53EE" w:rsidRPr="004A1892">
              <w:t>1</w:t>
            </w:r>
            <w:r w:rsidR="00A773D2" w:rsidRPr="004A1892">
              <w:t xml:space="preserve"> November 201</w:t>
            </w:r>
            <w:r w:rsidR="00F50BBA" w:rsidRPr="004A1892">
              <w:t>6</w:t>
            </w:r>
            <w:r w:rsidRPr="004A1892">
              <w:t>)</w:t>
            </w:r>
            <w:r w:rsidR="00F50BBA" w:rsidRPr="004A1892">
              <w:t xml:space="preserve"> </w:t>
            </w:r>
          </w:p>
        </w:tc>
      </w:tr>
      <w:tr w:rsidR="00B021B9" w:rsidRPr="004A1892" w:rsidTr="002F1277">
        <w:trPr>
          <w:cantSplit/>
        </w:trPr>
        <w:tc>
          <w:tcPr>
            <w:tcW w:w="3402" w:type="dxa"/>
            <w:shd w:val="clear" w:color="auto" w:fill="auto"/>
          </w:tcPr>
          <w:p w:rsidR="0023372B" w:rsidRPr="004A1892" w:rsidRDefault="00311832" w:rsidP="00F50BBA">
            <w:pPr>
              <w:spacing w:after="60"/>
              <w:ind w:right="99"/>
            </w:pPr>
            <w:r w:rsidRPr="004A1892">
              <w:t>ECE/TRANS</w:t>
            </w:r>
            <w:r w:rsidR="00F50BBA" w:rsidRPr="004A1892">
              <w:t>/257</w:t>
            </w:r>
          </w:p>
        </w:tc>
        <w:tc>
          <w:tcPr>
            <w:tcW w:w="3969" w:type="dxa"/>
            <w:shd w:val="clear" w:color="auto" w:fill="auto"/>
          </w:tcPr>
          <w:p w:rsidR="0023372B" w:rsidRPr="004A1892" w:rsidRDefault="0023372B" w:rsidP="00F50BBA">
            <w:pPr>
              <w:spacing w:after="60"/>
            </w:pPr>
            <w:r w:rsidRPr="004A1892">
              <w:t>ADR a</w:t>
            </w:r>
            <w:r w:rsidR="00480DEE" w:rsidRPr="004A1892">
              <w:t>pplicable as from 1 January 201</w:t>
            </w:r>
            <w:r w:rsidR="00F50BBA" w:rsidRPr="004A1892">
              <w:t>7</w:t>
            </w:r>
          </w:p>
        </w:tc>
      </w:tr>
    </w:tbl>
    <w:p w:rsidR="0006308D" w:rsidRPr="004A1892" w:rsidRDefault="00652F96" w:rsidP="00652F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lastRenderedPageBreak/>
        <w:tab/>
      </w:r>
      <w:r w:rsidR="00F43599" w:rsidRPr="004A1892">
        <w:rPr>
          <w:b/>
          <w:sz w:val="28"/>
        </w:rPr>
        <w:t>2.</w:t>
      </w:r>
      <w:r w:rsidR="00F43599" w:rsidRPr="004A1892">
        <w:rPr>
          <w:b/>
          <w:sz w:val="28"/>
        </w:rPr>
        <w:tab/>
      </w:r>
      <w:r w:rsidR="00837B14" w:rsidRPr="004A1892">
        <w:rPr>
          <w:b/>
          <w:sz w:val="28"/>
        </w:rPr>
        <w:t>Seventy-ninth session of the Inland Transport Committee</w:t>
      </w:r>
    </w:p>
    <w:p w:rsidR="00652F96" w:rsidRPr="004A1892" w:rsidRDefault="00652F96" w:rsidP="00652F96">
      <w:pPr>
        <w:pStyle w:val="SingleTxtG"/>
      </w:pPr>
      <w:r w:rsidRPr="004A1892">
        <w:tab/>
      </w:r>
      <w:r w:rsidR="0046405D" w:rsidRPr="004A1892">
        <w:t xml:space="preserve">A member of secretariat will inform the </w:t>
      </w:r>
      <w:r w:rsidR="00F31A80" w:rsidRPr="004A1892">
        <w:t xml:space="preserve">Working Party of the decisions of the Inland Transport </w:t>
      </w:r>
      <w:r w:rsidR="00F43599" w:rsidRPr="004A1892">
        <w:t>Committee at its seventy-</w:t>
      </w:r>
      <w:r w:rsidR="00F50BBA" w:rsidRPr="004A1892">
        <w:t>nin</w:t>
      </w:r>
      <w:r w:rsidR="00F31A80" w:rsidRPr="004A1892">
        <w:t xml:space="preserve">th session (Geneva, </w:t>
      </w:r>
      <w:r w:rsidR="00902EB4" w:rsidRPr="004A1892">
        <w:t>2</w:t>
      </w:r>
      <w:r w:rsidR="00F50BBA" w:rsidRPr="004A1892">
        <w:t>0</w:t>
      </w:r>
      <w:r w:rsidR="00902EB4" w:rsidRPr="004A1892">
        <w:t>-2</w:t>
      </w:r>
      <w:r w:rsidR="00F50BBA" w:rsidRPr="004A1892">
        <w:t>4</w:t>
      </w:r>
      <w:r w:rsidR="00902EB4" w:rsidRPr="004A1892">
        <w:t xml:space="preserve"> February 201</w:t>
      </w:r>
      <w:r w:rsidR="00F50BBA" w:rsidRPr="004A1892">
        <w:t>7</w:t>
      </w:r>
      <w:r w:rsidR="00F31A80" w:rsidRPr="004A1892">
        <w:t>) which require follow-up action by subsidiary bodies.</w:t>
      </w:r>
    </w:p>
    <w:p w:rsidR="0006308D" w:rsidRPr="004A1892" w:rsidRDefault="00652F96" w:rsidP="00652F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tab/>
      </w:r>
      <w:r w:rsidR="0006308D" w:rsidRPr="004A1892">
        <w:rPr>
          <w:b/>
          <w:sz w:val="28"/>
        </w:rPr>
        <w:t>3.</w:t>
      </w:r>
      <w:r w:rsidR="0006308D" w:rsidRPr="004A1892">
        <w:rPr>
          <w:b/>
          <w:sz w:val="28"/>
        </w:rPr>
        <w:tab/>
        <w:t>Status of the European Agreement concerning the International Carriage of Dangerous Goods b</w:t>
      </w:r>
      <w:r w:rsidR="006455F3" w:rsidRPr="004A1892">
        <w:rPr>
          <w:b/>
          <w:sz w:val="28"/>
        </w:rPr>
        <w:t>y Road (ADR) and related issues</w:t>
      </w:r>
    </w:p>
    <w:p w:rsidR="00FC79BA" w:rsidRPr="004A1892" w:rsidRDefault="007203E0" w:rsidP="00FC79BA">
      <w:pPr>
        <w:pStyle w:val="SingleTxtG"/>
        <w:ind w:firstLine="567"/>
      </w:pPr>
      <w:r w:rsidRPr="004A1892">
        <w:t>A member of the secretariat will inform t</w:t>
      </w:r>
      <w:r w:rsidR="00FC79BA" w:rsidRPr="004A1892">
        <w:t>he Working Party of the status of ADR, the Protocol of amendment of 1993, special agreements and notifications in accordance with Chapter 1.9.</w:t>
      </w:r>
    </w:p>
    <w:p w:rsidR="00FC79BA" w:rsidRPr="004A1892" w:rsidRDefault="00FC79BA" w:rsidP="00FC79BA">
      <w:pPr>
        <w:pStyle w:val="SingleTxtG"/>
        <w:ind w:firstLine="567"/>
      </w:pPr>
      <w:r w:rsidRPr="004A1892">
        <w:t xml:space="preserve">At the time of drafting this document, there were no </w:t>
      </w:r>
      <w:r w:rsidR="0046405D" w:rsidRPr="004A1892">
        <w:t>changes to the status of ADR (49</w:t>
      </w:r>
      <w:r w:rsidRPr="004A1892">
        <w:t> Contracting Parties) nor to that of the P</w:t>
      </w:r>
      <w:r w:rsidR="007203E0" w:rsidRPr="004A1892">
        <w:t>rotocol of amendment of 1993 (35</w:t>
      </w:r>
      <w:r w:rsidRPr="004A1892">
        <w:t xml:space="preserve"> Contracting States) since the last session.</w:t>
      </w:r>
    </w:p>
    <w:p w:rsidR="0006308D" w:rsidRPr="004A1892" w:rsidRDefault="00652F96" w:rsidP="00652F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tab/>
      </w:r>
      <w:r w:rsidR="006455F3" w:rsidRPr="004A1892">
        <w:rPr>
          <w:b/>
          <w:sz w:val="28"/>
        </w:rPr>
        <w:t>4.</w:t>
      </w:r>
      <w:r w:rsidR="006455F3" w:rsidRPr="004A1892">
        <w:rPr>
          <w:b/>
          <w:sz w:val="28"/>
        </w:rPr>
        <w:tab/>
      </w:r>
      <w:r w:rsidR="00837B14" w:rsidRPr="004A1892">
        <w:rPr>
          <w:b/>
          <w:sz w:val="28"/>
        </w:rPr>
        <w:t xml:space="preserve">Work of the RID/ADR/ADN Joint Meeting 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7461EA" w:rsidRPr="004A1892" w:rsidTr="0048553F">
        <w:trPr>
          <w:cantSplit/>
        </w:trPr>
        <w:tc>
          <w:tcPr>
            <w:tcW w:w="3402" w:type="dxa"/>
            <w:shd w:val="clear" w:color="auto" w:fill="auto"/>
          </w:tcPr>
          <w:p w:rsidR="007461EA" w:rsidRPr="004A1892" w:rsidRDefault="007461EA" w:rsidP="007461EA">
            <w:pPr>
              <w:spacing w:after="60"/>
              <w:ind w:right="99"/>
            </w:pPr>
            <w:r w:rsidRPr="007461EA">
              <w:t>ECE/TRANS/WP.15/AC.1/144</w:t>
            </w:r>
            <w:r w:rsidRPr="004A1892">
              <w:t xml:space="preserve"> (</w:t>
            </w:r>
            <w:r>
              <w:t>Secretariat</w:t>
            </w:r>
            <w:r w:rsidRPr="004A1892">
              <w:t>)</w:t>
            </w:r>
          </w:p>
        </w:tc>
        <w:tc>
          <w:tcPr>
            <w:tcW w:w="3969" w:type="dxa"/>
            <w:shd w:val="clear" w:color="auto" w:fill="auto"/>
          </w:tcPr>
          <w:p w:rsidR="007461EA" w:rsidRPr="004A1892" w:rsidRDefault="007461EA" w:rsidP="007461EA">
            <w:pPr>
              <w:spacing w:after="60"/>
              <w:ind w:right="99"/>
            </w:pPr>
            <w:r w:rsidRPr="007461EA">
              <w:t>Report of the Joint Meeting on its autumn 2016 sessio</w:t>
            </w:r>
            <w:r>
              <w:t>n</w:t>
            </w:r>
          </w:p>
        </w:tc>
      </w:tr>
    </w:tbl>
    <w:p w:rsidR="0006308D" w:rsidRPr="004A1892" w:rsidRDefault="00652F96" w:rsidP="007461EA">
      <w:pPr>
        <w:pStyle w:val="HChG"/>
        <w:ind w:left="0" w:firstLine="0"/>
      </w:pPr>
      <w:r w:rsidRPr="004A1892">
        <w:tab/>
      </w:r>
      <w:r w:rsidR="00837B14" w:rsidRPr="004A1892">
        <w:t>5</w:t>
      </w:r>
      <w:r w:rsidR="0006308D" w:rsidRPr="004A1892">
        <w:t>.</w:t>
      </w:r>
      <w:r w:rsidR="0006308D" w:rsidRPr="004A1892">
        <w:tab/>
        <w:t xml:space="preserve">Proposals for amendments </w:t>
      </w:r>
      <w:r w:rsidR="00F1573A" w:rsidRPr="004A1892">
        <w:t xml:space="preserve">to </w:t>
      </w:r>
      <w:r w:rsidR="00796533" w:rsidRPr="004A1892">
        <w:t>a</w:t>
      </w:r>
      <w:r w:rsidR="00F1573A" w:rsidRPr="004A1892">
        <w:t>nnexes A and B of ADR</w:t>
      </w:r>
    </w:p>
    <w:p w:rsidR="0006308D" w:rsidRPr="004A1892" w:rsidRDefault="00652F96" w:rsidP="00652F96">
      <w:pPr>
        <w:pStyle w:val="H1G"/>
      </w:pPr>
      <w:r w:rsidRPr="004A1892">
        <w:tab/>
      </w:r>
      <w:r w:rsidR="0006308D" w:rsidRPr="004A1892">
        <w:t>(a)</w:t>
      </w:r>
      <w:r w:rsidR="0006308D" w:rsidRPr="004A1892">
        <w:tab/>
        <w:t>Constr</w:t>
      </w:r>
      <w:r w:rsidR="006455F3" w:rsidRPr="004A1892">
        <w:t>uction and approval of vehicles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F50BBA" w:rsidRPr="004A1892" w:rsidTr="00F50BBA">
        <w:trPr>
          <w:cantSplit/>
        </w:trPr>
        <w:tc>
          <w:tcPr>
            <w:tcW w:w="3402" w:type="dxa"/>
            <w:shd w:val="clear" w:color="auto" w:fill="auto"/>
          </w:tcPr>
          <w:p w:rsidR="00F50BBA" w:rsidRPr="004A1892" w:rsidRDefault="008749F0" w:rsidP="008749F0">
            <w:pPr>
              <w:spacing w:after="60"/>
              <w:ind w:right="99"/>
            </w:pPr>
            <w:r w:rsidRPr="004A1892">
              <w:t>ECE/TRANS/WP.15/2017/6 (France)</w:t>
            </w:r>
          </w:p>
        </w:tc>
        <w:tc>
          <w:tcPr>
            <w:tcW w:w="3969" w:type="dxa"/>
            <w:shd w:val="clear" w:color="auto" w:fill="auto"/>
          </w:tcPr>
          <w:p w:rsidR="00F50BBA" w:rsidRPr="004A1892" w:rsidRDefault="004A1892" w:rsidP="004A1892">
            <w:pPr>
              <w:spacing w:after="60"/>
              <w:ind w:right="99"/>
            </w:pPr>
            <w:r w:rsidRPr="004A1892">
              <w:t>Electrical equipment - A</w:t>
            </w:r>
            <w:r w:rsidR="008749F0" w:rsidRPr="004A1892">
              <w:t xml:space="preserve">pplication </w:t>
            </w:r>
            <w:r w:rsidRPr="004A1892">
              <w:t>of</w:t>
            </w:r>
            <w:r w:rsidR="008749F0" w:rsidRPr="004A1892">
              <w:t xml:space="preserve"> 9.2.2.9.1</w:t>
            </w:r>
          </w:p>
        </w:tc>
      </w:tr>
      <w:tr w:rsidR="00EC4289" w:rsidRPr="004A1892" w:rsidTr="00F50BBA">
        <w:trPr>
          <w:cantSplit/>
        </w:trPr>
        <w:tc>
          <w:tcPr>
            <w:tcW w:w="3402" w:type="dxa"/>
            <w:shd w:val="clear" w:color="auto" w:fill="auto"/>
          </w:tcPr>
          <w:p w:rsidR="00EC4289" w:rsidRPr="004A1892" w:rsidRDefault="00EC4289" w:rsidP="00F25A1C">
            <w:pPr>
              <w:spacing w:after="60"/>
              <w:ind w:right="99"/>
            </w:pPr>
            <w:r w:rsidRPr="004A1892">
              <w:t>ECE/TRANS/WP.15/2017/7 (</w:t>
            </w:r>
            <w:r w:rsidR="00D86DA9" w:rsidRPr="004A1892">
              <w:t>Norway</w:t>
            </w:r>
            <w:r w:rsidRPr="004A1892">
              <w:t>)</w:t>
            </w:r>
          </w:p>
        </w:tc>
        <w:tc>
          <w:tcPr>
            <w:tcW w:w="3969" w:type="dxa"/>
            <w:shd w:val="clear" w:color="auto" w:fill="auto"/>
          </w:tcPr>
          <w:p w:rsidR="00EC4289" w:rsidRPr="004A1892" w:rsidRDefault="00EC4289" w:rsidP="00F50BBA">
            <w:pPr>
              <w:spacing w:after="60"/>
              <w:ind w:right="99"/>
            </w:pPr>
            <w:r w:rsidRPr="004A1892">
              <w:t>Amendments to ADR 9.7.3 concerning fastening requirements</w:t>
            </w:r>
          </w:p>
        </w:tc>
      </w:tr>
    </w:tbl>
    <w:p w:rsidR="0006308D" w:rsidRPr="004A1892" w:rsidRDefault="00652F96" w:rsidP="00652F96">
      <w:pPr>
        <w:pStyle w:val="H1G"/>
      </w:pPr>
      <w:r w:rsidRPr="004A1892">
        <w:tab/>
      </w:r>
      <w:r w:rsidR="006455F3" w:rsidRPr="004A1892">
        <w:t>(b)</w:t>
      </w:r>
      <w:r w:rsidR="006455F3" w:rsidRPr="004A1892">
        <w:tab/>
        <w:t>Miscellaneous proposals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355294" w:rsidRPr="004A1892" w:rsidTr="002F1277">
        <w:trPr>
          <w:cantSplit/>
        </w:trPr>
        <w:tc>
          <w:tcPr>
            <w:tcW w:w="3402" w:type="dxa"/>
            <w:shd w:val="clear" w:color="auto" w:fill="auto"/>
          </w:tcPr>
          <w:p w:rsidR="00355294" w:rsidRPr="004A1892" w:rsidRDefault="00F50BBA" w:rsidP="00017050">
            <w:pPr>
              <w:spacing w:after="60"/>
              <w:ind w:right="99"/>
            </w:pPr>
            <w:r w:rsidRPr="004A1892">
              <w:t>ECE/TRANS/WP.15/2017/2 (</w:t>
            </w:r>
            <w:r w:rsidR="00017050" w:rsidRPr="004A1892">
              <w:t>Switzerland</w:t>
            </w:r>
            <w:r w:rsidRPr="004A1892">
              <w:t>)</w:t>
            </w:r>
          </w:p>
        </w:tc>
        <w:tc>
          <w:tcPr>
            <w:tcW w:w="3969" w:type="dxa"/>
            <w:shd w:val="clear" w:color="auto" w:fill="auto"/>
          </w:tcPr>
          <w:p w:rsidR="00355294" w:rsidRPr="004A1892" w:rsidRDefault="004A1892" w:rsidP="00370F48">
            <w:pPr>
              <w:spacing w:after="60"/>
              <w:ind w:right="99"/>
            </w:pPr>
            <w:r w:rsidRPr="004A1892">
              <w:t>Orange-coloured plate marking in a transport chain including maritime or air carriage</w:t>
            </w:r>
          </w:p>
        </w:tc>
      </w:tr>
      <w:tr w:rsidR="00D5323A" w:rsidRPr="004A1892" w:rsidTr="002F1277">
        <w:trPr>
          <w:cantSplit/>
        </w:trPr>
        <w:tc>
          <w:tcPr>
            <w:tcW w:w="3402" w:type="dxa"/>
            <w:shd w:val="clear" w:color="auto" w:fill="auto"/>
          </w:tcPr>
          <w:p w:rsidR="00D5323A" w:rsidRPr="004A1892" w:rsidRDefault="00F50BBA" w:rsidP="00B055C6">
            <w:pPr>
              <w:spacing w:after="60"/>
              <w:ind w:right="99"/>
            </w:pPr>
            <w:r w:rsidRPr="004A1892">
              <w:t>ECE/TRANS/WP.15/2017/3 (</w:t>
            </w:r>
            <w:r w:rsidR="00017050" w:rsidRPr="004A1892">
              <w:t>Switzerland</w:t>
            </w:r>
            <w:r w:rsidRPr="004A1892">
              <w:t>)</w:t>
            </w:r>
          </w:p>
        </w:tc>
        <w:tc>
          <w:tcPr>
            <w:tcW w:w="3969" w:type="dxa"/>
            <w:shd w:val="clear" w:color="auto" w:fill="auto"/>
          </w:tcPr>
          <w:p w:rsidR="00D5323A" w:rsidRPr="004A1892" w:rsidRDefault="004A1892" w:rsidP="00FC345F">
            <w:pPr>
              <w:spacing w:after="60"/>
              <w:ind w:right="99"/>
            </w:pPr>
            <w:r>
              <w:t xml:space="preserve">Application of tunnel restrictions </w:t>
            </w:r>
            <w:r w:rsidR="00FC345F">
              <w:t>for</w:t>
            </w:r>
            <w:r>
              <w:t xml:space="preserve"> engine and machinery entries of UN Nos. </w:t>
            </w:r>
            <w:r w:rsidR="00F50BBA" w:rsidRPr="004A1892">
              <w:t xml:space="preserve">3528, 3529 </w:t>
            </w:r>
            <w:r>
              <w:t>and</w:t>
            </w:r>
            <w:r w:rsidR="00F50BBA" w:rsidRPr="004A1892">
              <w:t xml:space="preserve"> 3530</w:t>
            </w:r>
          </w:p>
        </w:tc>
      </w:tr>
      <w:tr w:rsidR="00106CC1" w:rsidRPr="004A1892" w:rsidTr="002F1277">
        <w:trPr>
          <w:cantSplit/>
        </w:trPr>
        <w:tc>
          <w:tcPr>
            <w:tcW w:w="3402" w:type="dxa"/>
            <w:shd w:val="clear" w:color="auto" w:fill="auto"/>
          </w:tcPr>
          <w:p w:rsidR="009129F1" w:rsidRPr="004A1892" w:rsidRDefault="004024DE" w:rsidP="00B055C6">
            <w:pPr>
              <w:spacing w:after="60"/>
              <w:ind w:right="99"/>
            </w:pPr>
            <w:r w:rsidRPr="004A1892">
              <w:t>ECE/TRANS/WP.15/2017/4 (</w:t>
            </w:r>
            <w:r w:rsidR="00017050" w:rsidRPr="004A1892">
              <w:t>Switzerland</w:t>
            </w:r>
            <w:r w:rsidRPr="004A1892">
              <w:t>)</w:t>
            </w:r>
          </w:p>
        </w:tc>
        <w:tc>
          <w:tcPr>
            <w:tcW w:w="3969" w:type="dxa"/>
            <w:shd w:val="clear" w:color="auto" w:fill="auto"/>
          </w:tcPr>
          <w:p w:rsidR="00974F51" w:rsidRPr="004A1892" w:rsidRDefault="004024DE" w:rsidP="004A1892">
            <w:pPr>
              <w:spacing w:after="60"/>
              <w:ind w:right="99"/>
            </w:pPr>
            <w:r w:rsidRPr="004A1892">
              <w:t xml:space="preserve">Application </w:t>
            </w:r>
            <w:r w:rsidR="004A1892">
              <w:t xml:space="preserve">of UN Nos. </w:t>
            </w:r>
            <w:r w:rsidRPr="004A1892">
              <w:t xml:space="preserve">3166 </w:t>
            </w:r>
            <w:r w:rsidR="004A1892">
              <w:t>and</w:t>
            </w:r>
            <w:r w:rsidRPr="004A1892">
              <w:t xml:space="preserve"> 3171 </w:t>
            </w:r>
            <w:r w:rsidR="004A1892">
              <w:t>to vehicles carried as a load and fuel quantity limits for gas-liquid hybrid vehicles carried on trailers</w:t>
            </w:r>
          </w:p>
        </w:tc>
      </w:tr>
      <w:tr w:rsidR="00106CC1" w:rsidRPr="004A1892" w:rsidTr="002F1277">
        <w:trPr>
          <w:cantSplit/>
        </w:trPr>
        <w:tc>
          <w:tcPr>
            <w:tcW w:w="3402" w:type="dxa"/>
            <w:shd w:val="clear" w:color="auto" w:fill="auto"/>
          </w:tcPr>
          <w:p w:rsidR="000918F2" w:rsidRPr="004A1892" w:rsidRDefault="00D12351" w:rsidP="00D12351">
            <w:pPr>
              <w:spacing w:after="60"/>
              <w:ind w:right="99"/>
            </w:pPr>
            <w:r w:rsidRPr="004A1892">
              <w:t>ECE/TRANS/WP.15/2017/5 (IRU)</w:t>
            </w:r>
          </w:p>
        </w:tc>
        <w:tc>
          <w:tcPr>
            <w:tcW w:w="3969" w:type="dxa"/>
            <w:shd w:val="clear" w:color="auto" w:fill="auto"/>
          </w:tcPr>
          <w:p w:rsidR="000918F2" w:rsidRPr="004A1892" w:rsidRDefault="00D12351" w:rsidP="00974F51">
            <w:pPr>
              <w:spacing w:after="60"/>
              <w:ind w:right="99"/>
            </w:pPr>
            <w:bookmarkStart w:id="1" w:name="OLE_LINK3"/>
            <w:bookmarkStart w:id="2" w:name="OLE_LINK4"/>
            <w:r w:rsidRPr="004A1892">
              <w:t>5.4.1.1.1 (f) and carriage in accordance with 1.1.3.6</w:t>
            </w:r>
            <w:bookmarkEnd w:id="1"/>
            <w:bookmarkEnd w:id="2"/>
          </w:p>
        </w:tc>
      </w:tr>
      <w:tr w:rsidR="00B3124A" w:rsidRPr="004A1892" w:rsidTr="00257E24">
        <w:trPr>
          <w:cantSplit/>
        </w:trPr>
        <w:tc>
          <w:tcPr>
            <w:tcW w:w="3402" w:type="dxa"/>
            <w:shd w:val="clear" w:color="auto" w:fill="auto"/>
          </w:tcPr>
          <w:p w:rsidR="00B3124A" w:rsidRPr="004A1892" w:rsidRDefault="00EC4289" w:rsidP="00017050">
            <w:pPr>
              <w:spacing w:after="60"/>
              <w:ind w:right="99"/>
            </w:pPr>
            <w:r w:rsidRPr="004A1892">
              <w:t>ECE/TRANS/WP.15/2017/8 (</w:t>
            </w:r>
            <w:r w:rsidR="00017050" w:rsidRPr="004A1892">
              <w:t>Spain</w:t>
            </w:r>
            <w:r w:rsidRPr="004A1892">
              <w:t>)</w:t>
            </w:r>
          </w:p>
        </w:tc>
        <w:tc>
          <w:tcPr>
            <w:tcW w:w="3969" w:type="dxa"/>
            <w:shd w:val="clear" w:color="auto" w:fill="auto"/>
          </w:tcPr>
          <w:p w:rsidR="00B3124A" w:rsidRPr="004A1892" w:rsidRDefault="00EC4289" w:rsidP="00257E24">
            <w:pPr>
              <w:spacing w:after="60"/>
              <w:ind w:right="99"/>
            </w:pPr>
            <w:r w:rsidRPr="004A1892">
              <w:t>Increase of amount of explosives per transport unit</w:t>
            </w:r>
          </w:p>
        </w:tc>
      </w:tr>
      <w:tr w:rsidR="00B3124A" w:rsidRPr="004A1892" w:rsidTr="00257E24">
        <w:trPr>
          <w:cantSplit/>
        </w:trPr>
        <w:tc>
          <w:tcPr>
            <w:tcW w:w="3402" w:type="dxa"/>
            <w:shd w:val="clear" w:color="auto" w:fill="auto"/>
          </w:tcPr>
          <w:p w:rsidR="00B3124A" w:rsidRPr="004A1892" w:rsidRDefault="00E42B89" w:rsidP="00E42B89">
            <w:pPr>
              <w:spacing w:after="60"/>
              <w:ind w:right="99"/>
            </w:pPr>
            <w:r w:rsidRPr="004A1892">
              <w:lastRenderedPageBreak/>
              <w:t>ECE/TRANS/WP.15/2017/9 (</w:t>
            </w:r>
            <w:r w:rsidR="00017050" w:rsidRPr="004A1892">
              <w:t>Switzerland</w:t>
            </w:r>
            <w:r w:rsidRPr="004A1892">
              <w:t>)</w:t>
            </w:r>
          </w:p>
        </w:tc>
        <w:tc>
          <w:tcPr>
            <w:tcW w:w="3969" w:type="dxa"/>
            <w:shd w:val="clear" w:color="auto" w:fill="auto"/>
          </w:tcPr>
          <w:p w:rsidR="00B3124A" w:rsidRPr="004A1892" w:rsidRDefault="004A1892" w:rsidP="00AD65C7">
            <w:pPr>
              <w:spacing w:after="60"/>
              <w:ind w:right="99"/>
            </w:pPr>
            <w:r>
              <w:t xml:space="preserve">Proposal of definition of private individuals </w:t>
            </w:r>
            <w:r w:rsidR="00AD65C7">
              <w:t xml:space="preserve">according to </w:t>
            </w:r>
            <w:r w:rsidR="00E42B89" w:rsidRPr="004A1892">
              <w:t xml:space="preserve">1.1.3.1 </w:t>
            </w:r>
            <w:r>
              <w:t>(</w:t>
            </w:r>
            <w:r w:rsidR="00E42B89" w:rsidRPr="004A1892">
              <w:t>a)</w:t>
            </w:r>
          </w:p>
        </w:tc>
      </w:tr>
      <w:tr w:rsidR="00F26EDF" w:rsidRPr="004A1892" w:rsidTr="00257E24">
        <w:trPr>
          <w:cantSplit/>
        </w:trPr>
        <w:tc>
          <w:tcPr>
            <w:tcW w:w="3402" w:type="dxa"/>
            <w:shd w:val="clear" w:color="auto" w:fill="auto"/>
          </w:tcPr>
          <w:p w:rsidR="00F26EDF" w:rsidRPr="004A1892" w:rsidRDefault="00F26EDF" w:rsidP="00F26EDF">
            <w:pPr>
              <w:spacing w:after="60"/>
              <w:ind w:right="99"/>
            </w:pPr>
            <w:r>
              <w:t>ECE/TRANS/WP.15/2017/10</w:t>
            </w:r>
            <w:r w:rsidRPr="004A1892">
              <w:t xml:space="preserve"> (</w:t>
            </w:r>
            <w:r>
              <w:t>Austria</w:t>
            </w:r>
            <w:r w:rsidRPr="004A1892">
              <w:t>)</w:t>
            </w:r>
          </w:p>
        </w:tc>
        <w:tc>
          <w:tcPr>
            <w:tcW w:w="3969" w:type="dxa"/>
            <w:shd w:val="clear" w:color="auto" w:fill="auto"/>
          </w:tcPr>
          <w:p w:rsidR="00F26EDF" w:rsidRDefault="00F26EDF" w:rsidP="00AD65C7">
            <w:pPr>
              <w:spacing w:after="60"/>
              <w:ind w:right="99"/>
            </w:pPr>
            <w:r w:rsidRPr="004B6857">
              <w:t xml:space="preserve">Proposal of corrections to 5.3.2.1.4 and </w:t>
            </w:r>
            <w:r>
              <w:t>5.3.2.1.6</w:t>
            </w:r>
          </w:p>
        </w:tc>
      </w:tr>
    </w:tbl>
    <w:p w:rsidR="00837B14" w:rsidRPr="004A1892" w:rsidRDefault="00837B14" w:rsidP="00837B1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tab/>
        <w:t>6.</w:t>
      </w:r>
      <w:r w:rsidRPr="004A1892">
        <w:rPr>
          <w:b/>
          <w:sz w:val="28"/>
        </w:rPr>
        <w:tab/>
        <w:t>Interpretation of ADR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F50BBA" w:rsidRPr="004A1892" w:rsidTr="00F50BBA">
        <w:trPr>
          <w:cantSplit/>
        </w:trPr>
        <w:tc>
          <w:tcPr>
            <w:tcW w:w="3402" w:type="dxa"/>
            <w:shd w:val="clear" w:color="auto" w:fill="auto"/>
          </w:tcPr>
          <w:p w:rsidR="00F50BBA" w:rsidRPr="004A1892" w:rsidRDefault="00F50BBA" w:rsidP="00F50BBA">
            <w:pPr>
              <w:spacing w:after="60"/>
              <w:ind w:right="99"/>
              <w:rPr>
                <w:b/>
              </w:rPr>
            </w:pPr>
            <w:r w:rsidRPr="004A1892">
              <w:t>ECE/TRANS/WP.15/2017/1 (Poland)</w:t>
            </w:r>
          </w:p>
        </w:tc>
        <w:tc>
          <w:tcPr>
            <w:tcW w:w="3969" w:type="dxa"/>
            <w:shd w:val="clear" w:color="auto" w:fill="auto"/>
          </w:tcPr>
          <w:p w:rsidR="00F50BBA" w:rsidRPr="004A1892" w:rsidRDefault="00F50BBA" w:rsidP="005B438A">
            <w:pPr>
              <w:spacing w:after="60"/>
              <w:rPr>
                <w:b/>
              </w:rPr>
            </w:pPr>
            <w:r w:rsidRPr="004A1892">
              <w:t>Interpretation of the scope of information contained in Chapter 5.4 of ADR</w:t>
            </w:r>
          </w:p>
        </w:tc>
      </w:tr>
    </w:tbl>
    <w:p w:rsidR="0006308D" w:rsidRPr="004A1892" w:rsidRDefault="00652F96" w:rsidP="00652F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tab/>
      </w:r>
      <w:r w:rsidR="0042259E">
        <w:rPr>
          <w:b/>
          <w:sz w:val="28"/>
        </w:rPr>
        <w:t>7.</w:t>
      </w:r>
      <w:r w:rsidR="0042259E">
        <w:rPr>
          <w:b/>
          <w:sz w:val="28"/>
        </w:rPr>
        <w:tab/>
        <w:t>Programme of work</w:t>
      </w:r>
    </w:p>
    <w:p w:rsidR="00CA5941" w:rsidRPr="004A1892" w:rsidRDefault="00CA5941" w:rsidP="00CA5941">
      <w:pPr>
        <w:pStyle w:val="SingleTxtG"/>
      </w:pPr>
      <w:r w:rsidRPr="004A1892">
        <w:tab/>
        <w:t>No document has been submitted under this agenda item.</w:t>
      </w:r>
    </w:p>
    <w:p w:rsidR="0006308D" w:rsidRPr="004A1892" w:rsidRDefault="00652F96" w:rsidP="00652F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tab/>
      </w:r>
      <w:r w:rsidR="006455F3" w:rsidRPr="004A1892">
        <w:rPr>
          <w:b/>
          <w:sz w:val="28"/>
        </w:rPr>
        <w:t>8.</w:t>
      </w:r>
      <w:r w:rsidR="006455F3" w:rsidRPr="004A1892">
        <w:rPr>
          <w:b/>
          <w:sz w:val="28"/>
        </w:rPr>
        <w:tab/>
        <w:t>Any other business</w:t>
      </w:r>
    </w:p>
    <w:p w:rsidR="00652F96" w:rsidRPr="004A1892" w:rsidRDefault="00652F96" w:rsidP="00652F96">
      <w:pPr>
        <w:pStyle w:val="SingleTxtG"/>
      </w:pPr>
      <w:r w:rsidRPr="004A1892">
        <w:tab/>
        <w:t>No document has been submitted under this agenda item.</w:t>
      </w:r>
    </w:p>
    <w:p w:rsidR="0006308D" w:rsidRPr="004A1892" w:rsidRDefault="00652F96" w:rsidP="00652F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A1892">
        <w:rPr>
          <w:b/>
          <w:sz w:val="28"/>
        </w:rPr>
        <w:tab/>
      </w:r>
      <w:r w:rsidR="006455F3" w:rsidRPr="004A1892">
        <w:rPr>
          <w:b/>
          <w:sz w:val="28"/>
        </w:rPr>
        <w:t>9.</w:t>
      </w:r>
      <w:r w:rsidR="006455F3" w:rsidRPr="004A1892">
        <w:rPr>
          <w:b/>
          <w:sz w:val="28"/>
        </w:rPr>
        <w:tab/>
        <w:t>Adoption of the report</w:t>
      </w:r>
    </w:p>
    <w:p w:rsidR="00A6129C" w:rsidRPr="004A1892" w:rsidRDefault="00652F96" w:rsidP="00652F96">
      <w:pPr>
        <w:spacing w:before="240"/>
        <w:ind w:left="1134" w:right="1134"/>
        <w:jc w:val="center"/>
        <w:rPr>
          <w:b/>
          <w:u w:val="single"/>
        </w:rPr>
      </w:pPr>
      <w:r w:rsidRPr="004A1892">
        <w:rPr>
          <w:b/>
          <w:u w:val="single"/>
        </w:rPr>
        <w:tab/>
      </w:r>
      <w:r w:rsidRPr="004A1892">
        <w:rPr>
          <w:b/>
          <w:u w:val="single"/>
        </w:rPr>
        <w:tab/>
      </w:r>
      <w:r w:rsidRPr="004A1892">
        <w:rPr>
          <w:b/>
          <w:u w:val="single"/>
        </w:rPr>
        <w:tab/>
      </w:r>
    </w:p>
    <w:sectPr w:rsidR="00A6129C" w:rsidRPr="004A1892" w:rsidSect="0023372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89" w:rsidRDefault="00EC4289"/>
  </w:endnote>
  <w:endnote w:type="continuationSeparator" w:id="0">
    <w:p w:rsidR="00EC4289" w:rsidRDefault="00EC4289"/>
  </w:endnote>
  <w:endnote w:type="continuationNotice" w:id="1">
    <w:p w:rsidR="00EC4289" w:rsidRDefault="00EC4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89" w:rsidRPr="0023372B" w:rsidRDefault="00EC4289" w:rsidP="0023372B">
    <w:pPr>
      <w:pStyle w:val="Footer"/>
      <w:tabs>
        <w:tab w:val="right" w:pos="9638"/>
      </w:tabs>
      <w:rPr>
        <w:sz w:val="18"/>
      </w:rPr>
    </w:pPr>
    <w:r w:rsidRPr="0023372B">
      <w:rPr>
        <w:b/>
        <w:sz w:val="18"/>
      </w:rPr>
      <w:fldChar w:fldCharType="begin"/>
    </w:r>
    <w:r w:rsidRPr="0023372B">
      <w:rPr>
        <w:b/>
        <w:sz w:val="18"/>
      </w:rPr>
      <w:instrText xml:space="preserve"> PAGE  \* MERGEFORMAT </w:instrText>
    </w:r>
    <w:r w:rsidRPr="0023372B">
      <w:rPr>
        <w:b/>
        <w:sz w:val="18"/>
      </w:rPr>
      <w:fldChar w:fldCharType="separate"/>
    </w:r>
    <w:r w:rsidR="00123348">
      <w:rPr>
        <w:b/>
        <w:noProof/>
        <w:sz w:val="18"/>
      </w:rPr>
      <w:t>2</w:t>
    </w:r>
    <w:r w:rsidRPr="0023372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89" w:rsidRPr="0023372B" w:rsidRDefault="00EC4289" w:rsidP="0023372B">
    <w:pPr>
      <w:pStyle w:val="Footer"/>
      <w:tabs>
        <w:tab w:val="right" w:pos="9638"/>
      </w:tabs>
      <w:rPr>
        <w:b/>
        <w:sz w:val="18"/>
      </w:rPr>
    </w:pPr>
    <w:r>
      <w:tab/>
    </w:r>
    <w:r w:rsidRPr="0023372B">
      <w:rPr>
        <w:b/>
        <w:sz w:val="18"/>
      </w:rPr>
      <w:fldChar w:fldCharType="begin"/>
    </w:r>
    <w:r w:rsidRPr="0023372B">
      <w:rPr>
        <w:b/>
        <w:sz w:val="18"/>
      </w:rPr>
      <w:instrText xml:space="preserve"> PAGE  \* MERGEFORMAT </w:instrText>
    </w:r>
    <w:r w:rsidRPr="0023372B">
      <w:rPr>
        <w:b/>
        <w:sz w:val="18"/>
      </w:rPr>
      <w:fldChar w:fldCharType="separate"/>
    </w:r>
    <w:r w:rsidR="00123348">
      <w:rPr>
        <w:b/>
        <w:noProof/>
        <w:sz w:val="18"/>
      </w:rPr>
      <w:t>3</w:t>
    </w:r>
    <w:r w:rsidRPr="0023372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89" w:rsidRPr="000B175B" w:rsidRDefault="00EC42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4289" w:rsidRPr="00FC68B7" w:rsidRDefault="00EC42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C4289" w:rsidRDefault="00EC42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89" w:rsidRPr="0023372B" w:rsidRDefault="00EC4289">
    <w:pPr>
      <w:pStyle w:val="Header"/>
    </w:pPr>
    <w:r>
      <w:t>ECE/TRANS/WP.15/236/Add.1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89" w:rsidRPr="0023372B" w:rsidRDefault="00EC4289" w:rsidP="0023372B">
    <w:pPr>
      <w:pStyle w:val="Header"/>
      <w:jc w:val="right"/>
    </w:pPr>
    <w:r>
      <w:t>ECE/TRANS/WP.15/236/Add.1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DD"/>
    <w:rsid w:val="00001CE0"/>
    <w:rsid w:val="00013C17"/>
    <w:rsid w:val="00017050"/>
    <w:rsid w:val="00020E14"/>
    <w:rsid w:val="00046B1F"/>
    <w:rsid w:val="00050F6B"/>
    <w:rsid w:val="00057E97"/>
    <w:rsid w:val="0006308D"/>
    <w:rsid w:val="000646F4"/>
    <w:rsid w:val="00072C8C"/>
    <w:rsid w:val="000733B5"/>
    <w:rsid w:val="00081815"/>
    <w:rsid w:val="000918F2"/>
    <w:rsid w:val="000918F5"/>
    <w:rsid w:val="000931C0"/>
    <w:rsid w:val="000B0595"/>
    <w:rsid w:val="000B175B"/>
    <w:rsid w:val="000B1B6B"/>
    <w:rsid w:val="000B3A0F"/>
    <w:rsid w:val="000B4EF7"/>
    <w:rsid w:val="000C2C03"/>
    <w:rsid w:val="000C2D2E"/>
    <w:rsid w:val="000D4179"/>
    <w:rsid w:val="000E0415"/>
    <w:rsid w:val="000F392B"/>
    <w:rsid w:val="00104045"/>
    <w:rsid w:val="00106CC1"/>
    <w:rsid w:val="001103AA"/>
    <w:rsid w:val="0011666B"/>
    <w:rsid w:val="00123348"/>
    <w:rsid w:val="00136EBF"/>
    <w:rsid w:val="00165F3A"/>
    <w:rsid w:val="0017638C"/>
    <w:rsid w:val="001B394E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3372B"/>
    <w:rsid w:val="00237E67"/>
    <w:rsid w:val="0024772E"/>
    <w:rsid w:val="00257E24"/>
    <w:rsid w:val="00267F5F"/>
    <w:rsid w:val="002816DD"/>
    <w:rsid w:val="00286B4D"/>
    <w:rsid w:val="0029271D"/>
    <w:rsid w:val="002C53EE"/>
    <w:rsid w:val="002D1EC4"/>
    <w:rsid w:val="002D4643"/>
    <w:rsid w:val="002F1277"/>
    <w:rsid w:val="002F175C"/>
    <w:rsid w:val="00302E18"/>
    <w:rsid w:val="003040D6"/>
    <w:rsid w:val="00311832"/>
    <w:rsid w:val="003222FC"/>
    <w:rsid w:val="003229D8"/>
    <w:rsid w:val="00352709"/>
    <w:rsid w:val="00355294"/>
    <w:rsid w:val="003619B5"/>
    <w:rsid w:val="00365763"/>
    <w:rsid w:val="00370F48"/>
    <w:rsid w:val="00371178"/>
    <w:rsid w:val="00392E47"/>
    <w:rsid w:val="003A6810"/>
    <w:rsid w:val="003C2CC4"/>
    <w:rsid w:val="003D1847"/>
    <w:rsid w:val="003D4B23"/>
    <w:rsid w:val="003E130E"/>
    <w:rsid w:val="00402358"/>
    <w:rsid w:val="004024DE"/>
    <w:rsid w:val="00410C89"/>
    <w:rsid w:val="004143D3"/>
    <w:rsid w:val="0042259E"/>
    <w:rsid w:val="00422E03"/>
    <w:rsid w:val="00426B9B"/>
    <w:rsid w:val="004325CB"/>
    <w:rsid w:val="00442A83"/>
    <w:rsid w:val="0045495B"/>
    <w:rsid w:val="004561E5"/>
    <w:rsid w:val="00456574"/>
    <w:rsid w:val="0046405D"/>
    <w:rsid w:val="00480DEE"/>
    <w:rsid w:val="0048397A"/>
    <w:rsid w:val="00485CBB"/>
    <w:rsid w:val="004866B7"/>
    <w:rsid w:val="0049025F"/>
    <w:rsid w:val="004A1892"/>
    <w:rsid w:val="004A5571"/>
    <w:rsid w:val="004A5A29"/>
    <w:rsid w:val="004C2461"/>
    <w:rsid w:val="004C7462"/>
    <w:rsid w:val="004E77B2"/>
    <w:rsid w:val="004F2AC8"/>
    <w:rsid w:val="004F6C6B"/>
    <w:rsid w:val="00504B2D"/>
    <w:rsid w:val="005164A1"/>
    <w:rsid w:val="0052136D"/>
    <w:rsid w:val="00523CD0"/>
    <w:rsid w:val="0052775E"/>
    <w:rsid w:val="005420F2"/>
    <w:rsid w:val="005628B6"/>
    <w:rsid w:val="005941EC"/>
    <w:rsid w:val="005947BB"/>
    <w:rsid w:val="005950E6"/>
    <w:rsid w:val="005951EE"/>
    <w:rsid w:val="00596705"/>
    <w:rsid w:val="0059724D"/>
    <w:rsid w:val="005B1256"/>
    <w:rsid w:val="005B3DB3"/>
    <w:rsid w:val="005B438A"/>
    <w:rsid w:val="005B4E13"/>
    <w:rsid w:val="005C342F"/>
    <w:rsid w:val="005F0F21"/>
    <w:rsid w:val="005F7B75"/>
    <w:rsid w:val="006001EE"/>
    <w:rsid w:val="00605042"/>
    <w:rsid w:val="00611FC4"/>
    <w:rsid w:val="006176FB"/>
    <w:rsid w:val="00640B26"/>
    <w:rsid w:val="006455F3"/>
    <w:rsid w:val="00652D0A"/>
    <w:rsid w:val="00652F96"/>
    <w:rsid w:val="00662B1C"/>
    <w:rsid w:val="00662BB6"/>
    <w:rsid w:val="00676606"/>
    <w:rsid w:val="00683897"/>
    <w:rsid w:val="00684C21"/>
    <w:rsid w:val="006A2530"/>
    <w:rsid w:val="006C3589"/>
    <w:rsid w:val="006D37AF"/>
    <w:rsid w:val="006D51D0"/>
    <w:rsid w:val="006D5FB9"/>
    <w:rsid w:val="006E564B"/>
    <w:rsid w:val="006E7191"/>
    <w:rsid w:val="00703577"/>
    <w:rsid w:val="00705894"/>
    <w:rsid w:val="007203E0"/>
    <w:rsid w:val="0072632A"/>
    <w:rsid w:val="007327D5"/>
    <w:rsid w:val="00733B1E"/>
    <w:rsid w:val="00745186"/>
    <w:rsid w:val="007461EA"/>
    <w:rsid w:val="00751ADD"/>
    <w:rsid w:val="007629C8"/>
    <w:rsid w:val="0077047D"/>
    <w:rsid w:val="00796533"/>
    <w:rsid w:val="007B6BA5"/>
    <w:rsid w:val="007C3390"/>
    <w:rsid w:val="007C4F4B"/>
    <w:rsid w:val="007E01E9"/>
    <w:rsid w:val="007E63F3"/>
    <w:rsid w:val="007F4F7C"/>
    <w:rsid w:val="007F6611"/>
    <w:rsid w:val="00811920"/>
    <w:rsid w:val="00815AD0"/>
    <w:rsid w:val="008242D7"/>
    <w:rsid w:val="008257B1"/>
    <w:rsid w:val="00832334"/>
    <w:rsid w:val="00837B14"/>
    <w:rsid w:val="00840CD8"/>
    <w:rsid w:val="00843767"/>
    <w:rsid w:val="008679D9"/>
    <w:rsid w:val="008749F0"/>
    <w:rsid w:val="008878DE"/>
    <w:rsid w:val="008979B1"/>
    <w:rsid w:val="008A6B25"/>
    <w:rsid w:val="008A6C4F"/>
    <w:rsid w:val="008B2335"/>
    <w:rsid w:val="008C6FD2"/>
    <w:rsid w:val="008E0678"/>
    <w:rsid w:val="008F31D2"/>
    <w:rsid w:val="00902EB4"/>
    <w:rsid w:val="0090383A"/>
    <w:rsid w:val="009129F1"/>
    <w:rsid w:val="00917FDE"/>
    <w:rsid w:val="009223CA"/>
    <w:rsid w:val="00922623"/>
    <w:rsid w:val="00940F93"/>
    <w:rsid w:val="00973A80"/>
    <w:rsid w:val="00974F51"/>
    <w:rsid w:val="009760F3"/>
    <w:rsid w:val="00976CFB"/>
    <w:rsid w:val="009A0830"/>
    <w:rsid w:val="009A0E8D"/>
    <w:rsid w:val="009B26E7"/>
    <w:rsid w:val="009C732E"/>
    <w:rsid w:val="009D1EFF"/>
    <w:rsid w:val="00A00697"/>
    <w:rsid w:val="00A00A3F"/>
    <w:rsid w:val="00A01489"/>
    <w:rsid w:val="00A3026E"/>
    <w:rsid w:val="00A338F1"/>
    <w:rsid w:val="00A35BE0"/>
    <w:rsid w:val="00A47B39"/>
    <w:rsid w:val="00A6129C"/>
    <w:rsid w:val="00A72F22"/>
    <w:rsid w:val="00A7360F"/>
    <w:rsid w:val="00A748A6"/>
    <w:rsid w:val="00A7503D"/>
    <w:rsid w:val="00A769F4"/>
    <w:rsid w:val="00A773D2"/>
    <w:rsid w:val="00A776B4"/>
    <w:rsid w:val="00A90AB5"/>
    <w:rsid w:val="00A92396"/>
    <w:rsid w:val="00A94361"/>
    <w:rsid w:val="00AA293C"/>
    <w:rsid w:val="00AD65C7"/>
    <w:rsid w:val="00AF01A5"/>
    <w:rsid w:val="00B021B9"/>
    <w:rsid w:val="00B055C6"/>
    <w:rsid w:val="00B30179"/>
    <w:rsid w:val="00B3124A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E0F2C"/>
    <w:rsid w:val="00BF68A8"/>
    <w:rsid w:val="00C06E99"/>
    <w:rsid w:val="00C11A03"/>
    <w:rsid w:val="00C1614D"/>
    <w:rsid w:val="00C22C0C"/>
    <w:rsid w:val="00C4313E"/>
    <w:rsid w:val="00C4527F"/>
    <w:rsid w:val="00C463DD"/>
    <w:rsid w:val="00C4724C"/>
    <w:rsid w:val="00C62871"/>
    <w:rsid w:val="00C629A0"/>
    <w:rsid w:val="00C64629"/>
    <w:rsid w:val="00C745C3"/>
    <w:rsid w:val="00C96DF2"/>
    <w:rsid w:val="00CA5941"/>
    <w:rsid w:val="00CB3E03"/>
    <w:rsid w:val="00CB76A9"/>
    <w:rsid w:val="00CD4AA6"/>
    <w:rsid w:val="00CE4A8F"/>
    <w:rsid w:val="00D12351"/>
    <w:rsid w:val="00D2031B"/>
    <w:rsid w:val="00D248B6"/>
    <w:rsid w:val="00D25FE2"/>
    <w:rsid w:val="00D301E9"/>
    <w:rsid w:val="00D43252"/>
    <w:rsid w:val="00D47EEA"/>
    <w:rsid w:val="00D5323A"/>
    <w:rsid w:val="00D73665"/>
    <w:rsid w:val="00D773DF"/>
    <w:rsid w:val="00D85EB2"/>
    <w:rsid w:val="00D86DA9"/>
    <w:rsid w:val="00D95303"/>
    <w:rsid w:val="00D97026"/>
    <w:rsid w:val="00D978C6"/>
    <w:rsid w:val="00DA3C1C"/>
    <w:rsid w:val="00E046DF"/>
    <w:rsid w:val="00E231D8"/>
    <w:rsid w:val="00E27346"/>
    <w:rsid w:val="00E42B89"/>
    <w:rsid w:val="00E45B5B"/>
    <w:rsid w:val="00E50B9F"/>
    <w:rsid w:val="00E570C6"/>
    <w:rsid w:val="00E71BC8"/>
    <w:rsid w:val="00E7260F"/>
    <w:rsid w:val="00E73F5D"/>
    <w:rsid w:val="00E77E4E"/>
    <w:rsid w:val="00E80768"/>
    <w:rsid w:val="00E96630"/>
    <w:rsid w:val="00EC1204"/>
    <w:rsid w:val="00EC4289"/>
    <w:rsid w:val="00ED2D2D"/>
    <w:rsid w:val="00ED7A2A"/>
    <w:rsid w:val="00EF1D7F"/>
    <w:rsid w:val="00EF3E9C"/>
    <w:rsid w:val="00F1573A"/>
    <w:rsid w:val="00F1720E"/>
    <w:rsid w:val="00F25A1C"/>
    <w:rsid w:val="00F26EDF"/>
    <w:rsid w:val="00F31A80"/>
    <w:rsid w:val="00F31E5F"/>
    <w:rsid w:val="00F43599"/>
    <w:rsid w:val="00F50BBA"/>
    <w:rsid w:val="00F6100A"/>
    <w:rsid w:val="00F93781"/>
    <w:rsid w:val="00FA7D6D"/>
    <w:rsid w:val="00FB613B"/>
    <w:rsid w:val="00FC1EE6"/>
    <w:rsid w:val="00FC345F"/>
    <w:rsid w:val="00FC68B7"/>
    <w:rsid w:val="00FC79BA"/>
    <w:rsid w:val="00FD3F98"/>
    <w:rsid w:val="00FD4B7D"/>
    <w:rsid w:val="00FD67D2"/>
    <w:rsid w:val="00FE032C"/>
    <w:rsid w:val="00FE106A"/>
    <w:rsid w:val="00FE21BD"/>
    <w:rsid w:val="00FF145D"/>
    <w:rsid w:val="00FF500E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11B64DE9"/>
  <w15:docId w15:val="{A4655541-A347-4635-9710-76D44BF6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06308D"/>
    <w:rPr>
      <w:lang w:val="en-GB" w:eastAsia="en-US"/>
    </w:rPr>
  </w:style>
  <w:style w:type="paragraph" w:styleId="BalloonText">
    <w:name w:val="Balloon Text"/>
    <w:basedOn w:val="Normal"/>
    <w:link w:val="BalloonTextChar"/>
    <w:rsid w:val="00FC7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9B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129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Sabrina Mansion</dc:creator>
  <cp:lastModifiedBy>Christine Barrio-Champeau</cp:lastModifiedBy>
  <cp:revision>25</cp:revision>
  <cp:lastPrinted>2015-02-23T10:09:00Z</cp:lastPrinted>
  <dcterms:created xsi:type="dcterms:W3CDTF">2017-02-13T15:55:00Z</dcterms:created>
  <dcterms:modified xsi:type="dcterms:W3CDTF">2017-02-24T10:00:00Z</dcterms:modified>
</cp:coreProperties>
</file>