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11CEC">
                <w:t>TRANS/WP.15/AC.1/2017/10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="006B69DF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B69DF">
              <w:fldChar w:fldCharType="separate"/>
            </w:r>
            <w:r w:rsidR="006B69DF" w:rsidRPr="00245892">
              <w:fldChar w:fldCharType="end"/>
            </w:r>
            <w:bookmarkEnd w:id="1"/>
          </w:p>
          <w:p w:rsidR="00A658DB" w:rsidRPr="00245892" w:rsidRDefault="006B69DF" w:rsidP="007B199D">
            <w:fldSimple w:instr=" FILLIN  &quot;Введите дату документа&quot; \* MERGEFORMAT ">
              <w:r w:rsidR="00011CEC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="006B69DF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B69DF">
              <w:fldChar w:fldCharType="separate"/>
            </w:r>
            <w:r w:rsidR="006B69DF"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11CEC" w:rsidRPr="00011CEC" w:rsidRDefault="00011CEC" w:rsidP="00011CEC">
      <w:pPr>
        <w:spacing w:before="120" w:line="240" w:lineRule="auto"/>
        <w:rPr>
          <w:sz w:val="28"/>
          <w:szCs w:val="28"/>
        </w:rPr>
      </w:pPr>
      <w:r w:rsidRPr="00011CEC">
        <w:rPr>
          <w:sz w:val="28"/>
          <w:szCs w:val="28"/>
        </w:rPr>
        <w:t>Комитет по внутреннему транспорту</w:t>
      </w:r>
    </w:p>
    <w:p w:rsidR="00011CEC" w:rsidRPr="00011CEC" w:rsidRDefault="00011CEC" w:rsidP="00011CEC">
      <w:pPr>
        <w:spacing w:before="120" w:line="240" w:lineRule="auto"/>
        <w:rPr>
          <w:b/>
          <w:sz w:val="24"/>
          <w:szCs w:val="24"/>
        </w:rPr>
      </w:pPr>
      <w:r w:rsidRPr="00011CEC">
        <w:rPr>
          <w:b/>
          <w:sz w:val="24"/>
          <w:szCs w:val="24"/>
        </w:rPr>
        <w:t>Рабочая группа по перевозкам опасных грузов</w:t>
      </w:r>
    </w:p>
    <w:p w:rsidR="00011CEC" w:rsidRPr="00011CEC" w:rsidRDefault="00011CEC" w:rsidP="00011CEC">
      <w:pPr>
        <w:spacing w:before="120" w:line="240" w:lineRule="auto"/>
        <w:rPr>
          <w:b/>
        </w:rPr>
      </w:pPr>
      <w:r w:rsidRPr="00011CEC">
        <w:rPr>
          <w:b/>
        </w:rPr>
        <w:t xml:space="preserve">Совместное совещание Комиссии экспертов МПОГ </w:t>
      </w:r>
      <w:r w:rsidRPr="00011CEC">
        <w:rPr>
          <w:b/>
        </w:rPr>
        <w:br/>
        <w:t>и Рабочей группы по перевозкам опасных грузов</w:t>
      </w:r>
    </w:p>
    <w:p w:rsidR="00011CEC" w:rsidRPr="00011CEC" w:rsidRDefault="00011CEC" w:rsidP="00011CEC">
      <w:pPr>
        <w:spacing w:line="240" w:lineRule="auto"/>
      </w:pPr>
      <w:r w:rsidRPr="00011CEC">
        <w:t>Берн, 13–17 марта 2017 года</w:t>
      </w:r>
    </w:p>
    <w:p w:rsidR="00011CEC" w:rsidRPr="00011CEC" w:rsidRDefault="00011CEC" w:rsidP="00011CEC">
      <w:pPr>
        <w:spacing w:line="240" w:lineRule="auto"/>
        <w:rPr>
          <w:b/>
        </w:rPr>
      </w:pPr>
      <w:r w:rsidRPr="00011CEC">
        <w:rPr>
          <w:b/>
        </w:rPr>
        <w:t xml:space="preserve">Предложения о внесении поправок в МПОГ/ДОПОГ/ВОПОГ: </w:t>
      </w:r>
      <w:r w:rsidRPr="00011CEC">
        <w:rPr>
          <w:b/>
        </w:rPr>
        <w:br/>
        <w:t>нерассмотренные вопросы</w:t>
      </w:r>
    </w:p>
    <w:p w:rsidR="00011CEC" w:rsidRPr="00011CEC" w:rsidRDefault="00011CEC" w:rsidP="00011CEC">
      <w:pPr>
        <w:pStyle w:val="HChGR"/>
      </w:pPr>
      <w:r w:rsidRPr="00011CEC">
        <w:tab/>
      </w:r>
      <w:r w:rsidRPr="00011CEC">
        <w:tab/>
        <w:t>Использование металлических КСГМГ (11A) для</w:t>
      </w:r>
      <w:r>
        <w:rPr>
          <w:lang w:val="en-US"/>
        </w:rPr>
        <w:t> </w:t>
      </w:r>
      <w:r w:rsidRPr="00011CEC">
        <w:t>перевозки упакованных отходов в качестве опасных грузов</w:t>
      </w:r>
    </w:p>
    <w:p w:rsidR="00011CEC" w:rsidRPr="00011CEC" w:rsidRDefault="00011CEC" w:rsidP="00011CEC">
      <w:pPr>
        <w:pStyle w:val="H1GR"/>
      </w:pPr>
      <w:r w:rsidRPr="00011CEC">
        <w:tab/>
      </w:r>
      <w:r w:rsidRPr="00011CEC">
        <w:tab/>
        <w:t>Передано Европейской федерацией по управлению отходами и</w:t>
      </w:r>
      <w:r>
        <w:rPr>
          <w:lang w:val="en-US"/>
        </w:rPr>
        <w:t> </w:t>
      </w:r>
      <w:r w:rsidRPr="00011CEC">
        <w:t>природоохранным технологиям (ФЕАД)</w:t>
      </w:r>
      <w:r w:rsidRPr="007F12B3">
        <w:rPr>
          <w:b w:val="0"/>
          <w:sz w:val="20"/>
        </w:rPr>
        <w:footnoteReference w:id="1"/>
      </w:r>
      <w:r w:rsidRPr="00011CEC">
        <w:rPr>
          <w:bCs/>
          <w:vertAlign w:val="superscript"/>
        </w:rPr>
        <w:t xml:space="preserve"> </w:t>
      </w:r>
      <w:r w:rsidRPr="00011CEC">
        <w:rPr>
          <w:b w:val="0"/>
          <w:sz w:val="20"/>
        </w:rPr>
        <w:footnoteReference w:customMarkFollows="1" w:id="2"/>
        <w:t>**</w:t>
      </w:r>
      <w:r w:rsidRPr="00011CEC">
        <w:t xml:space="preserve"> </w:t>
      </w:r>
    </w:p>
    <w:p w:rsidR="00011CEC" w:rsidRPr="00011CEC" w:rsidRDefault="00011CEC" w:rsidP="00011CEC">
      <w:pPr>
        <w:pStyle w:val="HChGR"/>
      </w:pPr>
      <w:r w:rsidRPr="00011CEC">
        <w:tab/>
      </w:r>
      <w:r w:rsidRPr="00011CEC">
        <w:tab/>
        <w:t>Справочная информация</w:t>
      </w:r>
    </w:p>
    <w:p w:rsidR="00011CEC" w:rsidRPr="00011CEC" w:rsidRDefault="00011CEC" w:rsidP="00011CEC">
      <w:pPr>
        <w:pStyle w:val="SingleTxtGR"/>
      </w:pPr>
      <w:r w:rsidRPr="00011CEC">
        <w:t>1.</w:t>
      </w:r>
      <w:r w:rsidRPr="00011CEC">
        <w:tab/>
        <w:t>В секторе отходов контейнеры универсального назначения, которые доказали свою эффективность в течение десятилетий, используются для сбора и транспортировки отходов. Эти контейнеры в настоящее время производятся, испытываются и официально утверждаются в соответствии с требованиями к изготовлению и испытаниям, приводимыми в главе 6.1 ДОПОГ (4A), а также главе 6.5 (11A). Таким образом, идентичный контейнер соответствует требованиям обеих глав. В этой связи такая повсеместно используемая транспортная тара может считаться приемлемой как для неупакованных (в свободном состоянии) отходов, так и для отходов в малых емкостях. В настоящее время по всей Европе эксплуатируется около 500 000 единиц этого типа контейнеров.</w:t>
      </w:r>
    </w:p>
    <w:p w:rsidR="00011CEC" w:rsidRPr="00011CEC" w:rsidRDefault="00011CEC" w:rsidP="00011CEC">
      <w:pPr>
        <w:spacing w:line="240" w:lineRule="auto"/>
      </w:pPr>
      <w:r w:rsidRPr="00011CEC">
        <w:br w:type="page"/>
      </w:r>
    </w:p>
    <w:p w:rsidR="00011CEC" w:rsidRPr="00011CEC" w:rsidRDefault="00011CEC" w:rsidP="00011CEC">
      <w:pPr>
        <w:pStyle w:val="HChGR"/>
      </w:pPr>
      <w:r w:rsidRPr="00011CEC">
        <w:lastRenderedPageBreak/>
        <w:tab/>
      </w:r>
      <w:r w:rsidRPr="00011CEC">
        <w:tab/>
        <w:t>Обсуждение</w:t>
      </w:r>
    </w:p>
    <w:p w:rsidR="00011CEC" w:rsidRPr="00011CEC" w:rsidRDefault="00011CEC" w:rsidP="00011CEC">
      <w:pPr>
        <w:pStyle w:val="SingleTxtGR"/>
      </w:pPr>
      <w:r w:rsidRPr="00011CEC">
        <w:t>2.</w:t>
      </w:r>
      <w:r w:rsidRPr="00011CEC">
        <w:tab/>
        <w:t>В повседневной практике отходы в неупакованном виде и отходы в малых емкостях/упаковках приходится постоянно упаковывать для перевозки в качестве опасных грузов. Необходимые системы сбора представляют собой универсальные металлические контейнеры, официально утвержденные в качестве ящиков (4A) или КСГМГ (11A). В последние годы изготовители контейнеров стали испытывать идентичные контейнеры в качестве как ящиков, так и КСГМГ и получать от компетентных органов действительные свидетельства об официальном утверждении для обоих видов. В результате этого такие стальные контейнеры (4A/11A) используются по назначению в каждом отдел</w:t>
      </w:r>
      <w:r w:rsidR="007F12B3">
        <w:t>ьном случае. Вместе с тем</w:t>
      </w:r>
      <w:r w:rsidRPr="00011CEC">
        <w:t xml:space="preserve"> практика также показала, что сторонам, участвующим в процессах управления отходами, приходится постоянно в каждом конкретном случае подбирать правильный тип контейнера с подходящим официальным утверждением для соответствующего вида отходов. Предприятия отрасли управления отходами, а также производители отходов должны еще заниматься непростым делом управления контейнерными перевозками. Однако в принципе было доказано, что идентичный контейнер с официальными утверждениями на основании положений 4А и 11A обеспечивает полную безопасность в плане предлагаемой </w:t>
      </w:r>
      <w:r w:rsidR="007F12B3">
        <w:t>цели во время перевозки отходов</w:t>
      </w:r>
      <w:r w:rsidRPr="00011CEC">
        <w:t xml:space="preserve"> независимо от того, перевозятся ли они в неупакованном виде или в малых емкостях в контейнере для перевозки отходов. С</w:t>
      </w:r>
      <w:r w:rsidR="00D66806">
        <w:rPr>
          <w:lang w:val="en-US"/>
        </w:rPr>
        <w:t> </w:t>
      </w:r>
      <w:r w:rsidRPr="00011CEC">
        <w:t>учетом требований, изложенных в главах 6.1 и 6.5, существует необходимость адаптации правил к практике удаления отходов в целях обеспечения правовой определенности для всех заинтересованных сторон.</w:t>
      </w:r>
    </w:p>
    <w:p w:rsidR="00011CEC" w:rsidRPr="00011CEC" w:rsidRDefault="00011CEC" w:rsidP="00011CEC">
      <w:pPr>
        <w:pStyle w:val="HChGR"/>
      </w:pPr>
      <w:r w:rsidRPr="00011CEC">
        <w:tab/>
      </w:r>
      <w:r w:rsidRPr="00011CEC">
        <w:tab/>
        <w:t>Применение</w:t>
      </w:r>
    </w:p>
    <w:p w:rsidR="00011CEC" w:rsidRPr="00011CEC" w:rsidRDefault="00011CEC" w:rsidP="00011CEC">
      <w:pPr>
        <w:pStyle w:val="SingleTxtGR"/>
      </w:pPr>
      <w:r w:rsidRPr="00011CEC">
        <w:t>3.</w:t>
      </w:r>
      <w:r w:rsidRPr="00011CEC">
        <w:tab/>
        <w:t>В отношении практического применения ДОПОГ для перевозки отходов в малых емкостях, а также для неупакованных отходов должна быть обеспечена приемлемость перевозки небольших емкостей (таких</w:t>
      </w:r>
      <w:r w:rsidR="007F12B3">
        <w:t>,</w:t>
      </w:r>
      <w:r w:rsidRPr="00011CEC">
        <w:t xml:space="preserve"> как ведра, бутылки, мешки, барабаны, канистры и т.д.) в КСГМГ типа 11А.</w:t>
      </w:r>
    </w:p>
    <w:p w:rsidR="00011CEC" w:rsidRPr="00011CEC" w:rsidRDefault="00011CEC" w:rsidP="00011CEC">
      <w:pPr>
        <w:pStyle w:val="SingleTxtGR"/>
      </w:pPr>
      <w:r w:rsidRPr="00011CEC">
        <w:t>4.</w:t>
      </w:r>
      <w:r w:rsidRPr="00011CEC">
        <w:tab/>
        <w:t>Эта сфера применения для перевозки отходов в малых емкостях должна регулироваться согласно инструкциям по упаковке IBC 04 и IBC 08. В каждую инструкцию по упаковке должно быть включено дополнительное положение со следующей формулировкой:</w:t>
      </w:r>
    </w:p>
    <w:p w:rsidR="00011CEC" w:rsidRPr="00011CEC" w:rsidRDefault="007F12B3" w:rsidP="00011CEC">
      <w:pPr>
        <w:pStyle w:val="SingleTxtGR"/>
      </w:pPr>
      <w:r>
        <w:tab/>
        <w:t>«</w:t>
      </w:r>
      <w:r w:rsidR="00011CEC" w:rsidRPr="00011CEC">
        <w:t>Упакованные отходы (в малых емкостях, таких как барабаны, канистры, мешки, ящики, банки) могут быть уложены в КСГМГ (11A)</w:t>
      </w:r>
      <w:r>
        <w:t>»</w:t>
      </w:r>
      <w:r w:rsidR="00011CEC" w:rsidRPr="00011CEC">
        <w:t>.</w:t>
      </w:r>
    </w:p>
    <w:p w:rsidR="00011CEC" w:rsidRPr="00011CEC" w:rsidRDefault="007F12B3" w:rsidP="00011CEC">
      <w:pPr>
        <w:pStyle w:val="SingleTxtGR"/>
        <w:rPr>
          <w:b/>
        </w:rPr>
      </w:pPr>
      <w:r>
        <w:tab/>
      </w:r>
      <w:r w:rsidR="00011CEC" w:rsidRPr="00011CEC">
        <w:t>Данное уточнение обеспечивает правовую определенность для всех сторон, участвующих в перевозке, и одновременно с этим гарантирует безопасность. Оно должно быть ограничено соответствующей сферой применения (упакованные отходы), о которой говорилось выше.</w:t>
      </w:r>
    </w:p>
    <w:p w:rsidR="00011CEC" w:rsidRPr="00011CEC" w:rsidRDefault="00011CEC" w:rsidP="00011CEC">
      <w:pPr>
        <w:pStyle w:val="HChGR"/>
      </w:pPr>
      <w:r w:rsidRPr="00011CEC">
        <w:tab/>
      </w:r>
      <w:r w:rsidRPr="00011CEC">
        <w:tab/>
        <w:t>Обоснование</w:t>
      </w:r>
    </w:p>
    <w:p w:rsidR="00011CEC" w:rsidRPr="00011CEC" w:rsidRDefault="00011CEC" w:rsidP="00011CEC">
      <w:pPr>
        <w:pStyle w:val="SingleTxtGR"/>
      </w:pPr>
      <w:r w:rsidRPr="00011CEC">
        <w:t>5.</w:t>
      </w:r>
      <w:r w:rsidRPr="00011CEC">
        <w:tab/>
        <w:t>В случае перевозки малых емкостей, помещенных в транспортную тару, в качестве утвержденной наружной тары тр</w:t>
      </w:r>
      <w:r w:rsidR="007F12B3">
        <w:t>ебуется ящик (4A). Вместе с тем</w:t>
      </w:r>
      <w:r w:rsidRPr="00011CEC">
        <w:t xml:space="preserve"> для перевозки твердых неупакованных опасных грузов, которыми заполняют контейнер, требуется официальное утверждение в качестве КСГМГ (11A). Оба этих случая применения являются стандартными в европейской отрасли </w:t>
      </w:r>
      <w:r w:rsidRPr="00011CEC">
        <w:lastRenderedPageBreak/>
        <w:t>управления отходами. Практика показывает, что перевозка малых емкостей в КСГМГ типа</w:t>
      </w:r>
      <w:r w:rsidR="007F12B3">
        <w:t> </w:t>
      </w:r>
      <w:r w:rsidRPr="00011CEC">
        <w:t>11А обеспечивает безопасность. Кроме того, данное правило создает юридическую определенность для сторон, участвующих в перевозке. Такое применение обеспечивает адаптацию соответствующих положений к практическим потребностям перевозок.</w:t>
      </w:r>
    </w:p>
    <w:p w:rsidR="00011CEC" w:rsidRPr="00011CEC" w:rsidRDefault="00011CEC" w:rsidP="00011CEC">
      <w:pPr>
        <w:pStyle w:val="SingleTxtGR"/>
      </w:pPr>
      <w:r w:rsidRPr="00011CEC">
        <w:t>6.</w:t>
      </w:r>
      <w:r w:rsidRPr="00011CEC">
        <w:tab/>
        <w:t>Практика также свидетельствует о том, что КСГМГ типа 11А пригодны для перевозки упакованных отходов (помещенных во внутреннюю тару) и что при этом гарантируется безопасность перевозки опасных грузов.</w:t>
      </w:r>
    </w:p>
    <w:p w:rsidR="00011CEC" w:rsidRPr="00011CEC" w:rsidRDefault="00011CEC" w:rsidP="00011CEC">
      <w:pPr>
        <w:pStyle w:val="SingleTxtGR"/>
      </w:pPr>
      <w:r w:rsidRPr="00011CEC">
        <w:t>7.</w:t>
      </w:r>
      <w:r w:rsidRPr="00011CEC">
        <w:tab/>
        <w:t>Неоспоримо, что использование при сборе отходов контейнеров, несущих код 11A, обеспечивает эксплуатационную гибкость для всех пользователей. В</w:t>
      </w:r>
      <w:r w:rsidR="007F12B3">
        <w:t> </w:t>
      </w:r>
      <w:r w:rsidRPr="00011CEC">
        <w:t>Европе на протяжении десятилетий предприятия отрасли управления отходами в качестве стандартной практики заполняют такие контейнеры неупакованными твердыми отходами или отходами в малых емкостях.</w:t>
      </w:r>
    </w:p>
    <w:p w:rsidR="00011CEC" w:rsidRPr="00011CEC" w:rsidRDefault="00011CEC" w:rsidP="00011CEC">
      <w:pPr>
        <w:pStyle w:val="SingleTxtGR"/>
      </w:pPr>
      <w:r w:rsidRPr="00011CEC">
        <w:t>Безопасность:</w:t>
      </w:r>
      <w:r w:rsidRPr="00011CEC">
        <w:tab/>
      </w:r>
      <w:r w:rsidRPr="00011CEC">
        <w:tab/>
      </w:r>
      <w:r w:rsidRPr="00011CEC">
        <w:tab/>
        <w:t>не влияет.</w:t>
      </w:r>
    </w:p>
    <w:p w:rsidR="00011CEC" w:rsidRPr="00011CEC" w:rsidRDefault="00011CEC" w:rsidP="00011CEC">
      <w:pPr>
        <w:pStyle w:val="SingleTxtGR"/>
      </w:pPr>
      <w:r w:rsidRPr="00011CEC">
        <w:t>Обоснование:</w:t>
      </w:r>
      <w:r w:rsidRPr="00011CEC">
        <w:tab/>
      </w:r>
      <w:r w:rsidRPr="00011CEC">
        <w:tab/>
      </w:r>
      <w:r w:rsidRPr="00011CEC">
        <w:tab/>
        <w:t>оптимизация.</w:t>
      </w:r>
    </w:p>
    <w:p w:rsidR="00A658DB" w:rsidRPr="007F12B3" w:rsidRDefault="00011CEC" w:rsidP="00011CEC">
      <w:pPr>
        <w:pStyle w:val="SingleTxtGR"/>
      </w:pPr>
      <w:r w:rsidRPr="00011CEC">
        <w:t>Обеспечение применения:</w:t>
      </w:r>
      <w:r w:rsidRPr="00011CEC">
        <w:tab/>
      </w:r>
      <w:r w:rsidRPr="00011CEC">
        <w:tab/>
        <w:t>может быть применено незамедлительно.</w:t>
      </w:r>
    </w:p>
    <w:p w:rsidR="00011CEC" w:rsidRPr="007F12B3" w:rsidRDefault="00011CEC" w:rsidP="00011CEC">
      <w:pPr>
        <w:spacing w:before="240"/>
        <w:jc w:val="center"/>
        <w:rPr>
          <w:u w:val="single"/>
        </w:rPr>
      </w:pPr>
      <w:r w:rsidRPr="007F12B3">
        <w:rPr>
          <w:u w:val="single"/>
        </w:rPr>
        <w:tab/>
      </w:r>
      <w:r w:rsidRPr="007F12B3">
        <w:rPr>
          <w:u w:val="single"/>
        </w:rPr>
        <w:tab/>
      </w:r>
      <w:r w:rsidRPr="007F12B3">
        <w:rPr>
          <w:u w:val="single"/>
        </w:rPr>
        <w:tab/>
      </w:r>
    </w:p>
    <w:sectPr w:rsidR="00011CEC" w:rsidRPr="007F12B3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C6" w:rsidRDefault="00E926C6" w:rsidP="00B471C5">
      <w:r>
        <w:separator/>
      </w:r>
    </w:p>
  </w:endnote>
  <w:endnote w:type="continuationSeparator" w:id="0">
    <w:p w:rsidR="00E926C6" w:rsidRDefault="00E926C6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6B69DF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C2CA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FE1F0A">
      <w:rPr>
        <w:lang w:val="en-US"/>
      </w:rPr>
      <w:t>22427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FE1F0A">
      <w:rPr>
        <w:lang w:val="en-US"/>
      </w:rPr>
      <w:t>22427</w:t>
    </w:r>
    <w:r>
      <w:rPr>
        <w:lang w:val="en-US"/>
      </w:rPr>
      <w:tab/>
    </w:r>
    <w:r w:rsidR="006B69DF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6B69DF" w:rsidRPr="00BA2D2B">
      <w:rPr>
        <w:b/>
        <w:sz w:val="18"/>
        <w:szCs w:val="18"/>
      </w:rPr>
      <w:fldChar w:fldCharType="separate"/>
    </w:r>
    <w:r w:rsidR="000C2CAB">
      <w:rPr>
        <w:b/>
        <w:noProof/>
        <w:sz w:val="18"/>
        <w:szCs w:val="18"/>
      </w:rPr>
      <w:t>3</w:t>
    </w:r>
    <w:r w:rsidR="006B69DF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FE1F0A">
      <w:trPr>
        <w:trHeight w:val="426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E1F0A">
            <w:rPr>
              <w:lang w:val="en-US"/>
            </w:rPr>
            <w:t>22427</w:t>
          </w:r>
          <w:r w:rsidRPr="001C3ABC">
            <w:rPr>
              <w:lang w:val="en-US"/>
            </w:rPr>
            <w:t xml:space="preserve"> (R)</w:t>
          </w:r>
          <w:r w:rsidR="007F12B3">
            <w:rPr>
              <w:lang w:val="en-US"/>
            </w:rPr>
            <w:t xml:space="preserve">   291216   30</w:t>
          </w:r>
          <w:r w:rsidR="00FE1F0A">
            <w:rPr>
              <w:lang w:val="en-US"/>
            </w:rP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E1F0A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E1F0A" w:rsidRDefault="00FE1F0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E1F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C6" w:rsidRPr="009141DC" w:rsidRDefault="00E926C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926C6" w:rsidRPr="00D1261C" w:rsidRDefault="00E926C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11CEC" w:rsidRPr="002A4AE4" w:rsidRDefault="00011CEC" w:rsidP="00011CEC">
      <w:pPr>
        <w:pStyle w:val="Notedebasdepage"/>
        <w:rPr>
          <w:lang w:val="ru-RU"/>
        </w:rPr>
      </w:pPr>
      <w:r>
        <w:rPr>
          <w:lang w:val="ru-RU"/>
        </w:rPr>
        <w:tab/>
      </w:r>
      <w:r w:rsidRPr="007F12B3">
        <w:rPr>
          <w:rStyle w:val="Appelnotedebasdep"/>
          <w:sz w:val="20"/>
          <w:vertAlign w:val="baseline"/>
          <w:lang w:val="ru-RU"/>
        </w:rPr>
        <w:footnoteRef/>
      </w:r>
      <w:r>
        <w:rPr>
          <w:lang w:val="ru-RU"/>
        </w:rPr>
        <w:tab/>
      </w:r>
      <w:r w:rsidR="000C2CAB">
        <w:rPr>
          <w:lang w:val="ru-RU"/>
        </w:rPr>
        <w:t>В соответствии с проектом программы работы Комитета по внутреннему транспорту на 2016–2017 годы (ECE/TRANS/2016/28/Add.1 (9.2)).</w:t>
      </w:r>
    </w:p>
  </w:footnote>
  <w:footnote w:id="2">
    <w:p w:rsidR="00011CEC" w:rsidRPr="00F13FAA" w:rsidRDefault="00011CEC" w:rsidP="00011CEC">
      <w:pPr>
        <w:pStyle w:val="Notedebasdepage"/>
        <w:rPr>
          <w:lang w:val="ru-RU"/>
        </w:rPr>
      </w:pPr>
      <w:r>
        <w:rPr>
          <w:lang w:val="ru-RU"/>
        </w:rPr>
        <w:tab/>
      </w:r>
      <w:r w:rsidRPr="00011CEC">
        <w:rPr>
          <w:sz w:val="20"/>
          <w:lang w:val="ru-RU"/>
        </w:rPr>
        <w:t>**</w:t>
      </w:r>
      <w:r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символом OTIF/RID/RC/2017/10.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FE1F0A" w:rsidRPr="00FE1F0A">
      <w:rPr>
        <w:lang w:val="en-US"/>
      </w:rPr>
      <w:t>TRANS/WP.15/AC.1/2017/10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FE1F0A" w:rsidRPr="00FE1F0A">
      <w:rPr>
        <w:lang w:val="en-US"/>
      </w:rPr>
      <w:t>TRANS/WP.15/AC.1/2017/10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11CEC"/>
    <w:rsid w:val="00011CEC"/>
    <w:rsid w:val="000450D1"/>
    <w:rsid w:val="000B1FD5"/>
    <w:rsid w:val="000C2CAB"/>
    <w:rsid w:val="000F2A4F"/>
    <w:rsid w:val="001C6103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9DF"/>
    <w:rsid w:val="006B6B57"/>
    <w:rsid w:val="006E4645"/>
    <w:rsid w:val="006F49F1"/>
    <w:rsid w:val="007005EE"/>
    <w:rsid w:val="00705394"/>
    <w:rsid w:val="00743F62"/>
    <w:rsid w:val="00760D3A"/>
    <w:rsid w:val="00773BA8"/>
    <w:rsid w:val="007A1F42"/>
    <w:rsid w:val="007D76DD"/>
    <w:rsid w:val="007F12B3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46BB9"/>
    <w:rsid w:val="00D1261C"/>
    <w:rsid w:val="00D26030"/>
    <w:rsid w:val="00D66806"/>
    <w:rsid w:val="00D75DCE"/>
    <w:rsid w:val="00DD35AC"/>
    <w:rsid w:val="00DD479F"/>
    <w:rsid w:val="00E15E48"/>
    <w:rsid w:val="00E926C6"/>
    <w:rsid w:val="00EB0723"/>
    <w:rsid w:val="00EB2957"/>
    <w:rsid w:val="00EE6F37"/>
    <w:rsid w:val="00F1599F"/>
    <w:rsid w:val="00F31EF2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1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CE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11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CE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8D92-7E28-448D-AE4D-2A7882BB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Maison</cp:lastModifiedBy>
  <cp:revision>2</cp:revision>
  <cp:lastPrinted>2016-12-30T07:57:00Z</cp:lastPrinted>
  <dcterms:created xsi:type="dcterms:W3CDTF">2017-02-14T13:20:00Z</dcterms:created>
  <dcterms:modified xsi:type="dcterms:W3CDTF">2017-02-14T13:20:00Z</dcterms:modified>
</cp:coreProperties>
</file>