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D673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TRANS/</w:t>
            </w:r>
            <w:r w:rsidR="00D458B2" w:rsidRPr="00D30E58">
              <w:rPr>
                <w:lang w:val="en-GB"/>
              </w:rPr>
              <w:t>WP.15/AC.1/201</w:t>
            </w:r>
            <w:r w:rsidR="00D458B2">
              <w:rPr>
                <w:lang w:val="en-GB"/>
              </w:rPr>
              <w:t>7</w:t>
            </w:r>
            <w:r w:rsidR="00D458B2" w:rsidRPr="00D30E58">
              <w:rPr>
                <w:lang w:val="en-GB"/>
              </w:rPr>
              <w:t>/</w:t>
            </w:r>
            <w:r w:rsidR="00D458B2">
              <w:rPr>
                <w:lang w:val="en-GB"/>
              </w:rPr>
              <w:t>20</w:t>
            </w:r>
          </w:p>
        </w:tc>
      </w:tr>
      <w:tr w:rsidR="00A658DB" w:rsidRPr="00D458B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D458B2" w:rsidRDefault="00A658DB" w:rsidP="007B199D">
            <w:pPr>
              <w:spacing w:before="240"/>
              <w:rPr>
                <w:lang w:val="en-US"/>
              </w:rPr>
            </w:pPr>
            <w:r w:rsidRPr="00D458B2">
              <w:rPr>
                <w:lang w:val="en-US"/>
              </w:rPr>
              <w:t xml:space="preserve">Distr.: </w:t>
            </w:r>
            <w:bookmarkStart w:id="0" w:name="ПолеСоСписком1"/>
            <w:r w:rsidR="00D216C8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458B2">
              <w:rPr>
                <w:lang w:val="en-US"/>
              </w:rPr>
              <w:instrText xml:space="preserve"> FORMDROPDOWN </w:instrText>
            </w:r>
            <w:r w:rsidR="00D216C8">
              <w:fldChar w:fldCharType="separate"/>
            </w:r>
            <w:r w:rsidR="00D216C8" w:rsidRPr="00245892">
              <w:fldChar w:fldCharType="end"/>
            </w:r>
            <w:bookmarkEnd w:id="0"/>
          </w:p>
          <w:p w:rsidR="00A658DB" w:rsidRPr="00D458B2" w:rsidRDefault="00D216C8" w:rsidP="007B199D">
            <w:pPr>
              <w:rPr>
                <w:lang w:val="en-US"/>
              </w:rPr>
            </w:pPr>
            <w:fldSimple w:instr=" FILLIN  &quot;Введите дату документа&quot; \* MERGEFORMAT ">
              <w:r w:rsidR="00D458B2">
                <w:rPr>
                  <w:lang w:val="en-US"/>
                </w:rPr>
                <w:t>21 December 2016</w:t>
              </w:r>
            </w:fldSimple>
          </w:p>
          <w:p w:rsidR="00A658DB" w:rsidRPr="00D458B2" w:rsidRDefault="00A658DB" w:rsidP="007B199D">
            <w:pPr>
              <w:rPr>
                <w:lang w:val="en-US"/>
              </w:rPr>
            </w:pPr>
            <w:r w:rsidRPr="00D458B2">
              <w:rPr>
                <w:lang w:val="en-US"/>
              </w:rPr>
              <w:t>Russian</w:t>
            </w:r>
          </w:p>
          <w:p w:rsidR="00A658DB" w:rsidRPr="00D458B2" w:rsidRDefault="00A658DB" w:rsidP="007B199D">
            <w:pPr>
              <w:rPr>
                <w:lang w:val="en-US"/>
              </w:rPr>
            </w:pPr>
            <w:r w:rsidRPr="00D458B2">
              <w:rPr>
                <w:lang w:val="en-US"/>
              </w:rPr>
              <w:t xml:space="preserve">Original: </w:t>
            </w:r>
            <w:bookmarkStart w:id="1" w:name="ПолеСоСписком2"/>
            <w:r w:rsidR="00D458B2">
              <w:rPr>
                <w:lang w:val="en-US"/>
              </w:rPr>
              <w:t>French</w:t>
            </w:r>
            <w:bookmarkEnd w:id="1"/>
          </w:p>
          <w:p w:rsidR="00A658DB" w:rsidRPr="00D458B2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ED6737" w:rsidRDefault="005A387F" w:rsidP="008512C1">
      <w:pPr>
        <w:spacing w:before="120" w:after="120"/>
        <w:rPr>
          <w:sz w:val="28"/>
          <w:szCs w:val="28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ED6737" w:rsidP="002C1EE7">
      <w:pPr>
        <w:spacing w:after="120"/>
        <w:rPr>
          <w:b/>
          <w:sz w:val="24"/>
          <w:szCs w:val="24"/>
        </w:rPr>
      </w:pPr>
      <w:r w:rsidRPr="00ED6737">
        <w:rPr>
          <w:b/>
          <w:sz w:val="24"/>
          <w:szCs w:val="24"/>
        </w:rPr>
        <w:t>Рабочая группа по перевозкам опасных грузов</w:t>
      </w:r>
      <w:r w:rsidR="005A387F" w:rsidRPr="005A387F">
        <w:rPr>
          <w:b/>
          <w:sz w:val="24"/>
          <w:szCs w:val="24"/>
        </w:rPr>
        <w:t xml:space="preserve"> </w:t>
      </w:r>
    </w:p>
    <w:p w:rsidR="002C1EE7" w:rsidRPr="003F6450" w:rsidRDefault="003F6450" w:rsidP="002C1EE7">
      <w:pPr>
        <w:spacing w:after="120"/>
        <w:rPr>
          <w:b/>
        </w:rPr>
      </w:pPr>
      <w:r w:rsidRPr="003F6450">
        <w:rPr>
          <w:b/>
        </w:rPr>
        <w:t>Рабочая группа по вопросам торможения и ходовой части</w:t>
      </w:r>
    </w:p>
    <w:p w:rsidR="007C443F" w:rsidRPr="007C443F" w:rsidRDefault="007C443F" w:rsidP="007C443F">
      <w:pPr>
        <w:rPr>
          <w:b/>
        </w:rPr>
      </w:pPr>
      <w:r w:rsidRPr="007C443F">
        <w:rPr>
          <w:b/>
        </w:rPr>
        <w:t xml:space="preserve">Совместное совещание Комиссии экспертов МПОГ и </w:t>
      </w:r>
      <w:r w:rsidRPr="007C443F">
        <w:rPr>
          <w:b/>
        </w:rPr>
        <w:br/>
        <w:t>Рабочей группы по перевозкам опасных грузов</w:t>
      </w:r>
    </w:p>
    <w:p w:rsidR="00007B7D" w:rsidRPr="00CA52B7" w:rsidRDefault="007C443F" w:rsidP="007C443F">
      <w:r w:rsidRPr="007C443F">
        <w:t>Берн, 13</w:t>
      </w:r>
      <w:r w:rsidR="003163DF">
        <w:rPr>
          <w:lang w:val="en-US"/>
        </w:rPr>
        <w:t>–</w:t>
      </w:r>
      <w:r w:rsidRPr="007C443F">
        <w:t xml:space="preserve">17 марта 2017 года </w:t>
      </w:r>
    </w:p>
    <w:p w:rsidR="00007B7D" w:rsidRPr="00CA52B7" w:rsidRDefault="00007B7D" w:rsidP="00007B7D">
      <w:r w:rsidRPr="00CA52B7">
        <w:t>Пункт</w:t>
      </w:r>
      <w:r w:rsidR="003F6450">
        <w:t xml:space="preserve"> </w:t>
      </w:r>
      <w:r w:rsidR="007C443F" w:rsidRPr="00D96E01">
        <w:t>2</w:t>
      </w:r>
      <w:r w:rsidRPr="00CA52B7">
        <w:t xml:space="preserve"> предварительной повестки дня</w:t>
      </w:r>
    </w:p>
    <w:p w:rsidR="00007B7D" w:rsidRPr="002C1EE7" w:rsidRDefault="007C443F" w:rsidP="003F6450">
      <w:pPr>
        <w:rPr>
          <w:b/>
        </w:rPr>
      </w:pPr>
      <w:r>
        <w:rPr>
          <w:b/>
          <w:bCs/>
        </w:rPr>
        <w:t>Цистерны</w:t>
      </w:r>
    </w:p>
    <w:p w:rsidR="00D96E01" w:rsidRPr="001A6908" w:rsidRDefault="004244AD" w:rsidP="004244A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D96E01">
        <w:t>Цистерна, имеющая поперечное сечение с вогнутой частью, – толкование пункта 6.8.2.1.18</w:t>
      </w:r>
    </w:p>
    <w:p w:rsidR="00D96E01" w:rsidRPr="00065A43" w:rsidRDefault="004244AD" w:rsidP="004244A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D96E01">
        <w:t>Передано правительством Франции</w:t>
      </w:r>
      <w:r w:rsidR="004047C9" w:rsidRPr="004047C9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="004047C9">
        <w:rPr>
          <w:b w:val="0"/>
          <w:sz w:val="20"/>
          <w:lang w:val="en-US" w:eastAsia="en-US"/>
        </w:rPr>
        <w:t xml:space="preserve"> </w:t>
      </w:r>
      <w:r w:rsidR="004047C9" w:rsidRPr="004047C9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2C1EE7" w:rsidRDefault="00D96E01" w:rsidP="004244AD">
      <w:pPr>
        <w:pStyle w:val="HChGR"/>
      </w:pPr>
      <w:r>
        <w:tab/>
      </w:r>
      <w:r w:rsidR="004244AD">
        <w:rPr>
          <w:lang w:val="en-US"/>
        </w:rPr>
        <w:tab/>
      </w:r>
      <w:r>
        <w:t>Введение</w:t>
      </w:r>
    </w:p>
    <w:tbl>
      <w:tblPr>
        <w:tblStyle w:val="Grilledutableau"/>
        <w:tblW w:w="0" w:type="auto"/>
        <w:tblInd w:w="108" w:type="dxa"/>
        <w:tblBorders>
          <w:insideH w:val="none" w:sz="0" w:space="0" w:color="auto"/>
        </w:tblBorders>
        <w:tblLook w:val="05E0"/>
      </w:tblPr>
      <w:tblGrid>
        <w:gridCol w:w="9639"/>
      </w:tblGrid>
      <w:tr w:rsidR="004244AD" w:rsidTr="00A8333C">
        <w:tc>
          <w:tcPr>
            <w:tcW w:w="9639" w:type="dxa"/>
            <w:shd w:val="clear" w:color="auto" w:fill="auto"/>
          </w:tcPr>
          <w:p w:rsidR="004244AD" w:rsidRPr="004244AD" w:rsidRDefault="004244AD" w:rsidP="004244AD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proofErr w:type="spellStart"/>
            <w:r w:rsidRPr="004244AD"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244AD" w:rsidRPr="004244AD" w:rsidTr="00A8333C">
        <w:tc>
          <w:tcPr>
            <w:tcW w:w="9639" w:type="dxa"/>
            <w:shd w:val="clear" w:color="auto" w:fill="auto"/>
          </w:tcPr>
          <w:p w:rsidR="004244AD" w:rsidRPr="004244AD" w:rsidRDefault="004244AD" w:rsidP="004047C9">
            <w:pPr>
              <w:pStyle w:val="SingleTxtGR"/>
              <w:tabs>
                <w:tab w:val="clear" w:pos="3402"/>
                <w:tab w:val="left" w:pos="3686"/>
              </w:tabs>
              <w:ind w:left="3686" w:hanging="2552"/>
            </w:pPr>
            <w:r w:rsidRPr="00A8333C">
              <w:rPr>
                <w:b/>
              </w:rPr>
              <w:t>Существо предложения:</w:t>
            </w:r>
            <w:r>
              <w:tab/>
              <w:t xml:space="preserve">Рассмотрение соответствия некоторых типов конструкции цистерн с </w:t>
            </w:r>
            <w:r w:rsidRPr="001A6908">
              <w:t>вогнут</w:t>
            </w:r>
            <w:r>
              <w:t>ой</w:t>
            </w:r>
            <w:r w:rsidRPr="001A6908">
              <w:t xml:space="preserve"> </w:t>
            </w:r>
            <w:r>
              <w:t>частью.</w:t>
            </w:r>
          </w:p>
        </w:tc>
      </w:tr>
      <w:tr w:rsidR="004244AD" w:rsidRPr="004244AD" w:rsidTr="00A8333C">
        <w:tc>
          <w:tcPr>
            <w:tcW w:w="9639" w:type="dxa"/>
            <w:shd w:val="clear" w:color="auto" w:fill="auto"/>
          </w:tcPr>
          <w:p w:rsidR="00A8333C" w:rsidRDefault="003163DF" w:rsidP="00A8333C">
            <w:pPr>
              <w:pStyle w:val="SingleTxtGR"/>
              <w:tabs>
                <w:tab w:val="clear" w:pos="3402"/>
                <w:tab w:val="left" w:pos="3686"/>
              </w:tabs>
              <w:spacing w:after="0"/>
              <w:ind w:left="3686" w:hanging="2552"/>
              <w:rPr>
                <w:lang w:val="en-US"/>
              </w:rPr>
            </w:pPr>
            <w:r w:rsidRPr="00A8333C">
              <w:rPr>
                <w:b/>
              </w:rPr>
              <w:t>Справочные документы:</w:t>
            </w:r>
            <w:r>
              <w:tab/>
              <w:t>ECE/TRANS/WP.15/AC.1/138/Add.1, пункт 10;</w:t>
            </w:r>
          </w:p>
          <w:p w:rsidR="004244AD" w:rsidRPr="004244AD" w:rsidRDefault="00A8333C" w:rsidP="00BE61E4">
            <w:pPr>
              <w:pStyle w:val="SingleTxtGR"/>
              <w:tabs>
                <w:tab w:val="clear" w:pos="3402"/>
                <w:tab w:val="left" w:pos="3686"/>
              </w:tabs>
              <w:ind w:left="3686" w:hanging="2552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3163DF">
              <w:t>неофициальный документ INF.15 сессии Совместного совещания, состоявшейся в марте 2015</w:t>
            </w:r>
            <w:r w:rsidR="00BE61E4">
              <w:rPr>
                <w:lang w:val="en-US"/>
              </w:rPr>
              <w:t> </w:t>
            </w:r>
            <w:r w:rsidR="003163DF">
              <w:t>года.</w:t>
            </w:r>
          </w:p>
        </w:tc>
      </w:tr>
      <w:tr w:rsidR="004244AD" w:rsidRPr="004244AD" w:rsidTr="00A8333C">
        <w:tc>
          <w:tcPr>
            <w:tcW w:w="9639" w:type="dxa"/>
            <w:shd w:val="clear" w:color="auto" w:fill="auto"/>
          </w:tcPr>
          <w:p w:rsidR="004244AD" w:rsidRPr="004244AD" w:rsidRDefault="004244AD" w:rsidP="004244AD"/>
        </w:tc>
      </w:tr>
    </w:tbl>
    <w:p w:rsidR="002C1EE7" w:rsidRDefault="002C1EE7">
      <w:pPr>
        <w:spacing w:line="240" w:lineRule="auto"/>
      </w:pPr>
      <w:r>
        <w:br w:type="page"/>
      </w:r>
    </w:p>
    <w:p w:rsidR="002C1EE7" w:rsidRPr="003163DF" w:rsidRDefault="003163DF" w:rsidP="00007B7D">
      <w:pPr>
        <w:pStyle w:val="SingleTxtGR"/>
      </w:pPr>
      <w:r w:rsidRPr="003163DF">
        <w:lastRenderedPageBreak/>
        <w:t>1.</w:t>
      </w:r>
      <w:r w:rsidRPr="003163DF">
        <w:tab/>
        <w:t>В марте 2015 года в своем документе INF.15 Германия предложила утвердить частично цилиндрическое поперечное сечение цистерны, имеющей снизу вогнутую часть, с соединениями между выпуклой (цилиндрической) и вогнутой частями корпуса, выполненными с помощью угловой сварки:</w:t>
      </w:r>
    </w:p>
    <w:p w:rsidR="003163DF" w:rsidRPr="003163DF" w:rsidRDefault="003163DF" w:rsidP="00007B7D">
      <w:pPr>
        <w:pStyle w:val="SingleTxtGR"/>
      </w:pPr>
      <w:r>
        <w:rPr>
          <w:noProof/>
          <w:sz w:val="22"/>
          <w:szCs w:val="22"/>
          <w:lang w:val="fr-FR" w:eastAsia="fr-FR"/>
        </w:rPr>
        <w:drawing>
          <wp:inline distT="0" distB="0" distL="0" distR="0">
            <wp:extent cx="4524375" cy="387667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DF" w:rsidRPr="003163DF" w:rsidRDefault="003163DF" w:rsidP="003163DF">
      <w:pPr>
        <w:pStyle w:val="SingleTxtGR"/>
      </w:pPr>
      <w:r w:rsidRPr="003163DF">
        <w:t>2.</w:t>
      </w:r>
      <w:r w:rsidRPr="003163DF">
        <w:tab/>
        <w:t>Тогда Рабочая группа по цистернам приняла решение о том, что ей следует дождаться результатов обсуждения этого вопроса в рамках рабочей группы</w:t>
      </w:r>
      <w:r w:rsidR="006F76E8">
        <w:rPr>
          <w:lang w:val="en-US"/>
        </w:rPr>
        <w:t> </w:t>
      </w:r>
      <w:r w:rsidRPr="003163DF">
        <w:t xml:space="preserve">ЕКС/ТК 296, отвечающей за стандарт EN 13094. </w:t>
      </w:r>
    </w:p>
    <w:p w:rsidR="003163DF" w:rsidRPr="003163DF" w:rsidRDefault="003163DF" w:rsidP="003163DF">
      <w:pPr>
        <w:pStyle w:val="SingleTxtGR"/>
      </w:pPr>
      <w:r w:rsidRPr="003163DF">
        <w:t>3.</w:t>
      </w:r>
      <w:r w:rsidRPr="003163DF">
        <w:tab/>
        <w:t>Мы считаем, что этот вопрос относится к компетенции Совместного совещания, поскольку в главе 6.8 МПОГ/ДОПОГ установлены довольно четкие требования в отношении формы цистерн.</w:t>
      </w:r>
    </w:p>
    <w:p w:rsidR="003163DF" w:rsidRPr="003163DF" w:rsidRDefault="003163DF" w:rsidP="003163DF">
      <w:pPr>
        <w:pStyle w:val="SingleTxtGR"/>
      </w:pPr>
      <w:r w:rsidRPr="003163DF">
        <w:t>4.</w:t>
      </w:r>
      <w:r w:rsidRPr="003163DF">
        <w:tab/>
        <w:t>По нашему мнению, такой тип конструкции не может соответствовать требованиям МПОГ/ДОПОГ в силу изложенных ниже причин.</w:t>
      </w:r>
    </w:p>
    <w:p w:rsidR="003163DF" w:rsidRPr="003163DF" w:rsidRDefault="003163DF" w:rsidP="003163DF">
      <w:pPr>
        <w:pStyle w:val="SingleTxtGR"/>
      </w:pPr>
      <w:r w:rsidRPr="003163DF">
        <w:t>5.</w:t>
      </w:r>
      <w:r w:rsidRPr="003163DF">
        <w:tab/>
        <w:t>Гибридное поперечное сечение, представленное в пункте 1, не может рассматриваться в качестве имеющего круглую или эллиптическую форму; таким образом, для целей МПОГ/ДОПОГ оно имеет другую форму.</w:t>
      </w:r>
    </w:p>
    <w:p w:rsidR="003163DF" w:rsidRPr="003163DF" w:rsidRDefault="003163DF" w:rsidP="003163DF">
      <w:pPr>
        <w:pStyle w:val="SingleTxtGR"/>
      </w:pPr>
      <w:r w:rsidRPr="003163DF">
        <w:t>6.</w:t>
      </w:r>
      <w:r w:rsidRPr="003163DF">
        <w:tab/>
        <w:t xml:space="preserve">В пункте 6.8.2.1.18 ДОПОГ в сноске 2 внизу страницы установлено, </w:t>
      </w:r>
      <w:r w:rsidR="006F76E8" w:rsidRPr="006F76E8">
        <w:br/>
      </w:r>
      <w:r w:rsidRPr="003163DF">
        <w:t>что для корпусов с некруглым поперечным сечением радиусы выпуклости стенки корпуса должны быть не более 2 000 мм по боковым сторонам и не более 3</w:t>
      </w:r>
      <w:r w:rsidR="006F76E8">
        <w:rPr>
          <w:lang w:val="en-US"/>
        </w:rPr>
        <w:t> </w:t>
      </w:r>
      <w:r w:rsidRPr="003163DF">
        <w:t>000</w:t>
      </w:r>
      <w:r w:rsidR="006F76E8">
        <w:rPr>
          <w:lang w:val="en-US"/>
        </w:rPr>
        <w:t> </w:t>
      </w:r>
      <w:r w:rsidRPr="003163DF">
        <w:t>мм сверху и снизу. Предлагаемая форма в нижней части ограничена радиусом вогнутости, что не соответствует данному положению ДОПОГ.</w:t>
      </w:r>
    </w:p>
    <w:p w:rsidR="003163DF" w:rsidRPr="003163DF" w:rsidRDefault="003163DF" w:rsidP="003163DF">
      <w:pPr>
        <w:pStyle w:val="SingleTxtGR"/>
      </w:pPr>
      <w:r w:rsidRPr="003163DF">
        <w:t>7.</w:t>
      </w:r>
      <w:r w:rsidRPr="003163DF">
        <w:tab/>
        <w:t>Кроме того, в отношении стандартов EN 13094 и EN 14025, касающихся конструкции и изготовления цистерн, следует отметить следующее:</w:t>
      </w:r>
    </w:p>
    <w:p w:rsidR="006F76E8" w:rsidRDefault="006F76E8">
      <w:pPr>
        <w:spacing w:line="240" w:lineRule="auto"/>
      </w:pPr>
      <w:r>
        <w:br w:type="page"/>
      </w:r>
    </w:p>
    <w:p w:rsidR="003163DF" w:rsidRPr="003163DF" w:rsidRDefault="003163DF" w:rsidP="003163DF">
      <w:pPr>
        <w:pStyle w:val="SingleTxtGR"/>
      </w:pPr>
      <w:r w:rsidRPr="003163DF">
        <w:lastRenderedPageBreak/>
        <w:tab/>
        <w:t xml:space="preserve">– в пункте 6.3.1 стандарта EN 13094 предусмотрено, что минимальный радиус соединения верхней, боковой и нижней выпуклых частей не должен превышать 200 мм. Поскольку соединения боковой и нижней выпуклых частей отсутствуют, это требование указанного стандарта не соблюдается; </w:t>
      </w:r>
    </w:p>
    <w:p w:rsidR="003163DF" w:rsidRPr="003163DF" w:rsidRDefault="003163DF" w:rsidP="003163DF">
      <w:pPr>
        <w:pStyle w:val="SingleTxtGR"/>
      </w:pPr>
      <w:r w:rsidRPr="003163DF">
        <w:tab/>
        <w:t>– в случае расчетов для типов конструкции, не предусмотренных стандартом EN 14025, в его пункте 6.3.1 содержится ссылка на положения</w:t>
      </w:r>
      <w:r w:rsidR="006F76E8" w:rsidRPr="006F76E8">
        <w:t xml:space="preserve"> </w:t>
      </w:r>
      <w:r w:rsidRPr="003163DF">
        <w:t>стандар</w:t>
      </w:r>
      <w:r w:rsidR="006F76E8">
        <w:t>-</w:t>
      </w:r>
      <w:r w:rsidRPr="003163DF">
        <w:t>та</w:t>
      </w:r>
      <w:r w:rsidR="006F76E8">
        <w:rPr>
          <w:lang w:val="en-US"/>
        </w:rPr>
        <w:t> </w:t>
      </w:r>
      <w:r w:rsidRPr="003163DF">
        <w:t>EN 13445-3, что означает необходимость соблюдать в процессе производства требования этого стандарта, в частности в отношении типов сварных соединений, разрешенных для продольных и кольцевых сварных швов корпуса. Согласно таблицам А</w:t>
      </w:r>
      <w:r w:rsidR="006E3D2A">
        <w:t>-</w:t>
      </w:r>
      <w:r w:rsidR="006E3D2A" w:rsidRPr="006E3D2A">
        <w:t>1</w:t>
      </w:r>
      <w:r w:rsidR="006E3D2A">
        <w:t xml:space="preserve"> и А-2</w:t>
      </w:r>
      <w:r w:rsidRPr="003163DF">
        <w:t xml:space="preserve"> стандарта EN 13445-3, испо</w:t>
      </w:r>
      <w:bookmarkStart w:id="2" w:name="_GoBack"/>
      <w:bookmarkEnd w:id="2"/>
      <w:r w:rsidRPr="003163DF">
        <w:t xml:space="preserve">льзование угловых сварных соединений для продольных и кольцевых сварных швов корпуса не разрешено; таким образом, это требование не соблюдается. </w:t>
      </w:r>
    </w:p>
    <w:p w:rsidR="003163DF" w:rsidRPr="003163DF" w:rsidRDefault="003163DF" w:rsidP="003163DF">
      <w:pPr>
        <w:pStyle w:val="SingleTxtGR"/>
      </w:pPr>
      <w:r w:rsidRPr="003163DF">
        <w:t>8.</w:t>
      </w:r>
      <w:r w:rsidRPr="003163DF">
        <w:tab/>
        <w:t>В связи с этим мы считаем, что данный тип конструкции не отвечает нормативным требованиям и стандартам и, следовательно, не может быть использован для перевозки опасных грузов.</w:t>
      </w:r>
    </w:p>
    <w:p w:rsidR="003163DF" w:rsidRPr="003163DF" w:rsidRDefault="003163DF" w:rsidP="003163DF">
      <w:pPr>
        <w:pStyle w:val="SingleTxtGR"/>
      </w:pPr>
      <w:r w:rsidRPr="003163DF">
        <w:t>9.</w:t>
      </w:r>
      <w:r w:rsidRPr="003163DF">
        <w:tab/>
        <w:t>Мы хотели бы узнать мнение Совместного совещания по этому вопросу.</w:t>
      </w:r>
    </w:p>
    <w:p w:rsidR="003163DF" w:rsidRPr="00DB187E" w:rsidRDefault="00DB187E" w:rsidP="00DB18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63DF" w:rsidRPr="00DB187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1" w:rsidRDefault="00C05921" w:rsidP="00B471C5">
      <w:r>
        <w:separator/>
      </w:r>
    </w:p>
  </w:endnote>
  <w:endnote w:type="continuationSeparator" w:id="0">
    <w:p w:rsidR="00C05921" w:rsidRDefault="00C05921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D216C8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B1FF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ED6737">
      <w:rPr>
        <w:lang w:val="en-US"/>
      </w:rPr>
      <w:t>22640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ED6737">
      <w:rPr>
        <w:lang w:val="en-US"/>
      </w:rPr>
      <w:t>22640</w:t>
    </w:r>
    <w:r>
      <w:rPr>
        <w:lang w:val="en-US"/>
      </w:rPr>
      <w:tab/>
    </w:r>
    <w:r w:rsidR="00D216C8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D216C8" w:rsidRPr="00BA2D2B">
      <w:rPr>
        <w:b/>
        <w:sz w:val="18"/>
        <w:szCs w:val="18"/>
      </w:rPr>
      <w:fldChar w:fldCharType="separate"/>
    </w:r>
    <w:r w:rsidR="007B1FFC">
      <w:rPr>
        <w:b/>
        <w:noProof/>
        <w:sz w:val="18"/>
        <w:szCs w:val="18"/>
      </w:rPr>
      <w:t>3</w:t>
    </w:r>
    <w:r w:rsidR="00D216C8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D673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D6737">
            <w:rPr>
              <w:lang w:val="en-US"/>
            </w:rPr>
            <w:t>22640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ED6737">
            <w:rPr>
              <w:lang w:val="en-US"/>
            </w:rPr>
            <w:t>110117  120117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D6737" w:rsidP="007B199D">
          <w:pPr>
            <w:jc w:val="right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margin">
                  <wp:posOffset>27305</wp:posOffset>
                </wp:positionV>
                <wp:extent cx="636905" cy="636905"/>
                <wp:effectExtent l="0" t="0" r="0" b="0"/>
                <wp:wrapNone/>
                <wp:docPr id="4" name="Image 1" descr="http://undocs.org/m2/QRCode.ashx?DS=ECE/TRANS/WP.15/AC.1/2017/20&amp;Size=2&amp;Lang=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20&amp;Size=2&amp;Lang=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5659" w:rsidRDefault="00ED673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262AF">
            <w:rPr>
              <w:rFonts w:ascii="C39T30Lfz" w:hAnsi="C39T30Lfz"/>
              <w:sz w:val="56"/>
            </w:rPr>
            <w:t></w:t>
          </w:r>
          <w:r w:rsidRPr="008262AF">
            <w:rPr>
              <w:rFonts w:ascii="C39T30Lfz" w:hAnsi="C39T30Lfz"/>
              <w:sz w:val="56"/>
            </w:rPr>
            <w:t></w:t>
          </w:r>
          <w:r w:rsidRPr="008262AF">
            <w:rPr>
              <w:rFonts w:ascii="C39T30Lfz" w:hAnsi="C39T30Lfz"/>
              <w:sz w:val="56"/>
            </w:rPr>
            <w:t></w:t>
          </w:r>
          <w:r w:rsidRPr="008262AF">
            <w:rPr>
              <w:rFonts w:ascii="C39T30Lfz" w:hAnsi="C39T30Lfz"/>
              <w:sz w:val="56"/>
            </w:rPr>
            <w:t></w:t>
          </w:r>
          <w:r w:rsidRPr="008262AF">
            <w:rPr>
              <w:rFonts w:ascii="C39T30Lfz" w:hAnsi="C39T30Lfz"/>
              <w:sz w:val="56"/>
            </w:rPr>
            <w:t></w:t>
          </w:r>
          <w:r w:rsidRPr="008262AF">
            <w:rPr>
              <w:rFonts w:ascii="C39T30Lfz" w:hAnsi="C39T30Lfz"/>
              <w:sz w:val="56"/>
            </w:rPr>
            <w:t></w:t>
          </w:r>
          <w:r w:rsidRPr="008262AF">
            <w:rPr>
              <w:rFonts w:ascii="C39T30Lfz" w:hAnsi="C39T30Lfz"/>
              <w:sz w:val="56"/>
            </w:rPr>
            <w:t></w:t>
          </w:r>
          <w:r w:rsidRPr="008262AF">
            <w:rPr>
              <w:rFonts w:ascii="C39T30Lfz" w:hAnsi="C39T30Lfz"/>
              <w:sz w:val="56"/>
            </w:rPr>
            <w:t></w:t>
          </w:r>
          <w:r w:rsidRPr="008262AF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1" w:rsidRPr="009141DC" w:rsidRDefault="00C0592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05921" w:rsidRPr="00D1261C" w:rsidRDefault="00C0592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047C9" w:rsidRPr="004047C9" w:rsidRDefault="004047C9">
      <w:pPr>
        <w:pStyle w:val="Notedebasdepage"/>
        <w:rPr>
          <w:lang w:val="ru-RU"/>
        </w:rPr>
      </w:pPr>
      <w:r>
        <w:tab/>
      </w:r>
      <w:r w:rsidRPr="004047C9">
        <w:rPr>
          <w:rStyle w:val="Appelnotedebasdep"/>
          <w:sz w:val="20"/>
          <w:vertAlign w:val="baseline"/>
          <w:lang w:val="ru-RU"/>
        </w:rPr>
        <w:t>*</w:t>
      </w:r>
      <w:r w:rsidRPr="004047C9">
        <w:rPr>
          <w:lang w:val="ru-RU"/>
        </w:rPr>
        <w:t xml:space="preserve"> </w:t>
      </w:r>
      <w:r w:rsidRPr="004047C9">
        <w:rPr>
          <w:lang w:val="ru-RU"/>
        </w:rPr>
        <w:tab/>
      </w:r>
      <w:r>
        <w:rPr>
          <w:lang w:val="ru-RU"/>
        </w:rPr>
        <w:t>В соответствии с проектом программы работы Комитета по внутреннему транспорту на 2016–2017 годы (ECE/TRANS/2016/28/Add.1 (9.2)).</w:t>
      </w:r>
    </w:p>
  </w:footnote>
  <w:footnote w:id="2">
    <w:p w:rsidR="004047C9" w:rsidRPr="004047C9" w:rsidRDefault="004047C9">
      <w:pPr>
        <w:pStyle w:val="Notedebasdepage"/>
        <w:rPr>
          <w:lang w:val="ru-RU"/>
        </w:rPr>
      </w:pPr>
      <w:r>
        <w:tab/>
      </w:r>
      <w:r w:rsidRPr="004047C9">
        <w:rPr>
          <w:rStyle w:val="Appelnotedebasdep"/>
          <w:sz w:val="20"/>
          <w:vertAlign w:val="baseline"/>
          <w:lang w:val="ru-RU"/>
        </w:rPr>
        <w:t>**</w:t>
      </w:r>
      <w:r w:rsidRPr="004047C9">
        <w:rPr>
          <w:lang w:val="ru-RU"/>
        </w:rPr>
        <w:t xml:space="preserve"> </w:t>
      </w:r>
      <w:r w:rsidRPr="004047C9">
        <w:rPr>
          <w:lang w:val="ru-RU"/>
        </w:rPr>
        <w:tab/>
      </w:r>
      <w:r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>
        <w:rPr>
          <w:lang w:val="ru-RU"/>
        </w:rPr>
        <w:t>OTIF/RID/RC/</w:t>
      </w:r>
      <w:r w:rsidR="007B1FFC">
        <w:rPr>
          <w:lang w:val="fr-FR"/>
        </w:rPr>
        <w:t>2017</w:t>
      </w:r>
      <w:r>
        <w:rPr>
          <w:lang w:val="ru-RU"/>
        </w:rPr>
        <w:t>/20.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</w:t>
    </w:r>
    <w:r w:rsidR="00ED6737" w:rsidRPr="00D30E58">
      <w:t>WP.15/AC.1/201</w:t>
    </w:r>
    <w:r w:rsidR="00ED6737">
      <w:t>7</w:t>
    </w:r>
    <w:r w:rsidR="00ED6737" w:rsidRPr="00D30E58">
      <w:t>/</w:t>
    </w:r>
    <w:r w:rsidR="00ED6737"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</w:t>
    </w:r>
    <w:r w:rsidR="00ED6737" w:rsidRPr="00D30E58">
      <w:t>WP.15/AC.1/201</w:t>
    </w:r>
    <w:r w:rsidR="00ED6737">
      <w:t>7</w:t>
    </w:r>
    <w:r w:rsidR="00ED6737" w:rsidRPr="00D30E58">
      <w:t>/</w:t>
    </w:r>
    <w:r w:rsidR="00ED673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2942"/>
    <w:rsid w:val="00006018"/>
    <w:rsid w:val="00007B7D"/>
    <w:rsid w:val="000450D1"/>
    <w:rsid w:val="00060B0C"/>
    <w:rsid w:val="000B1FD5"/>
    <w:rsid w:val="000F2A4F"/>
    <w:rsid w:val="00193116"/>
    <w:rsid w:val="001B5F6B"/>
    <w:rsid w:val="001F6963"/>
    <w:rsid w:val="00203F84"/>
    <w:rsid w:val="00275188"/>
    <w:rsid w:val="002809C9"/>
    <w:rsid w:val="0028687D"/>
    <w:rsid w:val="002B091C"/>
    <w:rsid w:val="002B3702"/>
    <w:rsid w:val="002B3D40"/>
    <w:rsid w:val="002C1EE7"/>
    <w:rsid w:val="002D0CCB"/>
    <w:rsid w:val="003163DF"/>
    <w:rsid w:val="00345C79"/>
    <w:rsid w:val="00366A39"/>
    <w:rsid w:val="003A2DC1"/>
    <w:rsid w:val="003D67F5"/>
    <w:rsid w:val="003F6450"/>
    <w:rsid w:val="004047C9"/>
    <w:rsid w:val="00415659"/>
    <w:rsid w:val="004244AD"/>
    <w:rsid w:val="0048005C"/>
    <w:rsid w:val="004907AA"/>
    <w:rsid w:val="004D639B"/>
    <w:rsid w:val="004E242B"/>
    <w:rsid w:val="00544379"/>
    <w:rsid w:val="00566944"/>
    <w:rsid w:val="005A387F"/>
    <w:rsid w:val="005D56BF"/>
    <w:rsid w:val="0062027E"/>
    <w:rsid w:val="00643644"/>
    <w:rsid w:val="00665D8D"/>
    <w:rsid w:val="006A7A3B"/>
    <w:rsid w:val="006B3E33"/>
    <w:rsid w:val="006B6B57"/>
    <w:rsid w:val="006E3D2A"/>
    <w:rsid w:val="006F49F1"/>
    <w:rsid w:val="006F76E8"/>
    <w:rsid w:val="007005EE"/>
    <w:rsid w:val="00705394"/>
    <w:rsid w:val="00743F62"/>
    <w:rsid w:val="00760D3A"/>
    <w:rsid w:val="00773BA8"/>
    <w:rsid w:val="007A1F42"/>
    <w:rsid w:val="007B1FFC"/>
    <w:rsid w:val="007C443F"/>
    <w:rsid w:val="007D76DD"/>
    <w:rsid w:val="007E17E5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A03FB7"/>
    <w:rsid w:val="00A35FB8"/>
    <w:rsid w:val="00A55C56"/>
    <w:rsid w:val="00A658DB"/>
    <w:rsid w:val="00A75A11"/>
    <w:rsid w:val="00A8333C"/>
    <w:rsid w:val="00A9606E"/>
    <w:rsid w:val="00AD7EAD"/>
    <w:rsid w:val="00B35A32"/>
    <w:rsid w:val="00B432C6"/>
    <w:rsid w:val="00B471C5"/>
    <w:rsid w:val="00B6474A"/>
    <w:rsid w:val="00B84990"/>
    <w:rsid w:val="00BD2942"/>
    <w:rsid w:val="00BE1742"/>
    <w:rsid w:val="00BE61E4"/>
    <w:rsid w:val="00BF2F5A"/>
    <w:rsid w:val="00C05921"/>
    <w:rsid w:val="00C42BF7"/>
    <w:rsid w:val="00C968B2"/>
    <w:rsid w:val="00D1261C"/>
    <w:rsid w:val="00D216C8"/>
    <w:rsid w:val="00D26030"/>
    <w:rsid w:val="00D458B2"/>
    <w:rsid w:val="00D75DCE"/>
    <w:rsid w:val="00D96E01"/>
    <w:rsid w:val="00DB187E"/>
    <w:rsid w:val="00DD35AC"/>
    <w:rsid w:val="00DD479F"/>
    <w:rsid w:val="00E15E48"/>
    <w:rsid w:val="00EB0723"/>
    <w:rsid w:val="00EB2957"/>
    <w:rsid w:val="00ED6737"/>
    <w:rsid w:val="00EE6F37"/>
    <w:rsid w:val="00F1599F"/>
    <w:rsid w:val="00F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E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,Footnote Reference/"/>
    <w:basedOn w:val="Policepardfau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9"/>
    <w:semiHidden/>
    <w:rsid w:val="00D96E01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customStyle="1" w:styleId="HChG">
    <w:name w:val="_ H _Ch_G"/>
    <w:basedOn w:val="Normal"/>
    <w:next w:val="Normal"/>
    <w:link w:val="HChGChar"/>
    <w:rsid w:val="00D96E0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">
    <w:name w:val="_ H_1"/>
    <w:basedOn w:val="Normal"/>
    <w:next w:val="Normal"/>
    <w:qFormat/>
    <w:rsid w:val="00D96E01"/>
    <w:pPr>
      <w:keepNext/>
      <w:keepLines/>
      <w:suppressAutoHyphens/>
      <w:spacing w:line="270" w:lineRule="exact"/>
      <w:outlineLvl w:val="0"/>
    </w:pPr>
    <w:rPr>
      <w:rFonts w:eastAsiaTheme="minorHAnsi"/>
      <w:b/>
      <w:sz w:val="24"/>
      <w:szCs w:val="22"/>
      <w:lang w:val="fr-CA"/>
    </w:rPr>
  </w:style>
  <w:style w:type="character" w:customStyle="1" w:styleId="HChGChar">
    <w:name w:val="_ H _Ch_G Char"/>
    <w:link w:val="HChG"/>
    <w:locked/>
    <w:rsid w:val="00D96E0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uiPriority w:val="99"/>
    <w:rsid w:val="004244AD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uiPriority w:val="99"/>
    <w:locked/>
    <w:rsid w:val="004244AD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F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E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Reference/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semiHidden/>
    <w:rsid w:val="00D96E01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customStyle="1" w:styleId="HChG">
    <w:name w:val="_ H _Ch_G"/>
    <w:basedOn w:val="a"/>
    <w:next w:val="a"/>
    <w:link w:val="HChGChar"/>
    <w:rsid w:val="00D96E0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">
    <w:name w:val="_ H_1"/>
    <w:basedOn w:val="a"/>
    <w:next w:val="a"/>
    <w:qFormat/>
    <w:rsid w:val="00D96E01"/>
    <w:pPr>
      <w:keepNext/>
      <w:keepLines/>
      <w:suppressAutoHyphens/>
      <w:spacing w:line="270" w:lineRule="exact"/>
      <w:outlineLvl w:val="0"/>
    </w:pPr>
    <w:rPr>
      <w:rFonts w:eastAsiaTheme="minorHAnsi"/>
      <w:b/>
      <w:sz w:val="24"/>
      <w:szCs w:val="22"/>
      <w:lang w:val="fr-CA"/>
    </w:rPr>
  </w:style>
  <w:style w:type="character" w:customStyle="1" w:styleId="HChGChar">
    <w:name w:val="_ H _Ch_G Char"/>
    <w:link w:val="HChG"/>
    <w:locked/>
    <w:rsid w:val="00D96E0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a"/>
    <w:link w:val="SingleTxtGChar"/>
    <w:uiPriority w:val="99"/>
    <w:rsid w:val="004244AD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uiPriority w:val="99"/>
    <w:locked/>
    <w:rsid w:val="004244AD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39C8-D33A-464C-93EB-E7581EB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Maison</cp:lastModifiedBy>
  <cp:revision>2</cp:revision>
  <dcterms:created xsi:type="dcterms:W3CDTF">2017-01-12T10:28:00Z</dcterms:created>
  <dcterms:modified xsi:type="dcterms:W3CDTF">2017-01-12T10:28:00Z</dcterms:modified>
</cp:coreProperties>
</file>