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3620"/>
        <w:gridCol w:w="195"/>
        <w:gridCol w:w="1725"/>
        <w:gridCol w:w="2819"/>
      </w:tblGrid>
      <w:tr w:rsidR="00A658DB" w:rsidRPr="00245892" w:rsidTr="007B199D">
        <w:trPr>
          <w:trHeight w:hRule="exact" w:val="851"/>
        </w:trPr>
        <w:tc>
          <w:tcPr>
            <w:tcW w:w="4900" w:type="dxa"/>
            <w:gridSpan w:val="2"/>
            <w:tcBorders>
              <w:bottom w:val="single" w:sz="4" w:space="0" w:color="auto"/>
            </w:tcBorders>
            <w:vAlign w:val="bottom"/>
          </w:tcPr>
          <w:p w:rsidR="00A658DB" w:rsidRPr="00245892" w:rsidRDefault="00A658DB" w:rsidP="007B199D">
            <w:pPr>
              <w:spacing w:after="80" w:line="300" w:lineRule="exact"/>
              <w:rPr>
                <w:sz w:val="28"/>
              </w:rPr>
            </w:pPr>
            <w:bookmarkStart w:id="0" w:name="_GoBack"/>
            <w:bookmarkEnd w:id="0"/>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7B199D">
            <w:pPr>
              <w:jc w:val="right"/>
            </w:pPr>
          </w:p>
        </w:tc>
        <w:tc>
          <w:tcPr>
            <w:tcW w:w="4544" w:type="dxa"/>
            <w:gridSpan w:val="2"/>
            <w:tcBorders>
              <w:left w:val="nil"/>
              <w:bottom w:val="single" w:sz="4" w:space="0" w:color="auto"/>
            </w:tcBorders>
            <w:vAlign w:val="bottom"/>
          </w:tcPr>
          <w:p w:rsidR="00A658DB" w:rsidRPr="00245892" w:rsidRDefault="00A658DB" w:rsidP="007B199D">
            <w:pPr>
              <w:jc w:val="right"/>
            </w:pPr>
            <w:r w:rsidRPr="009D6B18">
              <w:rPr>
                <w:sz w:val="40"/>
                <w:szCs w:val="40"/>
                <w:lang w:val="en-US"/>
              </w:rPr>
              <w:t>ECE</w:t>
            </w:r>
            <w:r w:rsidRPr="00245892">
              <w:t>/</w:t>
            </w:r>
            <w:fldSimple w:instr=" FILLIN  &quot;Введите символ после ЕCE/&quot;  \* MERGEFORMAT ">
              <w:r w:rsidR="00F66044">
                <w:t>TRANS/WP.15/AC.1/2017/22</w:t>
              </w:r>
            </w:fldSimple>
            <w:r w:rsidRPr="00245892">
              <w:t xml:space="preserve">                  </w:t>
            </w:r>
          </w:p>
        </w:tc>
      </w:tr>
      <w:tr w:rsidR="00A658DB" w:rsidRPr="00245892" w:rsidTr="007B199D">
        <w:trPr>
          <w:trHeight w:hRule="exact" w:val="2835"/>
        </w:trPr>
        <w:tc>
          <w:tcPr>
            <w:tcW w:w="1280" w:type="dxa"/>
            <w:tcBorders>
              <w:top w:val="single" w:sz="4" w:space="0" w:color="auto"/>
              <w:bottom w:val="single" w:sz="12" w:space="0" w:color="auto"/>
            </w:tcBorders>
          </w:tcPr>
          <w:p w:rsidR="00A658DB" w:rsidRPr="00245892" w:rsidRDefault="00A658DB" w:rsidP="007B199D">
            <w:pPr>
              <w:spacing w:before="120"/>
              <w:jc w:val="center"/>
            </w:pPr>
            <w:r>
              <w:rPr>
                <w:noProof/>
                <w:lang w:val="fr-FR" w:eastAsia="fr-FR"/>
              </w:rPr>
              <w:drawing>
                <wp:inline distT="0" distB="0" distL="0" distR="0">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FB1897" w:rsidRDefault="00A658DB" w:rsidP="007B199D">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245892" w:rsidRDefault="00A658DB" w:rsidP="007B199D">
            <w:pPr>
              <w:spacing w:before="240"/>
            </w:pPr>
            <w:r w:rsidRPr="00245892">
              <w:t xml:space="preserve">Distr.: </w:t>
            </w:r>
            <w:bookmarkStart w:id="1" w:name="ПолеСоСписком1"/>
            <w:r w:rsidR="002634BB"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2634BB">
              <w:fldChar w:fldCharType="separate"/>
            </w:r>
            <w:r w:rsidR="002634BB" w:rsidRPr="00245892">
              <w:fldChar w:fldCharType="end"/>
            </w:r>
            <w:bookmarkEnd w:id="1"/>
          </w:p>
          <w:p w:rsidR="00A658DB" w:rsidRPr="00245892" w:rsidRDefault="002634BB" w:rsidP="007B199D">
            <w:fldSimple w:instr=" FILLIN  &quot;Введите дату документа&quot; \* MERGEFORMAT ">
              <w:r w:rsidR="00F66044">
                <w:t>22 December 2016</w:t>
              </w:r>
            </w:fldSimple>
          </w:p>
          <w:p w:rsidR="00A658DB" w:rsidRPr="00245892" w:rsidRDefault="00A658DB" w:rsidP="007B199D">
            <w:r w:rsidRPr="00245892">
              <w:t>Russian</w:t>
            </w:r>
          </w:p>
          <w:p w:rsidR="00A658DB" w:rsidRPr="00245892" w:rsidRDefault="00A658DB" w:rsidP="007B199D">
            <w:r w:rsidRPr="00245892">
              <w:t xml:space="preserve">Original: </w:t>
            </w:r>
            <w:bookmarkStart w:id="2" w:name="ПолеСоСписком2"/>
            <w:r w:rsidR="002634BB" w:rsidRPr="0024589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2634BB">
              <w:fldChar w:fldCharType="separate"/>
            </w:r>
            <w:r w:rsidR="002634BB" w:rsidRPr="00245892">
              <w:fldChar w:fldCharType="end"/>
            </w:r>
            <w:bookmarkEnd w:id="2"/>
          </w:p>
          <w:p w:rsidR="00A658DB" w:rsidRPr="00245892" w:rsidRDefault="00A658DB" w:rsidP="007B199D"/>
        </w:tc>
      </w:tr>
    </w:tbl>
    <w:p w:rsidR="00A658DB" w:rsidRDefault="00A658DB" w:rsidP="00A658DB">
      <w:pPr>
        <w:spacing w:before="120"/>
        <w:rPr>
          <w:b/>
          <w:sz w:val="28"/>
          <w:szCs w:val="28"/>
        </w:rPr>
      </w:pPr>
      <w:r w:rsidRPr="00245892">
        <w:rPr>
          <w:b/>
          <w:sz w:val="28"/>
          <w:szCs w:val="28"/>
        </w:rPr>
        <w:t>Европейская экономическая комиссия</w:t>
      </w:r>
    </w:p>
    <w:p w:rsidR="00F86787" w:rsidRPr="00F86787" w:rsidRDefault="00F86787" w:rsidP="00F86787">
      <w:pPr>
        <w:spacing w:before="120" w:line="240" w:lineRule="auto"/>
        <w:rPr>
          <w:sz w:val="28"/>
          <w:szCs w:val="28"/>
        </w:rPr>
      </w:pPr>
      <w:r w:rsidRPr="00F86787">
        <w:rPr>
          <w:sz w:val="28"/>
          <w:szCs w:val="28"/>
        </w:rPr>
        <w:t>Комитет по внутреннему транспорту</w:t>
      </w:r>
    </w:p>
    <w:p w:rsidR="00F86787" w:rsidRPr="00F86787" w:rsidRDefault="00F86787" w:rsidP="00F86787">
      <w:pPr>
        <w:spacing w:before="120" w:line="240" w:lineRule="auto"/>
        <w:rPr>
          <w:b/>
          <w:sz w:val="24"/>
          <w:szCs w:val="24"/>
        </w:rPr>
      </w:pPr>
      <w:r w:rsidRPr="00F86787">
        <w:rPr>
          <w:b/>
          <w:sz w:val="24"/>
          <w:szCs w:val="24"/>
        </w:rPr>
        <w:t>Рабочая группа по перевозкам опасных грузов</w:t>
      </w:r>
    </w:p>
    <w:p w:rsidR="00F86787" w:rsidRPr="00F86787" w:rsidRDefault="00F86787" w:rsidP="00266292">
      <w:pPr>
        <w:spacing w:before="120" w:line="240" w:lineRule="auto"/>
        <w:rPr>
          <w:b/>
        </w:rPr>
      </w:pPr>
      <w:r w:rsidRPr="00F86787">
        <w:rPr>
          <w:b/>
        </w:rPr>
        <w:t>Совместное со</w:t>
      </w:r>
      <w:r w:rsidR="00266292">
        <w:rPr>
          <w:b/>
        </w:rPr>
        <w:t>вещание Комиссии экспертов МПОГ</w:t>
      </w:r>
      <w:r w:rsidR="00266292" w:rsidRPr="00266292">
        <w:rPr>
          <w:b/>
        </w:rPr>
        <w:br/>
      </w:r>
      <w:r w:rsidRPr="00F86787">
        <w:rPr>
          <w:b/>
        </w:rPr>
        <w:t>и</w:t>
      </w:r>
      <w:r w:rsidR="00266292" w:rsidRPr="00266292">
        <w:rPr>
          <w:b/>
        </w:rPr>
        <w:t xml:space="preserve"> </w:t>
      </w:r>
      <w:r w:rsidRPr="00F86787">
        <w:rPr>
          <w:b/>
        </w:rPr>
        <w:t>Рабочей группы по перевозкам опасных грузов</w:t>
      </w:r>
    </w:p>
    <w:p w:rsidR="00F86787" w:rsidRPr="00F86787" w:rsidRDefault="00F86787" w:rsidP="00F86787">
      <w:pPr>
        <w:spacing w:line="240" w:lineRule="auto"/>
      </w:pPr>
      <w:r w:rsidRPr="00F86787">
        <w:t>Берн, 13–17 марта 2017 года</w:t>
      </w:r>
    </w:p>
    <w:p w:rsidR="00F86787" w:rsidRPr="00F86787" w:rsidRDefault="00F86787" w:rsidP="00F86787">
      <w:pPr>
        <w:spacing w:line="240" w:lineRule="auto"/>
      </w:pPr>
      <w:r w:rsidRPr="00F86787">
        <w:t>Пункт 2 предварительной повестки дня</w:t>
      </w:r>
    </w:p>
    <w:p w:rsidR="00F86787" w:rsidRPr="00F86787" w:rsidRDefault="00F86787" w:rsidP="00F86787">
      <w:pPr>
        <w:spacing w:line="240" w:lineRule="auto"/>
        <w:rPr>
          <w:b/>
        </w:rPr>
      </w:pPr>
      <w:r w:rsidRPr="00F86787">
        <w:rPr>
          <w:b/>
        </w:rPr>
        <w:t>Цистерны</w:t>
      </w:r>
    </w:p>
    <w:p w:rsidR="00F86787" w:rsidRPr="00F86787" w:rsidRDefault="00F86787" w:rsidP="00F86787">
      <w:pPr>
        <w:pStyle w:val="HChGR"/>
      </w:pPr>
      <w:r w:rsidRPr="00F86787">
        <w:tab/>
      </w:r>
      <w:r w:rsidRPr="00F86787">
        <w:tab/>
        <w:t>Доклад неофициал</w:t>
      </w:r>
      <w:r>
        <w:t>ьной рабочей группы по проверке</w:t>
      </w:r>
      <w:r w:rsidRPr="00F86787">
        <w:br/>
        <w:t>и утверждению цистерн</w:t>
      </w:r>
    </w:p>
    <w:p w:rsidR="00F86787" w:rsidRPr="00F86787" w:rsidRDefault="00F86787" w:rsidP="00F86787">
      <w:pPr>
        <w:pStyle w:val="H1GR"/>
      </w:pPr>
      <w:r w:rsidRPr="00F86787">
        <w:tab/>
      </w:r>
      <w:r w:rsidRPr="00F86787">
        <w:tab/>
        <w:t>Передано правительством Соединенного Королевства</w:t>
      </w:r>
      <w:r w:rsidRPr="00F86787">
        <w:rPr>
          <w:rStyle w:val="Appelnotedebasdep"/>
          <w:b w:val="0"/>
          <w:position w:val="4"/>
          <w:vertAlign w:val="baseline"/>
        </w:rPr>
        <w:footnoteReference w:customMarkFollows="1" w:id="1"/>
        <w:t>*</w:t>
      </w:r>
      <w:r w:rsidRPr="00F86787">
        <w:rPr>
          <w:b w:val="0"/>
          <w:position w:val="4"/>
          <w:sz w:val="10"/>
          <w:szCs w:val="10"/>
          <w:vertAlign w:val="superscript"/>
        </w:rPr>
        <w:t xml:space="preserve"> </w:t>
      </w:r>
      <w:r w:rsidRPr="00F86787">
        <w:rPr>
          <w:rStyle w:val="Appelnotedebasdep"/>
          <w:b w:val="0"/>
          <w:position w:val="4"/>
          <w:vertAlign w:val="baseline"/>
        </w:rPr>
        <w:footnoteReference w:customMarkFollows="1" w:id="2"/>
        <w:t>**</w:t>
      </w:r>
    </w:p>
    <w:p w:rsidR="00F86787" w:rsidRPr="00F86787" w:rsidRDefault="00F86787" w:rsidP="00F86787">
      <w:pPr>
        <w:pStyle w:val="SingleTxtGR"/>
      </w:pPr>
      <w:r w:rsidRPr="00F86787">
        <w:t>1.</w:t>
      </w:r>
      <w:r w:rsidRPr="00F86787">
        <w:tab/>
        <w:t>Неофициальная рабочая группа по проверке и утверждению цистерн провела свое пятое совещание 13–15 декабря 2016 года в Лондоне под председательством г-на Дж. Мэрса (Соединенное Королевство). В работе совещания приняли участие представители Бельгии, Германии, Нидерландов, Норвегии, Польши, Соединенного Королевства, Финляндии, Франции, Швейцарии, Международной ассоциации изготовителей автомобильных кузовов и прицепов (МАИАКП), Европейской ассоциации по промышленным газам (ЕАПГ), Международной организации производителей контейнеров-цистерн (МОКЦ), Международного союза ассоциаций частных владельцев грузовых вагонов (МСАГВ) и Федерации частных владельцев грузовых вагонов Великобритании (PWF Rail). Республика Ирландия и Международная ассоциация по опасным грузам и контейнерам (АСПОГ) прислали свои извинения за отсутствие.</w:t>
      </w:r>
    </w:p>
    <w:p w:rsidR="00F86787" w:rsidRPr="00F86787" w:rsidRDefault="00F86787" w:rsidP="00BC1DEB">
      <w:pPr>
        <w:pStyle w:val="H4GR"/>
        <w:pageBreakBefore/>
      </w:pPr>
      <w:r>
        <w:rPr>
          <w:lang w:val="en-US"/>
        </w:rPr>
        <w:lastRenderedPageBreak/>
        <w:tab/>
      </w:r>
      <w:r>
        <w:rPr>
          <w:lang w:val="en-US"/>
        </w:rPr>
        <w:tab/>
      </w:r>
      <w:r w:rsidRPr="00F86787">
        <w:t>Назначение проверяющих органов, контро</w:t>
      </w:r>
      <w:r>
        <w:t>ль и мониторинг их деятельности</w:t>
      </w:r>
    </w:p>
    <w:p w:rsidR="00F86787" w:rsidRPr="00F86787" w:rsidRDefault="00F86787" w:rsidP="00F86787">
      <w:pPr>
        <w:pStyle w:val="SingleTxtGR"/>
      </w:pPr>
      <w:r w:rsidRPr="00F86787">
        <w:t>2.</w:t>
      </w:r>
      <w:r w:rsidRPr="00F86787">
        <w:tab/>
        <w:t>Участникам был представлен предварительный анализ 15 ответов на вопросник, используемый для сбора информации о том, каким образом  договаривающиеся государства/стороны назначают органы или утверждают кандидатуры экспертов для проведения проверок цистерн, какие есть механизмы контроля и как осуществляется монито</w:t>
      </w:r>
      <w:r w:rsidR="00200A47">
        <w:t>ринг их деятельности. В целом</w:t>
      </w:r>
      <w:r w:rsidRPr="00F86787">
        <w:t xml:space="preserve"> ответы показали, что у договаривающихся сторон и государств до сих пор нет единого подхода в данном вопросе. Это означает, что неофициальная рабочая группа не зря пытается исправить ситуацию. Общие результаты данного опроса будут представлены в отдельном неофициальном документе на весенней сессии 2017 года.</w:t>
      </w:r>
    </w:p>
    <w:p w:rsidR="00F86787" w:rsidRPr="00F86787" w:rsidRDefault="00F86787" w:rsidP="00F86787">
      <w:pPr>
        <w:pStyle w:val="SingleTxtGR"/>
      </w:pPr>
      <w:r w:rsidRPr="00F86787">
        <w:t>3.</w:t>
      </w:r>
      <w:r w:rsidRPr="00F86787">
        <w:tab/>
        <w:t>Нидерланды надлежащим образом выполнили взятое ими на себя обязательство разработат</w:t>
      </w:r>
      <w:r w:rsidR="00200A47">
        <w:t xml:space="preserve">ь предложения по разделу 1.8.6 </w:t>
      </w:r>
      <w:r w:rsidR="00200A47" w:rsidRPr="00200A47">
        <w:t>–</w:t>
      </w:r>
      <w:r w:rsidRPr="00F86787">
        <w:t xml:space="preserve"> Меры административного контроля за проведением оценок соответствия, выдача свидетельств об официальном утверждении типа, проверки и испытания. Однако неофициальная рабочая группа решила вернуться к этому разделу после согласования содержания главы 6.8, в частности требований, касающихся официального утверждения типа (6.8.2.3) и проверок и испытаний (6.8.2.4).</w:t>
      </w:r>
    </w:p>
    <w:p w:rsidR="00F86787" w:rsidRPr="00F86787" w:rsidRDefault="00BC1DEB" w:rsidP="00BC1DEB">
      <w:pPr>
        <w:pStyle w:val="H4GR"/>
      </w:pPr>
      <w:r>
        <w:rPr>
          <w:lang w:val="en-US"/>
        </w:rPr>
        <w:tab/>
      </w:r>
      <w:r>
        <w:rPr>
          <w:lang w:val="en-US"/>
        </w:rPr>
        <w:tab/>
      </w:r>
      <w:r w:rsidR="00F86787" w:rsidRPr="00F86787">
        <w:t>Обеспечение сог</w:t>
      </w:r>
      <w:r>
        <w:t xml:space="preserve">ласованности процедур проверки </w:t>
      </w:r>
      <w:r w:rsidRPr="00BC1DEB">
        <w:t>–</w:t>
      </w:r>
      <w:r w:rsidR="00F86787" w:rsidRPr="00F86787">
        <w:t xml:space="preserve"> предложение по поправкам к подразделам 6.8.2.3 и 6.8.2.4</w:t>
      </w:r>
    </w:p>
    <w:p w:rsidR="00F86787" w:rsidRPr="00BC1DEB" w:rsidRDefault="00F86787" w:rsidP="00F86787">
      <w:pPr>
        <w:pStyle w:val="SingleTxtGR"/>
      </w:pPr>
      <w:r w:rsidRPr="00F86787">
        <w:t>4.</w:t>
      </w:r>
      <w:r w:rsidRPr="00F86787">
        <w:tab/>
        <w:t>Группа сосредоточила свое внимание на представленном Францией предложении по поправкам к подразделу 6.8.2.3 ДОПОГ,  которое было основано на предложениях, представ</w:t>
      </w:r>
      <w:r w:rsidR="00BC1DEB">
        <w:t>ленных ранее Германией и МСАГВ.</w:t>
      </w:r>
    </w:p>
    <w:p w:rsidR="00F86787" w:rsidRPr="00F86787" w:rsidRDefault="00F86787" w:rsidP="00F86787">
      <w:pPr>
        <w:pStyle w:val="SingleTxtGR"/>
      </w:pPr>
      <w:r w:rsidRPr="00F86787">
        <w:t>5.</w:t>
      </w:r>
      <w:r w:rsidRPr="00F86787">
        <w:tab/>
        <w:t>В ходе обсуждения неофициальная рабочая группа согласовала несколько основных принципов:</w:t>
      </w:r>
    </w:p>
    <w:p w:rsidR="00F86787" w:rsidRPr="00F86787" w:rsidRDefault="00BC1DEB" w:rsidP="00F86787">
      <w:pPr>
        <w:pStyle w:val="SingleTxtGR"/>
      </w:pPr>
      <w:r>
        <w:rPr>
          <w:lang w:val="en-US"/>
        </w:rPr>
        <w:tab/>
      </w:r>
      <w:r w:rsidR="00F86787" w:rsidRPr="00F86787">
        <w:t>а)</w:t>
      </w:r>
      <w:r w:rsidR="00F86787" w:rsidRPr="00F86787">
        <w:tab/>
        <w:t>термин «компетентный орган», означающий, согласно МПОГ/</w:t>
      </w:r>
      <w:r w:rsidRPr="00BC1DEB">
        <w:t xml:space="preserve"> </w:t>
      </w:r>
      <w:r w:rsidR="00F86787" w:rsidRPr="00F86787">
        <w:t xml:space="preserve">ДОПОГ, </w:t>
      </w:r>
      <w:r w:rsidR="00F86787" w:rsidRPr="00F86787">
        <w:rPr>
          <w:i/>
        </w:rPr>
        <w:t>орган или органы власти либо любой другой орган или любые другие органы, назначенные в качестве таковых в каждом государстве и в каждом отдельном случае в соответствии с внутренним законодательством</w:t>
      </w:r>
      <w:r w:rsidR="00F86787" w:rsidRPr="00F86787">
        <w:t>, позволяет по всей главе 6.8 заменить формулировку «компетентный орган или назначенный им орган» на ее усеченный вариант «компетентный орган»;</w:t>
      </w:r>
    </w:p>
    <w:p w:rsidR="00F86787" w:rsidRPr="00F86787" w:rsidRDefault="00BC1DEB" w:rsidP="00F86787">
      <w:pPr>
        <w:pStyle w:val="SingleTxtGR"/>
      </w:pPr>
      <w:r w:rsidRPr="00BC1DEB">
        <w:tab/>
      </w:r>
      <w:r w:rsidR="00F86787" w:rsidRPr="00F86787">
        <w:t>b)</w:t>
      </w:r>
      <w:r w:rsidR="00F86787" w:rsidRPr="00F86787">
        <w:tab/>
        <w:t>при д</w:t>
      </w:r>
      <w:r w:rsidR="00200A47">
        <w:t>альнейшей работе над главой 6.8</w:t>
      </w:r>
      <w:r w:rsidR="00F86787" w:rsidRPr="00F86787">
        <w:t xml:space="preserve"> текст, касающийся оценок соответствия, проверок и испытаний, следует отделить от текста, касающегося официального утверждения;</w:t>
      </w:r>
    </w:p>
    <w:p w:rsidR="00F86787" w:rsidRPr="00F86787" w:rsidRDefault="00BC1DEB" w:rsidP="00F86787">
      <w:pPr>
        <w:pStyle w:val="SingleTxtGR"/>
      </w:pPr>
      <w:r w:rsidRPr="00200A47">
        <w:tab/>
      </w:r>
      <w:r w:rsidR="00F86787" w:rsidRPr="00F86787">
        <w:t>c)</w:t>
      </w:r>
      <w:r w:rsidR="00F86787" w:rsidRPr="00F86787">
        <w:tab/>
        <w:t>для проверки типа изготовитель должен привлечь один проверяющий орган, признанный компетентным органом страны изготовления или первой страны регистрации первой произведенной цистерны данного типа. Только этот компетентный орган должен иметь право выдавать свидетельства об официальном утверждении типа;</w:t>
      </w:r>
    </w:p>
    <w:p w:rsidR="00F86787" w:rsidRPr="00F86787" w:rsidRDefault="00BC1DEB" w:rsidP="00F86787">
      <w:pPr>
        <w:pStyle w:val="SingleTxtGR"/>
      </w:pPr>
      <w:r>
        <w:rPr>
          <w:lang w:val="en-US"/>
        </w:rPr>
        <w:tab/>
      </w:r>
      <w:r w:rsidR="00F86787" w:rsidRPr="00F86787">
        <w:t>d)</w:t>
      </w:r>
      <w:r w:rsidR="00F86787" w:rsidRPr="00F86787">
        <w:tab/>
        <w:t>для контроля изготовления и первоначальной проверки цистерн изготовитель должен привлечь один проверяющий орган, признанный компетентным органом страны регистрации или страны изготовления;</w:t>
      </w:r>
    </w:p>
    <w:p w:rsidR="00F86787" w:rsidRPr="00F86787" w:rsidRDefault="00BC1DEB" w:rsidP="00F86787">
      <w:pPr>
        <w:pStyle w:val="SingleTxtGR"/>
      </w:pPr>
      <w:r>
        <w:rPr>
          <w:lang w:val="fr-CA"/>
        </w:rPr>
        <w:tab/>
      </w:r>
      <w:r w:rsidR="00F86787" w:rsidRPr="00F86787">
        <w:rPr>
          <w:lang w:val="fr-CA"/>
        </w:rPr>
        <w:t>e</w:t>
      </w:r>
      <w:r w:rsidR="00F86787" w:rsidRPr="00F86787">
        <w:t>)</w:t>
      </w:r>
      <w:r w:rsidR="00F86787" w:rsidRPr="00F86787">
        <w:tab/>
        <w:t>если цистерны собираются из элементов, изготавливаемых в разных местах, проверяющий орган, отвечающий за оценку собранной цистерны, должен удостовериться в том, что все ее элементы отвечают требованиям МПОГ/</w:t>
      </w:r>
      <w:r w:rsidR="00200A47">
        <w:t>ДОПОГ</w:t>
      </w:r>
      <w:r w:rsidR="00F86787" w:rsidRPr="00F86787">
        <w:t xml:space="preserve"> независимо от того, где они были изготовлены;</w:t>
      </w:r>
    </w:p>
    <w:p w:rsidR="00F86787" w:rsidRPr="00F86787" w:rsidRDefault="00BC1DEB" w:rsidP="00F86787">
      <w:pPr>
        <w:pStyle w:val="SingleTxtGR"/>
      </w:pPr>
      <w:r w:rsidRPr="00200A47">
        <w:lastRenderedPageBreak/>
        <w:tab/>
      </w:r>
      <w:r w:rsidR="00F86787" w:rsidRPr="00F86787">
        <w:t>f)</w:t>
      </w:r>
      <w:r w:rsidR="00F86787" w:rsidRPr="00F86787">
        <w:tab/>
        <w:t>в определенных ситуациях для обеспечения соблюдения требований МПОГ/ДОПОГ может потребоваться проведение предэксплуатационной проверки в том объеме, в каком этого требует состояние цистерны:</w:t>
      </w:r>
    </w:p>
    <w:p w:rsidR="00F86787" w:rsidRPr="00F86787" w:rsidRDefault="00F86787" w:rsidP="00BC1DEB">
      <w:pPr>
        <w:pStyle w:val="SingleTxtGR"/>
        <w:tabs>
          <w:tab w:val="clear" w:pos="1701"/>
        </w:tabs>
        <w:ind w:left="1701"/>
      </w:pPr>
      <w:r w:rsidRPr="00F86787">
        <w:t>i)</w:t>
      </w:r>
      <w:r w:rsidRPr="00F86787">
        <w:tab/>
        <w:t>если свидетельство о первоначальной проверке выдано проверяющим органом, не признанным компетентным органом страны регистрации, то может потребоваться, чтобы компетентный орган страны регистрации провел предэксплуатационную проверку;</w:t>
      </w:r>
    </w:p>
    <w:p w:rsidR="00F86787" w:rsidRPr="00F86787" w:rsidRDefault="00F86787" w:rsidP="00BC1DEB">
      <w:pPr>
        <w:pStyle w:val="SingleTxtGR"/>
        <w:tabs>
          <w:tab w:val="clear" w:pos="1701"/>
        </w:tabs>
        <w:ind w:left="1701"/>
      </w:pPr>
      <w:r w:rsidRPr="00F86787">
        <w:t>ii)</w:t>
      </w:r>
      <w:r w:rsidRPr="00F86787">
        <w:tab/>
        <w:t>когда цистерна, зарегистрированная одной договаривающейся стороной, передается другой договаривающейся стороне, компетентный орган последней может потребовать проведения предэксплуатационной проверки цистерны. В этом случае собственник/оператор цистерны должен привлечь один проверяющий орган, признанный компетентным органом страны регистрации, для проведения такой предэксплуатационной проверки;</w:t>
      </w:r>
    </w:p>
    <w:p w:rsidR="00F86787" w:rsidRPr="00F86787" w:rsidRDefault="00BC1DEB" w:rsidP="00F86787">
      <w:pPr>
        <w:pStyle w:val="SingleTxtGR"/>
      </w:pPr>
      <w:r>
        <w:rPr>
          <w:lang w:val="en-US"/>
        </w:rPr>
        <w:tab/>
      </w:r>
      <w:r w:rsidR="00F86787" w:rsidRPr="00F86787">
        <w:t>g)</w:t>
      </w:r>
      <w:r w:rsidR="00F86787" w:rsidRPr="00F86787">
        <w:tab/>
        <w:t xml:space="preserve">в целях поощрения признания договаривающимися государствами/сторонами проверяющих органов, назначенных компетентными органами друг друга, следует разработать систему уведомления секретариатов ЕЭК ООН/ОТИФ и составления ими перечней проверяющих органов с указанием их наименований и той работы, которую они уполномочены проводить. </w:t>
      </w:r>
    </w:p>
    <w:p w:rsidR="00F86787" w:rsidRPr="00F86787" w:rsidRDefault="00F86787" w:rsidP="00F86787">
      <w:pPr>
        <w:pStyle w:val="SingleTxtGR"/>
      </w:pPr>
      <w:r w:rsidRPr="00F86787">
        <w:t>6.</w:t>
      </w:r>
      <w:r w:rsidRPr="00F86787">
        <w:tab/>
        <w:t xml:space="preserve">Основанные на этих принципах предложения по поправкам к подразделам 6.8.2.3 и 6.8.2.4 будут представлены в отдельном неофициальном документе на сессии Совместного совещания весной 2017 года. </w:t>
      </w:r>
    </w:p>
    <w:p w:rsidR="00F86787" w:rsidRPr="00F86787" w:rsidRDefault="00BC1DEB" w:rsidP="00BC1DEB">
      <w:pPr>
        <w:pStyle w:val="H4GR"/>
      </w:pPr>
      <w:r>
        <w:rPr>
          <w:lang w:val="en-US"/>
        </w:rPr>
        <w:tab/>
      </w:r>
      <w:r>
        <w:rPr>
          <w:lang w:val="en-US"/>
        </w:rPr>
        <w:tab/>
      </w:r>
      <w:r w:rsidR="00F86787" w:rsidRPr="00F86787">
        <w:t>Усовершенствование требований к изготовлению и проверке</w:t>
      </w:r>
    </w:p>
    <w:p w:rsidR="00F86787" w:rsidRPr="00BC1DEB" w:rsidRDefault="00F86787" w:rsidP="00F86787">
      <w:pPr>
        <w:pStyle w:val="SingleTxtGR"/>
      </w:pPr>
      <w:r w:rsidRPr="00F86787">
        <w:t>7.</w:t>
      </w:r>
      <w:r w:rsidRPr="00F86787">
        <w:tab/>
        <w:t>Группе была представлена обновленная информация о том существенном прогрессе, который был достигнут в работе по стандарту EN 13094, касающемуся конструкции и изготовления цистерн, опорожняемых самотеком, и стандарту EN 12972, касающемуся испытаний, проверки и маркировки металлических цистерн; оба эти стандарта в настоящее время пересматриваются для включения в ДОПОГ 2019 года. Затем группа обсудила ряд вопросов о неразрушающих испытаниях, которые не были рассмотрены в ходе январского совещания и будут исследоваться по отдельности или в комплексе на одном из бу</w:t>
      </w:r>
      <w:r w:rsidR="00BC1DEB">
        <w:t>дущих совещаний.</w:t>
      </w:r>
    </w:p>
    <w:p w:rsidR="00F86787" w:rsidRPr="00BC1DEB" w:rsidRDefault="00F86787" w:rsidP="00F86787">
      <w:pPr>
        <w:pStyle w:val="SingleTxtGR"/>
      </w:pPr>
      <w:r w:rsidRPr="00F86787">
        <w:t>8.</w:t>
      </w:r>
      <w:r w:rsidRPr="00F86787">
        <w:tab/>
        <w:t xml:space="preserve">Среди других технических вопросов, рассмотренных группой, был также вопрос о том, допускает ли подраздел 9.1.2.1 отказ от первого осмотра транспортных средств EX, FL и AT и MEMU. Соединенное Королевство, возможно, представит  рабочий документ для рассмотрения WP.15. Группа также приняла решение о том, что Нидерланды представят Совместному совещанию два отдельных документа: один </w:t>
      </w:r>
      <w:r w:rsidR="00BC1DEB" w:rsidRPr="00BC1DEB">
        <w:t>–</w:t>
      </w:r>
      <w:r w:rsidRPr="00F86787">
        <w:t xml:space="preserve"> о давлении разрыва разрывных мембран согласно пункту 6.8.2.2.10 и второй </w:t>
      </w:r>
      <w:r w:rsidR="00BC1DEB" w:rsidRPr="00BC1DEB">
        <w:t>–</w:t>
      </w:r>
      <w:r w:rsidRPr="00F86787">
        <w:t xml:space="preserve"> о включении в пункт 6.8.2.2.3 положений о пламегасителях, устанавлива</w:t>
      </w:r>
      <w:r w:rsidR="00BC1DEB">
        <w:t>емых на дыхательные устройства.</w:t>
      </w:r>
    </w:p>
    <w:p w:rsidR="00F86787" w:rsidRPr="00F86787" w:rsidRDefault="00BC1DEB" w:rsidP="00BC1DEB">
      <w:pPr>
        <w:pStyle w:val="H4GR"/>
      </w:pPr>
      <w:r>
        <w:rPr>
          <w:lang w:val="en-US"/>
        </w:rPr>
        <w:tab/>
      </w:r>
      <w:r>
        <w:rPr>
          <w:lang w:val="en-US"/>
        </w:rPr>
        <w:tab/>
      </w:r>
      <w:r w:rsidR="00F86787" w:rsidRPr="00F86787">
        <w:t>Просьба о принятии мер, обращенная к Совместному совещанию</w:t>
      </w:r>
    </w:p>
    <w:p w:rsidR="00F86787" w:rsidRPr="00F86787" w:rsidRDefault="00F86787" w:rsidP="00F86787">
      <w:pPr>
        <w:pStyle w:val="SingleTxtGR"/>
      </w:pPr>
      <w:r w:rsidRPr="00F86787">
        <w:t>9.</w:t>
      </w:r>
      <w:r w:rsidRPr="00F86787">
        <w:tab/>
        <w:t>Для того чтобы неофициальная рабочая группа могла продолжить свою работу, требуется, чтобы Совместное совещание одобрило принципы, изложенные в пункте 5.</w:t>
      </w:r>
    </w:p>
    <w:p w:rsidR="00F86787" w:rsidRPr="00F86787" w:rsidRDefault="00BC1DEB" w:rsidP="00BC1DEB">
      <w:pPr>
        <w:pStyle w:val="H4GR"/>
      </w:pPr>
      <w:r>
        <w:rPr>
          <w:lang w:val="en-US"/>
        </w:rPr>
        <w:lastRenderedPageBreak/>
        <w:tab/>
      </w:r>
      <w:r>
        <w:rPr>
          <w:lang w:val="en-US"/>
        </w:rPr>
        <w:tab/>
      </w:r>
      <w:r w:rsidR="00F86787" w:rsidRPr="00F86787">
        <w:t>Предлагаемый план дальнейшей рабо</w:t>
      </w:r>
      <w:r>
        <w:t>ты неофициальной рабочей группы</w:t>
      </w:r>
      <w:r w:rsidRPr="00BC1DEB">
        <w:br/>
      </w:r>
      <w:r w:rsidR="00F86787" w:rsidRPr="00F86787">
        <w:t>по проверке и утверждению цистерн</w:t>
      </w:r>
    </w:p>
    <w:p w:rsidR="00F86787" w:rsidRPr="00F86787" w:rsidRDefault="00F86787" w:rsidP="00F86787">
      <w:pPr>
        <w:pStyle w:val="SingleTxtGR"/>
      </w:pPr>
      <w:r w:rsidRPr="00F86787">
        <w:t>10.</w:t>
      </w:r>
      <w:r w:rsidRPr="00F86787">
        <w:tab/>
        <w:t>В случае согласия Совместного совещания неофициальная рабочая группа намерена провести следующее совещание 17–19 мая 2017 года, на котором она, в частности:</w:t>
      </w:r>
    </w:p>
    <w:p w:rsidR="00F86787" w:rsidRPr="00F86787" w:rsidRDefault="00BC1DEB" w:rsidP="00F86787">
      <w:pPr>
        <w:pStyle w:val="SingleTxtGR"/>
      </w:pPr>
      <w:r>
        <w:rPr>
          <w:lang w:val="en-US"/>
        </w:rPr>
        <w:tab/>
      </w:r>
      <w:r w:rsidR="00F86787" w:rsidRPr="00F86787">
        <w:t>а)</w:t>
      </w:r>
      <w:r w:rsidR="00F86787" w:rsidRPr="00F86787">
        <w:tab/>
        <w:t>займется дальнейшей проработкой предложений по поправкам к разделам 1.8.6, 1.8.7 и 6.8.2 МПОГ/ДОПОГ, направленным на обеспечение большей согласованности между процедурами проверки и утверждения цистерн для веществ классов 3–9 и аналогичными процедурами для цистерн, предназначенных для веществ класса 2, на основе принципов, изложенных в пункте 5 выше. В них войдут предложения по совершенствованию процедур назначения и мониторинга проверяющих органов;</w:t>
      </w:r>
    </w:p>
    <w:p w:rsidR="00F86787" w:rsidRPr="00F86787" w:rsidRDefault="00BC1DEB" w:rsidP="00F86787">
      <w:pPr>
        <w:pStyle w:val="SingleTxtGR"/>
      </w:pPr>
      <w:r>
        <w:rPr>
          <w:lang w:val="en-US"/>
        </w:rPr>
        <w:tab/>
      </w:r>
      <w:r w:rsidR="00F86787" w:rsidRPr="00F86787">
        <w:t>b)</w:t>
      </w:r>
      <w:r w:rsidR="00F86787" w:rsidRPr="00F86787">
        <w:tab/>
        <w:t>подготовит для сессии Совместного совещания, которая состоится осенью 2017 года, рабочий документ с предложениями по поправкам к изданиям МПОГ и ДОПОГ 2019 года; и</w:t>
      </w:r>
    </w:p>
    <w:p w:rsidR="00A658DB" w:rsidRDefault="00BC1DEB" w:rsidP="00F86787">
      <w:pPr>
        <w:pStyle w:val="SingleTxtGR"/>
        <w:rPr>
          <w:lang w:val="en-US"/>
        </w:rPr>
      </w:pPr>
      <w:r>
        <w:rPr>
          <w:lang w:val="en-US"/>
        </w:rPr>
        <w:tab/>
      </w:r>
      <w:r w:rsidR="00F86787" w:rsidRPr="00F86787">
        <w:t>c)</w:t>
      </w:r>
      <w:r w:rsidR="00F86787" w:rsidRPr="00F86787">
        <w:tab/>
        <w:t>представит дополнительную информацию о технической работе, направленной на совершенствование требований к изготовлению и проверке цистерн.</w:t>
      </w:r>
    </w:p>
    <w:p w:rsidR="00BC1DEB" w:rsidRPr="00BC1DEB" w:rsidRDefault="00BC1DEB" w:rsidP="00BC1DEB">
      <w:pPr>
        <w:spacing w:before="240"/>
        <w:jc w:val="center"/>
        <w:rPr>
          <w:u w:val="single"/>
          <w:lang w:val="en-US"/>
        </w:rPr>
      </w:pPr>
      <w:r>
        <w:rPr>
          <w:u w:val="single"/>
          <w:lang w:val="en-US"/>
        </w:rPr>
        <w:tab/>
      </w:r>
      <w:r>
        <w:rPr>
          <w:u w:val="single"/>
          <w:lang w:val="en-US"/>
        </w:rPr>
        <w:tab/>
      </w:r>
      <w:r>
        <w:rPr>
          <w:u w:val="single"/>
          <w:lang w:val="en-US"/>
        </w:rPr>
        <w:tab/>
      </w:r>
    </w:p>
    <w:sectPr w:rsidR="00BC1DEB" w:rsidRPr="00BC1DEB" w:rsidSect="004D639B">
      <w:headerReference w:type="even" r:id="rId9"/>
      <w:headerReference w:type="default" r:id="rId10"/>
      <w:footerReference w:type="even" r:id="rId11"/>
      <w:footerReference w:type="defaul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43C" w:rsidRDefault="00E7743C" w:rsidP="00B471C5">
      <w:r>
        <w:separator/>
      </w:r>
    </w:p>
  </w:endnote>
  <w:endnote w:type="continuationSeparator" w:id="0">
    <w:p w:rsidR="00E7743C" w:rsidRDefault="00E7743C" w:rsidP="00B471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5EE" w:rsidRPr="009A6F4A" w:rsidRDefault="002634BB" w:rsidP="007005EE">
    <w:pPr>
      <w:pStyle w:val="Pieddepage"/>
      <w:rPr>
        <w:lang w:val="en-US"/>
      </w:rPr>
    </w:pPr>
    <w:r w:rsidRPr="00BA2D2B">
      <w:rPr>
        <w:b/>
        <w:sz w:val="18"/>
        <w:szCs w:val="18"/>
      </w:rPr>
      <w:fldChar w:fldCharType="begin"/>
    </w:r>
    <w:r w:rsidR="007005EE" w:rsidRPr="00BA2D2B">
      <w:rPr>
        <w:b/>
        <w:sz w:val="18"/>
        <w:szCs w:val="18"/>
      </w:rPr>
      <w:instrText xml:space="preserve"> PAGE  \* Arabic  \* MERGEFORMAT </w:instrText>
    </w:r>
    <w:r w:rsidRPr="00BA2D2B">
      <w:rPr>
        <w:b/>
        <w:sz w:val="18"/>
        <w:szCs w:val="18"/>
      </w:rPr>
      <w:fldChar w:fldCharType="separate"/>
    </w:r>
    <w:r w:rsidR="00844C04">
      <w:rPr>
        <w:b/>
        <w:noProof/>
        <w:sz w:val="18"/>
        <w:szCs w:val="18"/>
      </w:rPr>
      <w:t>4</w:t>
    </w:r>
    <w:r w:rsidRPr="00BA2D2B">
      <w:rPr>
        <w:b/>
        <w:sz w:val="18"/>
        <w:szCs w:val="18"/>
      </w:rPr>
      <w:fldChar w:fldCharType="end"/>
    </w:r>
    <w:r w:rsidR="007005EE">
      <w:rPr>
        <w:b/>
        <w:sz w:val="18"/>
        <w:szCs w:val="18"/>
      </w:rPr>
      <w:tab/>
    </w:r>
    <w:r w:rsidR="007005EE">
      <w:rPr>
        <w:lang w:val="en-US"/>
      </w:rPr>
      <w:t>GE.16-</w:t>
    </w:r>
    <w:r w:rsidR="00BC1DEB">
      <w:rPr>
        <w:lang w:val="en-US"/>
      </w:rPr>
      <w:t>22777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5EE" w:rsidRPr="009A6F4A" w:rsidRDefault="007005EE" w:rsidP="007005EE">
    <w:pPr>
      <w:pStyle w:val="Pieddepage"/>
      <w:rPr>
        <w:lang w:val="en-US"/>
      </w:rPr>
    </w:pPr>
    <w:r>
      <w:rPr>
        <w:lang w:val="en-US"/>
      </w:rPr>
      <w:t>GE.16-</w:t>
    </w:r>
    <w:r w:rsidR="00BC1DEB">
      <w:rPr>
        <w:lang w:val="en-US"/>
      </w:rPr>
      <w:t>22777</w:t>
    </w:r>
    <w:r>
      <w:rPr>
        <w:lang w:val="en-US"/>
      </w:rPr>
      <w:tab/>
    </w:r>
    <w:r w:rsidR="002634BB" w:rsidRPr="00BA2D2B">
      <w:rPr>
        <w:b/>
        <w:sz w:val="18"/>
        <w:szCs w:val="18"/>
      </w:rPr>
      <w:fldChar w:fldCharType="begin"/>
    </w:r>
    <w:r w:rsidRPr="00BA2D2B">
      <w:rPr>
        <w:b/>
        <w:sz w:val="18"/>
        <w:szCs w:val="18"/>
      </w:rPr>
      <w:instrText xml:space="preserve"> PAGE  \* Arabic  \* MERGEFORMAT </w:instrText>
    </w:r>
    <w:r w:rsidR="002634BB" w:rsidRPr="00BA2D2B">
      <w:rPr>
        <w:b/>
        <w:sz w:val="18"/>
        <w:szCs w:val="18"/>
      </w:rPr>
      <w:fldChar w:fldCharType="separate"/>
    </w:r>
    <w:r w:rsidR="00844C04">
      <w:rPr>
        <w:b/>
        <w:noProof/>
        <w:sz w:val="18"/>
        <w:szCs w:val="18"/>
      </w:rPr>
      <w:t>3</w:t>
    </w:r>
    <w:r w:rsidR="002634BB" w:rsidRPr="00BA2D2B">
      <w:rPr>
        <w:b/>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tblPr>
    <w:tblGrid>
      <w:gridCol w:w="3648"/>
      <w:gridCol w:w="5056"/>
      <w:gridCol w:w="972"/>
    </w:tblGrid>
    <w:tr w:rsidR="00A9606E" w:rsidRPr="00797A78" w:rsidTr="000B1FD5">
      <w:trPr>
        <w:trHeight w:val="431"/>
      </w:trPr>
      <w:tc>
        <w:tcPr>
          <w:tcW w:w="3648" w:type="dxa"/>
          <w:tcMar>
            <w:left w:w="57" w:type="dxa"/>
            <w:right w:w="57" w:type="dxa"/>
          </w:tcMar>
          <w:vAlign w:val="bottom"/>
        </w:tcPr>
        <w:p w:rsidR="00A9606E" w:rsidRPr="001C3ABC" w:rsidRDefault="00A9606E" w:rsidP="007B199D">
          <w:pPr>
            <w:spacing w:after="40"/>
            <w:rPr>
              <w:rFonts w:ascii="C39T30Lfz" w:hAnsi="C39T30Lfz"/>
              <w:spacing w:val="0"/>
              <w:w w:val="100"/>
              <w:kern w:val="0"/>
              <w:lang w:val="en-US" w:eastAsia="ru-RU"/>
            </w:rPr>
          </w:pPr>
          <w:r w:rsidRPr="001C3ABC">
            <w:rPr>
              <w:lang w:val="en-US"/>
            </w:rPr>
            <w:t>GE.16-</w:t>
          </w:r>
          <w:r w:rsidR="00BC1DEB">
            <w:rPr>
              <w:lang w:val="en-US"/>
            </w:rPr>
            <w:t xml:space="preserve">22777 </w:t>
          </w:r>
          <w:r w:rsidRPr="001C3ABC">
            <w:rPr>
              <w:lang w:val="en-US"/>
            </w:rPr>
            <w:t xml:space="preserve"> (R)</w:t>
          </w:r>
          <w:r w:rsidR="00BC1DEB">
            <w:rPr>
              <w:lang w:val="en-US"/>
            </w:rPr>
            <w:t xml:space="preserve">  060117  060117</w:t>
          </w:r>
        </w:p>
      </w:tc>
      <w:tc>
        <w:tcPr>
          <w:tcW w:w="5056" w:type="dxa"/>
          <w:vMerge w:val="restart"/>
          <w:tcMar>
            <w:left w:w="57" w:type="dxa"/>
            <w:right w:w="57" w:type="dxa"/>
          </w:tcMar>
          <w:vAlign w:val="bottom"/>
        </w:tcPr>
        <w:p w:rsidR="00A9606E" w:rsidRDefault="00A9606E" w:rsidP="007B199D">
          <w:pPr>
            <w:jc w:val="right"/>
          </w:pPr>
          <w:r>
            <w:rPr>
              <w:b/>
              <w:noProof/>
              <w:lang w:val="fr-FR" w:eastAsia="fr-FR"/>
            </w:rPr>
            <w:drawing>
              <wp:inline distT="0" distB="0" distL="0" distR="0">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972" w:type="dxa"/>
          <w:vMerge w:val="restart"/>
          <w:tcMar>
            <w:left w:w="57" w:type="dxa"/>
            <w:right w:w="0" w:type="dxa"/>
          </w:tcMar>
          <w:vAlign w:val="bottom"/>
        </w:tcPr>
        <w:p w:rsidR="00A9606E" w:rsidRDefault="00BC1DEB" w:rsidP="007B199D">
          <w:pPr>
            <w:jc w:val="right"/>
          </w:pPr>
          <w:r>
            <w:rPr>
              <w:noProof/>
              <w:lang w:val="fr-FR" w:eastAsia="fr-FR"/>
            </w:rPr>
            <w:drawing>
              <wp:inline distT="0" distB="0" distL="0" distR="0">
                <wp:extent cx="579120" cy="579120"/>
                <wp:effectExtent l="0" t="0" r="0" b="0"/>
                <wp:docPr id="3" name="Рисунок 3" descr="http://undocs.org/m2/QRCode.ashx?DS=ECE/TRANS/WP.15/AC.1/2017/22&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1/2017/22&amp;Size=2 &amp;Lang=R"/>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120" cy="579120"/>
                        </a:xfrm>
                        <a:prstGeom prst="rect">
                          <a:avLst/>
                        </a:prstGeom>
                        <a:noFill/>
                        <a:ln>
                          <a:noFill/>
                        </a:ln>
                      </pic:spPr>
                    </pic:pic>
                  </a:graphicData>
                </a:graphic>
              </wp:inline>
            </w:drawing>
          </w:r>
        </w:p>
      </w:tc>
    </w:tr>
    <w:tr w:rsidR="00A9606E" w:rsidRPr="00797A78" w:rsidTr="007B199D">
      <w:trPr>
        <w:trHeight w:hRule="exact" w:val="564"/>
      </w:trPr>
      <w:tc>
        <w:tcPr>
          <w:tcW w:w="3648" w:type="dxa"/>
          <w:tcMar>
            <w:left w:w="57" w:type="dxa"/>
            <w:right w:w="57" w:type="dxa"/>
          </w:tcMar>
          <w:vAlign w:val="bottom"/>
        </w:tcPr>
        <w:p w:rsidR="00A9606E" w:rsidRPr="00BC1DEB" w:rsidRDefault="00BC1DEB" w:rsidP="007B199D">
          <w:pPr>
            <w:spacing w:after="40"/>
            <w:rPr>
              <w:rFonts w:ascii="C39T30Lfz" w:hAnsi="C39T30Lfz"/>
              <w:spacing w:val="0"/>
              <w:w w:val="100"/>
              <w:kern w:val="0"/>
              <w:sz w:val="56"/>
              <w:szCs w:val="56"/>
              <w:lang w:val="en-US" w:eastAsia="ru-RU"/>
            </w:rPr>
          </w:pPr>
          <w:r w:rsidRPr="00BC1DEB">
            <w:rPr>
              <w:rFonts w:ascii="C39T30Lfz" w:hAnsi="C39T30Lfz"/>
              <w:spacing w:val="0"/>
              <w:w w:val="100"/>
              <w:kern w:val="0"/>
              <w:sz w:val="56"/>
              <w:szCs w:val="56"/>
              <w:lang w:val="en-US" w:eastAsia="ru-RU"/>
            </w:rPr>
            <w:t></w:t>
          </w:r>
          <w:r w:rsidRPr="00BC1DEB">
            <w:rPr>
              <w:rFonts w:ascii="C39T30Lfz" w:hAnsi="C39T30Lfz"/>
              <w:spacing w:val="0"/>
              <w:w w:val="100"/>
              <w:kern w:val="0"/>
              <w:sz w:val="56"/>
              <w:szCs w:val="56"/>
              <w:lang w:val="en-US" w:eastAsia="ru-RU"/>
            </w:rPr>
            <w:t></w:t>
          </w:r>
          <w:r w:rsidRPr="00BC1DEB">
            <w:rPr>
              <w:rFonts w:ascii="C39T30Lfz" w:hAnsi="C39T30Lfz"/>
              <w:spacing w:val="0"/>
              <w:w w:val="100"/>
              <w:kern w:val="0"/>
              <w:sz w:val="56"/>
              <w:szCs w:val="56"/>
              <w:lang w:val="en-US" w:eastAsia="ru-RU"/>
            </w:rPr>
            <w:t></w:t>
          </w:r>
          <w:r w:rsidRPr="00BC1DEB">
            <w:rPr>
              <w:rFonts w:ascii="C39T30Lfz" w:hAnsi="C39T30Lfz"/>
              <w:spacing w:val="0"/>
              <w:w w:val="100"/>
              <w:kern w:val="0"/>
              <w:sz w:val="56"/>
              <w:szCs w:val="56"/>
              <w:lang w:val="en-US" w:eastAsia="ru-RU"/>
            </w:rPr>
            <w:t></w:t>
          </w:r>
          <w:r w:rsidRPr="00BC1DEB">
            <w:rPr>
              <w:rFonts w:ascii="C39T30Lfz" w:hAnsi="C39T30Lfz"/>
              <w:spacing w:val="0"/>
              <w:w w:val="100"/>
              <w:kern w:val="0"/>
              <w:sz w:val="56"/>
              <w:szCs w:val="56"/>
              <w:lang w:val="en-US" w:eastAsia="ru-RU"/>
            </w:rPr>
            <w:t></w:t>
          </w:r>
          <w:r w:rsidRPr="00BC1DEB">
            <w:rPr>
              <w:rFonts w:ascii="C39T30Lfz" w:hAnsi="C39T30Lfz"/>
              <w:spacing w:val="0"/>
              <w:w w:val="100"/>
              <w:kern w:val="0"/>
              <w:sz w:val="56"/>
              <w:szCs w:val="56"/>
              <w:lang w:val="en-US" w:eastAsia="ru-RU"/>
            </w:rPr>
            <w:t></w:t>
          </w:r>
          <w:r w:rsidRPr="00BC1DEB">
            <w:rPr>
              <w:rFonts w:ascii="C39T30Lfz" w:hAnsi="C39T30Lfz"/>
              <w:spacing w:val="0"/>
              <w:w w:val="100"/>
              <w:kern w:val="0"/>
              <w:sz w:val="56"/>
              <w:szCs w:val="56"/>
              <w:lang w:val="en-US" w:eastAsia="ru-RU"/>
            </w:rPr>
            <w:t></w:t>
          </w:r>
          <w:r w:rsidRPr="00BC1DEB">
            <w:rPr>
              <w:rFonts w:ascii="C39T30Lfz" w:hAnsi="C39T30Lfz"/>
              <w:spacing w:val="0"/>
              <w:w w:val="100"/>
              <w:kern w:val="0"/>
              <w:sz w:val="56"/>
              <w:szCs w:val="56"/>
              <w:lang w:val="en-US" w:eastAsia="ru-RU"/>
            </w:rPr>
            <w:t></w:t>
          </w:r>
          <w:r w:rsidRPr="00BC1DEB">
            <w:rPr>
              <w:rFonts w:ascii="C39T30Lfz" w:hAnsi="C39T30Lfz"/>
              <w:spacing w:val="0"/>
              <w:w w:val="100"/>
              <w:kern w:val="0"/>
              <w:sz w:val="56"/>
              <w:szCs w:val="56"/>
              <w:lang w:val="en-US" w:eastAsia="ru-RU"/>
            </w:rPr>
            <w:t></w:t>
          </w:r>
        </w:p>
      </w:tc>
      <w:tc>
        <w:tcPr>
          <w:tcW w:w="5056" w:type="dxa"/>
          <w:vMerge/>
          <w:tcMar>
            <w:left w:w="57" w:type="dxa"/>
            <w:right w:w="57" w:type="dxa"/>
          </w:tcMar>
        </w:tcPr>
        <w:p w:rsidR="00A9606E" w:rsidRDefault="00A9606E" w:rsidP="007B199D"/>
      </w:tc>
      <w:tc>
        <w:tcPr>
          <w:tcW w:w="972" w:type="dxa"/>
          <w:vMerge/>
          <w:tcMar>
            <w:left w:w="57" w:type="dxa"/>
            <w:right w:w="57" w:type="dxa"/>
          </w:tcMar>
        </w:tcPr>
        <w:p w:rsidR="00A9606E" w:rsidRDefault="00A9606E" w:rsidP="007B199D"/>
      </w:tc>
    </w:tr>
  </w:tbl>
  <w:p w:rsidR="00A658DB" w:rsidRPr="007005EE" w:rsidRDefault="00A658DB" w:rsidP="004D639B">
    <w:pPr>
      <w:pStyle w:val="Pieddepage"/>
      <w:spacing w:line="240"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43C" w:rsidRPr="009141DC" w:rsidRDefault="00E7743C" w:rsidP="00D1261C">
      <w:pPr>
        <w:tabs>
          <w:tab w:val="left" w:pos="2268"/>
        </w:tabs>
        <w:spacing w:after="80"/>
        <w:ind w:left="680"/>
        <w:rPr>
          <w:u w:val="single"/>
          <w:lang w:val="en-US"/>
        </w:rPr>
      </w:pPr>
      <w:r>
        <w:rPr>
          <w:u w:val="single"/>
          <w:lang w:val="en-US"/>
        </w:rPr>
        <w:tab/>
      </w:r>
    </w:p>
  </w:footnote>
  <w:footnote w:type="continuationSeparator" w:id="0">
    <w:p w:rsidR="00E7743C" w:rsidRPr="00D1261C" w:rsidRDefault="00E7743C" w:rsidP="00D1261C">
      <w:pPr>
        <w:tabs>
          <w:tab w:val="left" w:pos="2268"/>
        </w:tabs>
        <w:spacing w:after="80"/>
        <w:rPr>
          <w:u w:val="single"/>
          <w:lang w:val="en-US"/>
        </w:rPr>
      </w:pPr>
      <w:r>
        <w:rPr>
          <w:u w:val="single"/>
          <w:lang w:val="en-US"/>
        </w:rPr>
        <w:tab/>
      </w:r>
    </w:p>
  </w:footnote>
  <w:footnote w:id="1">
    <w:p w:rsidR="00F86787" w:rsidRPr="00F86787" w:rsidRDefault="00F86787">
      <w:pPr>
        <w:pStyle w:val="Notedebasdepage"/>
        <w:rPr>
          <w:lang w:val="ru-RU"/>
        </w:rPr>
      </w:pPr>
      <w:r>
        <w:tab/>
      </w:r>
      <w:r w:rsidRPr="00F86787">
        <w:rPr>
          <w:rStyle w:val="Appelnotedebasdep"/>
          <w:vertAlign w:val="baseline"/>
          <w:lang w:val="ru-RU"/>
        </w:rPr>
        <w:t>*</w:t>
      </w:r>
      <w:r w:rsidRPr="00F86787">
        <w:rPr>
          <w:lang w:val="ru-RU"/>
        </w:rPr>
        <w:tab/>
        <w:t xml:space="preserve">В соответствии с программой работы Комитета по </w:t>
      </w:r>
      <w:r>
        <w:rPr>
          <w:lang w:val="ru-RU"/>
        </w:rPr>
        <w:t>внутреннему транспорту</w:t>
      </w:r>
      <w:r w:rsidRPr="00F86787">
        <w:rPr>
          <w:lang w:val="ru-RU"/>
        </w:rPr>
        <w:br/>
        <w:t>на 2016−2017 годы (ECE/TRANS/2016/28/Add.1 (9.2)).</w:t>
      </w:r>
    </w:p>
  </w:footnote>
  <w:footnote w:id="2">
    <w:p w:rsidR="00F86787" w:rsidRPr="00F86787" w:rsidRDefault="00F86787">
      <w:pPr>
        <w:pStyle w:val="Notedebasdepage"/>
        <w:rPr>
          <w:lang w:val="ru-RU"/>
        </w:rPr>
      </w:pPr>
      <w:r w:rsidRPr="00F86787">
        <w:rPr>
          <w:lang w:val="ru-RU"/>
        </w:rPr>
        <w:tab/>
      </w:r>
      <w:r w:rsidRPr="00F86787">
        <w:rPr>
          <w:rStyle w:val="Appelnotedebasdep"/>
          <w:vertAlign w:val="baseline"/>
          <w:lang w:val="ru-RU"/>
        </w:rPr>
        <w:t>**</w:t>
      </w:r>
      <w:r w:rsidRPr="00F86787">
        <w:rPr>
          <w:lang w:val="ru-RU"/>
        </w:rPr>
        <w:tab/>
      </w:r>
      <w:r w:rsidRPr="00F86787">
        <w:rPr>
          <w:lang w:val="ru-RU"/>
        </w:rPr>
        <w:t>Распространен Межправительственной организацией по международным железнодорожным перевозкам (ОТИФ) под условным обозначением OTIF/RID/RC/2017/22.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8DB" w:rsidRPr="007005EE" w:rsidRDefault="007005EE">
    <w:pPr>
      <w:pStyle w:val="En-tte"/>
      <w:rPr>
        <w:lang w:val="en-US"/>
      </w:rPr>
    </w:pPr>
    <w:r>
      <w:rPr>
        <w:lang w:val="en-US"/>
      </w:rPr>
      <w:t>ECE/</w:t>
    </w:r>
    <w:r w:rsidR="00BC1DEB">
      <w:rPr>
        <w:lang w:val="en-US"/>
      </w:rPr>
      <w:t>TRANS/WP.15/AC.1/2017/22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DEB" w:rsidRPr="00BC1DEB" w:rsidRDefault="00BC1DEB" w:rsidP="00BC1DEB">
    <w:pPr>
      <w:pStyle w:val="En-tte"/>
      <w:jc w:val="right"/>
      <w:rPr>
        <w:lang w:val="en-US"/>
      </w:rPr>
    </w:pPr>
    <w:r w:rsidRPr="00BC1DEB">
      <w:rPr>
        <w:lang w:val="en-US"/>
      </w:rPr>
      <w:t>ECE/TRANS/WP.15/AC.1/2017/22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attachedTemplate r:id="rId1"/>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DF12B3"/>
    <w:rsid w:val="000450D1"/>
    <w:rsid w:val="000B1FD5"/>
    <w:rsid w:val="000F2A4F"/>
    <w:rsid w:val="00100E9A"/>
    <w:rsid w:val="00200A47"/>
    <w:rsid w:val="00203F84"/>
    <w:rsid w:val="002634BB"/>
    <w:rsid w:val="00266292"/>
    <w:rsid w:val="00275188"/>
    <w:rsid w:val="0028687D"/>
    <w:rsid w:val="002B091C"/>
    <w:rsid w:val="002B3D40"/>
    <w:rsid w:val="002C6099"/>
    <w:rsid w:val="002D0CCB"/>
    <w:rsid w:val="00345C79"/>
    <w:rsid w:val="00366A39"/>
    <w:rsid w:val="0048005C"/>
    <w:rsid w:val="004D639B"/>
    <w:rsid w:val="004E242B"/>
    <w:rsid w:val="00544379"/>
    <w:rsid w:val="00553EB9"/>
    <w:rsid w:val="00566944"/>
    <w:rsid w:val="005D56BF"/>
    <w:rsid w:val="0062027E"/>
    <w:rsid w:val="00643644"/>
    <w:rsid w:val="00665D8D"/>
    <w:rsid w:val="006A7A3B"/>
    <w:rsid w:val="006B6B57"/>
    <w:rsid w:val="006F49F1"/>
    <w:rsid w:val="007005EE"/>
    <w:rsid w:val="00705394"/>
    <w:rsid w:val="00743F62"/>
    <w:rsid w:val="00760D3A"/>
    <w:rsid w:val="00773BA8"/>
    <w:rsid w:val="007A1F42"/>
    <w:rsid w:val="007D76DD"/>
    <w:rsid w:val="00832EAE"/>
    <w:rsid w:val="00844C04"/>
    <w:rsid w:val="008717E8"/>
    <w:rsid w:val="008D01AE"/>
    <w:rsid w:val="008E0423"/>
    <w:rsid w:val="009141DC"/>
    <w:rsid w:val="009174A1"/>
    <w:rsid w:val="0098674D"/>
    <w:rsid w:val="00997ACA"/>
    <w:rsid w:val="00A03FB7"/>
    <w:rsid w:val="00A55C56"/>
    <w:rsid w:val="00A658DB"/>
    <w:rsid w:val="00A75A11"/>
    <w:rsid w:val="00A9606E"/>
    <w:rsid w:val="00AD7EAD"/>
    <w:rsid w:val="00B35A32"/>
    <w:rsid w:val="00B432C6"/>
    <w:rsid w:val="00B471C5"/>
    <w:rsid w:val="00B6474A"/>
    <w:rsid w:val="00BC1DEB"/>
    <w:rsid w:val="00BE1742"/>
    <w:rsid w:val="00D1261C"/>
    <w:rsid w:val="00D26030"/>
    <w:rsid w:val="00D75DCE"/>
    <w:rsid w:val="00DD35AC"/>
    <w:rsid w:val="00DD479F"/>
    <w:rsid w:val="00DF12B3"/>
    <w:rsid w:val="00E15E48"/>
    <w:rsid w:val="00E7743C"/>
    <w:rsid w:val="00EB0723"/>
    <w:rsid w:val="00EB2957"/>
    <w:rsid w:val="00EE6F37"/>
    <w:rsid w:val="00F1599F"/>
    <w:rsid w:val="00F31EF2"/>
    <w:rsid w:val="00F66044"/>
    <w:rsid w:val="00F8678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Titre1">
    <w:name w:val="heading 1"/>
    <w:aliases w:val="Table_GR"/>
    <w:basedOn w:val="Normal"/>
    <w:next w:val="Normal"/>
    <w:link w:val="Titre1Car"/>
    <w:qFormat/>
    <w:rsid w:val="00BE1742"/>
    <w:pPr>
      <w:keepNext/>
      <w:tabs>
        <w:tab w:val="left" w:pos="567"/>
      </w:tabs>
      <w:jc w:val="both"/>
      <w:outlineLvl w:val="0"/>
    </w:pPr>
    <w:rPr>
      <w:rFonts w:cs="Arial"/>
      <w:b/>
      <w:bCs/>
      <w:szCs w:val="32"/>
      <w:lang w:eastAsia="ru-RU"/>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auNormal"/>
    <w:rsid w:val="00EB2957"/>
    <w:pPr>
      <w:spacing w:before="40" w:after="40" w:line="220" w:lineRule="exact"/>
      <w:jc w:val="right"/>
    </w:pPr>
    <w:rPr>
      <w:rFonts w:ascii="Times New Roman" w:eastAsia="Times New Roman" w:hAnsi="Times New Roman" w:cs="Times New Roman"/>
      <w:sz w:val="18"/>
      <w:szCs w:val="20"/>
      <w:lang w:eastAsia="ru-RU"/>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Row">
      <w:pPr>
        <w:wordWrap/>
        <w:spacing w:beforeLines="0" w:beforeAutospacing="0" w:afterLines="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auNormal"/>
    <w:rsid w:val="00BE1742"/>
    <w:pPr>
      <w:spacing w:before="40" w:after="120" w:line="240" w:lineRule="atLeast"/>
    </w:pPr>
    <w:rPr>
      <w:rFonts w:ascii="Times New Roman" w:eastAsia="Times New Roman" w:hAnsi="Times New Roman" w:cs="Times New Roman"/>
      <w:sz w:val="20"/>
      <w:szCs w:val="20"/>
      <w:lang w:eastAsia="ru-RU"/>
    </w:r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En-tte">
    <w:name w:val="header"/>
    <w:aliases w:val="6_GR"/>
    <w:basedOn w:val="Normal"/>
    <w:next w:val="Normal"/>
    <w:link w:val="En-tteCar"/>
    <w:qFormat/>
    <w:rsid w:val="00BE1742"/>
    <w:pPr>
      <w:pBdr>
        <w:bottom w:val="single" w:sz="4" w:space="4" w:color="auto"/>
      </w:pBdr>
      <w:tabs>
        <w:tab w:val="right" w:pos="9639"/>
      </w:tabs>
      <w:suppressAutoHyphens/>
    </w:pPr>
    <w:rPr>
      <w:b/>
      <w:sz w:val="18"/>
      <w:lang w:val="en-GB" w:eastAsia="ru-RU"/>
    </w:rPr>
  </w:style>
  <w:style w:type="character" w:customStyle="1" w:styleId="En-tteCar">
    <w:name w:val="En-tête Car"/>
    <w:aliases w:val="6_GR Car"/>
    <w:basedOn w:val="Policepardfaut"/>
    <w:link w:val="En-tte"/>
    <w:rsid w:val="00BE1742"/>
    <w:rPr>
      <w:rFonts w:ascii="Times New Roman" w:eastAsia="Times New Roman" w:hAnsi="Times New Roman" w:cs="Times New Roman"/>
      <w:b/>
      <w:sz w:val="18"/>
      <w:szCs w:val="20"/>
      <w:lang w:val="en-GB" w:eastAsia="ru-RU"/>
    </w:rPr>
  </w:style>
  <w:style w:type="character" w:customStyle="1" w:styleId="Titre1Car">
    <w:name w:val="Titre 1 Car"/>
    <w:aliases w:val="Table_GR Car"/>
    <w:basedOn w:val="Policepardfaut"/>
    <w:link w:val="Titre1"/>
    <w:rsid w:val="00BE1742"/>
    <w:rPr>
      <w:rFonts w:ascii="Times New Roman" w:eastAsia="Times New Roman" w:hAnsi="Times New Roman" w:cs="Arial"/>
      <w:b/>
      <w:bCs/>
      <w:spacing w:val="4"/>
      <w:w w:val="103"/>
      <w:kern w:val="14"/>
      <w:sz w:val="20"/>
      <w:szCs w:val="32"/>
      <w:lang w:eastAsia="ru-RU"/>
    </w:rPr>
  </w:style>
  <w:style w:type="character" w:styleId="Appeldenotedefin">
    <w:name w:val="endnote reference"/>
    <w:aliases w:val="1_GR"/>
    <w:basedOn w:val="Appelnotedebasdep"/>
    <w:qFormat/>
    <w:rsid w:val="00BE1742"/>
    <w:rPr>
      <w:rFonts w:ascii="Times New Roman" w:hAnsi="Times New Roman"/>
      <w:dstrike w:val="0"/>
      <w:sz w:val="18"/>
      <w:vertAlign w:val="superscript"/>
    </w:rPr>
  </w:style>
  <w:style w:type="character" w:styleId="Appelnotedebasdep">
    <w:name w:val="footnote reference"/>
    <w:aliases w:val="4_GR"/>
    <w:basedOn w:val="Policepardfaut"/>
    <w:qFormat/>
    <w:rsid w:val="00BE1742"/>
    <w:rPr>
      <w:rFonts w:ascii="Times New Roman" w:hAnsi="Times New Roman"/>
      <w:dstrike w:val="0"/>
      <w:sz w:val="18"/>
      <w:vertAlign w:val="superscript"/>
    </w:rPr>
  </w:style>
  <w:style w:type="paragraph" w:styleId="Pieddepage">
    <w:name w:val="footer"/>
    <w:aliases w:val="3_GR"/>
    <w:basedOn w:val="Normal"/>
    <w:link w:val="PieddepageCar"/>
    <w:qFormat/>
    <w:rsid w:val="00BE1742"/>
    <w:pPr>
      <w:tabs>
        <w:tab w:val="right" w:pos="9639"/>
      </w:tabs>
      <w:suppressAutoHyphens/>
    </w:pPr>
    <w:rPr>
      <w:sz w:val="16"/>
      <w:lang w:val="en-GB" w:eastAsia="ru-RU"/>
    </w:rPr>
  </w:style>
  <w:style w:type="character" w:customStyle="1" w:styleId="PieddepageCar">
    <w:name w:val="Pied de page Car"/>
    <w:aliases w:val="3_GR Car"/>
    <w:basedOn w:val="Policepardfaut"/>
    <w:link w:val="Pieddepage"/>
    <w:rsid w:val="00BE1742"/>
    <w:rPr>
      <w:rFonts w:ascii="Times New Roman" w:eastAsia="Times New Roman" w:hAnsi="Times New Roman" w:cs="Times New Roman"/>
      <w:sz w:val="16"/>
      <w:szCs w:val="20"/>
      <w:lang w:val="en-GB" w:eastAsia="ru-RU"/>
    </w:rPr>
  </w:style>
  <w:style w:type="character" w:styleId="Numrodepage">
    <w:name w:val="page number"/>
    <w:aliases w:val="7_GR"/>
    <w:basedOn w:val="Policepardfaut"/>
    <w:qFormat/>
    <w:rsid w:val="00BE1742"/>
    <w:rPr>
      <w:rFonts w:ascii="Times New Roman" w:hAnsi="Times New Roman"/>
      <w:b/>
      <w:sz w:val="18"/>
    </w:rPr>
  </w:style>
  <w:style w:type="paragraph" w:styleId="Notedebasdepage">
    <w:name w:val="footnote text"/>
    <w:aliases w:val="5_GR"/>
    <w:basedOn w:val="Normal"/>
    <w:link w:val="NotedebasdepageC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NotedebasdepageCar">
    <w:name w:val="Note de bas de page Car"/>
    <w:aliases w:val="5_GR Car"/>
    <w:basedOn w:val="Policepardfaut"/>
    <w:link w:val="Notedebasdepage"/>
    <w:rsid w:val="00BE1742"/>
    <w:rPr>
      <w:rFonts w:ascii="Times New Roman" w:eastAsia="Times New Roman" w:hAnsi="Times New Roman" w:cs="Times New Roman"/>
      <w:spacing w:val="5"/>
      <w:w w:val="104"/>
      <w:kern w:val="14"/>
      <w:sz w:val="18"/>
      <w:szCs w:val="20"/>
      <w:lang w:val="en-GB" w:eastAsia="ru-RU"/>
    </w:rPr>
  </w:style>
  <w:style w:type="paragraph" w:styleId="Notedefin">
    <w:name w:val="endnote text"/>
    <w:aliases w:val="2_GR"/>
    <w:basedOn w:val="Notedebasdepage"/>
    <w:link w:val="NotedefinCar"/>
    <w:qFormat/>
    <w:rsid w:val="00BE1742"/>
  </w:style>
  <w:style w:type="character" w:customStyle="1" w:styleId="NotedefinCar">
    <w:name w:val="Note de fin Car"/>
    <w:aliases w:val="2_GR Car"/>
    <w:basedOn w:val="Policepardfaut"/>
    <w:link w:val="Notedefin"/>
    <w:rsid w:val="00BE1742"/>
    <w:rPr>
      <w:rFonts w:ascii="Times New Roman" w:eastAsia="Times New Roman" w:hAnsi="Times New Roman" w:cs="Times New Roman"/>
      <w:spacing w:val="5"/>
      <w:w w:val="104"/>
      <w:kern w:val="14"/>
      <w:sz w:val="18"/>
      <w:szCs w:val="20"/>
      <w:lang w:val="en-GB" w:eastAsia="ru-RU"/>
    </w:rPr>
  </w:style>
  <w:style w:type="table" w:styleId="Grilledutableau">
    <w:name w:val="Table Grid"/>
    <w:basedOn w:val="TableauNormal"/>
    <w:rsid w:val="007A1F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F12B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12B3"/>
    <w:rPr>
      <w:rFonts w:ascii="Tahoma" w:eastAsia="Times New Roman" w:hAnsi="Tahoma" w:cs="Tahoma"/>
      <w:spacing w:val="4"/>
      <w:w w:val="103"/>
      <w:kern w:val="14"/>
      <w:sz w:val="16"/>
      <w:szCs w:val="16"/>
    </w:rPr>
  </w:style>
  <w:style w:type="paragraph" w:styleId="Commentaire">
    <w:name w:val="annotation text"/>
    <w:basedOn w:val="Normal"/>
    <w:link w:val="CommentaireCar"/>
    <w:uiPriority w:val="99"/>
    <w:semiHidden/>
    <w:unhideWhenUsed/>
    <w:rsid w:val="00F86787"/>
    <w:pPr>
      <w:spacing w:line="240" w:lineRule="auto"/>
    </w:pPr>
  </w:style>
  <w:style w:type="character" w:customStyle="1" w:styleId="CommentaireCar">
    <w:name w:val="Commentaire Car"/>
    <w:basedOn w:val="Policepardfaut"/>
    <w:link w:val="Commentaire"/>
    <w:uiPriority w:val="99"/>
    <w:semiHidden/>
    <w:rsid w:val="00F86787"/>
    <w:rPr>
      <w:rFonts w:ascii="Times New Roman" w:eastAsia="Times New Roman" w:hAnsi="Times New Roman" w:cs="Times New Roman"/>
      <w:spacing w:val="4"/>
      <w:w w:val="103"/>
      <w:kern w:val="1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R"/>
    <w:basedOn w:val="a"/>
    <w:next w:val="a"/>
    <w:link w:val="10"/>
    <w:qFormat/>
    <w:rsid w:val="00BE1742"/>
    <w:pPr>
      <w:keepNext/>
      <w:tabs>
        <w:tab w:val="left" w:pos="567"/>
      </w:tabs>
      <w:jc w:val="both"/>
      <w:outlineLvl w:val="0"/>
    </w:pPr>
    <w:rPr>
      <w:rFonts w:cs="Arial"/>
      <w:b/>
      <w:bCs/>
      <w:szCs w:val="3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R">
    <w:name w:val="_ H __M_GR"/>
    <w:basedOn w:val="a"/>
    <w:next w:val="a"/>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a"/>
    <w:next w:val="a"/>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a"/>
    <w:next w:val="a"/>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
    <w:next w:val="a"/>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
    <w:next w:val="a"/>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a"/>
    <w:next w:val="a"/>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a"/>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a"/>
    <w:next w:val="a"/>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a"/>
    <w:next w:val="a"/>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a"/>
    <w:qFormat/>
    <w:rsid w:val="00BE1742"/>
    <w:pPr>
      <w:numPr>
        <w:numId w:val="1"/>
      </w:numPr>
      <w:spacing w:after="120"/>
      <w:ind w:right="1134"/>
      <w:jc w:val="both"/>
    </w:pPr>
    <w:rPr>
      <w:lang w:eastAsia="ru-RU"/>
    </w:rPr>
  </w:style>
  <w:style w:type="paragraph" w:customStyle="1" w:styleId="Bullet2GR">
    <w:name w:val="_Bullet 2_GR"/>
    <w:basedOn w:val="a"/>
    <w:qFormat/>
    <w:rsid w:val="00BE1742"/>
    <w:pPr>
      <w:numPr>
        <w:numId w:val="2"/>
      </w:numPr>
      <w:spacing w:after="120"/>
      <w:ind w:right="1134"/>
      <w:jc w:val="both"/>
    </w:pPr>
    <w:rPr>
      <w:lang w:eastAsia="ru-RU"/>
    </w:rPr>
  </w:style>
  <w:style w:type="paragraph" w:customStyle="1" w:styleId="ParaNoGR">
    <w:name w:val="_ParaNo._GR"/>
    <w:basedOn w:val="a"/>
    <w:next w:val="a"/>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a1"/>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R"/>
    <w:basedOn w:val="a"/>
    <w:next w:val="a"/>
    <w:link w:val="a4"/>
    <w:qFormat/>
    <w:rsid w:val="00BE1742"/>
    <w:pPr>
      <w:pBdr>
        <w:bottom w:val="single" w:sz="4" w:space="4" w:color="auto"/>
      </w:pBdr>
      <w:tabs>
        <w:tab w:val="right" w:pos="9639"/>
      </w:tabs>
      <w:suppressAutoHyphens/>
    </w:pPr>
    <w:rPr>
      <w:b/>
      <w:sz w:val="18"/>
      <w:lang w:val="en-GB" w:eastAsia="ru-RU"/>
    </w:rPr>
  </w:style>
  <w:style w:type="character" w:customStyle="1" w:styleId="a4">
    <w:name w:val="Верхний колонтитул Знак"/>
    <w:aliases w:val="6_GR Знак"/>
    <w:basedOn w:val="a0"/>
    <w:link w:val="a3"/>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
    <w:basedOn w:val="a0"/>
    <w:link w:val="1"/>
    <w:rsid w:val="00BE1742"/>
    <w:rPr>
      <w:rFonts w:ascii="Times New Roman" w:eastAsia="Times New Roman" w:hAnsi="Times New Roman" w:cs="Arial"/>
      <w:b/>
      <w:bCs/>
      <w:spacing w:val="4"/>
      <w:w w:val="103"/>
      <w:kern w:val="14"/>
      <w:sz w:val="20"/>
      <w:szCs w:val="32"/>
      <w:lang w:eastAsia="ru-RU"/>
    </w:rPr>
  </w:style>
  <w:style w:type="character" w:styleId="a5">
    <w:name w:val="endnote reference"/>
    <w:aliases w:val="1_GR"/>
    <w:basedOn w:val="a6"/>
    <w:qFormat/>
    <w:rsid w:val="00BE1742"/>
    <w:rPr>
      <w:rFonts w:ascii="Times New Roman" w:hAnsi="Times New Roman"/>
      <w:dstrike w:val="0"/>
      <w:sz w:val="18"/>
      <w:vertAlign w:val="superscript"/>
    </w:rPr>
  </w:style>
  <w:style w:type="character" w:styleId="a6">
    <w:name w:val="footnote reference"/>
    <w:aliases w:val="4_GR"/>
    <w:basedOn w:val="a0"/>
    <w:qFormat/>
    <w:rsid w:val="00BE1742"/>
    <w:rPr>
      <w:rFonts w:ascii="Times New Roman" w:hAnsi="Times New Roman"/>
      <w:dstrike w:val="0"/>
      <w:sz w:val="18"/>
      <w:vertAlign w:val="superscript"/>
    </w:rPr>
  </w:style>
  <w:style w:type="paragraph" w:styleId="a7">
    <w:name w:val="footer"/>
    <w:aliases w:val="3_GR"/>
    <w:basedOn w:val="a"/>
    <w:link w:val="a8"/>
    <w:qFormat/>
    <w:rsid w:val="00BE1742"/>
    <w:pPr>
      <w:tabs>
        <w:tab w:val="right" w:pos="9639"/>
      </w:tabs>
      <w:suppressAutoHyphens/>
    </w:pPr>
    <w:rPr>
      <w:sz w:val="16"/>
      <w:lang w:val="en-GB" w:eastAsia="ru-RU"/>
    </w:rPr>
  </w:style>
  <w:style w:type="character" w:customStyle="1" w:styleId="a8">
    <w:name w:val="Нижний колонтитул Знак"/>
    <w:aliases w:val="3_GR Знак"/>
    <w:basedOn w:val="a0"/>
    <w:link w:val="a7"/>
    <w:rsid w:val="00BE1742"/>
    <w:rPr>
      <w:rFonts w:ascii="Times New Roman" w:eastAsia="Times New Roman" w:hAnsi="Times New Roman" w:cs="Times New Roman"/>
      <w:sz w:val="16"/>
      <w:szCs w:val="20"/>
      <w:lang w:val="en-GB" w:eastAsia="ru-RU"/>
    </w:rPr>
  </w:style>
  <w:style w:type="character" w:styleId="a9">
    <w:name w:val="page number"/>
    <w:aliases w:val="7_GR"/>
    <w:basedOn w:val="a0"/>
    <w:qFormat/>
    <w:rsid w:val="00BE1742"/>
    <w:rPr>
      <w:rFonts w:ascii="Times New Roman" w:hAnsi="Times New Roman"/>
      <w:b/>
      <w:sz w:val="18"/>
    </w:rPr>
  </w:style>
  <w:style w:type="paragraph" w:styleId="aa">
    <w:name w:val="footnote text"/>
    <w:aliases w:val="5_GR"/>
    <w:basedOn w:val="a"/>
    <w:link w:val="ab"/>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ab">
    <w:name w:val="Текст сноски Знак"/>
    <w:aliases w:val="5_GR Знак"/>
    <w:basedOn w:val="a0"/>
    <w:link w:val="aa"/>
    <w:rsid w:val="00BE1742"/>
    <w:rPr>
      <w:rFonts w:ascii="Times New Roman" w:eastAsia="Times New Roman" w:hAnsi="Times New Roman" w:cs="Times New Roman"/>
      <w:spacing w:val="5"/>
      <w:w w:val="104"/>
      <w:kern w:val="14"/>
      <w:sz w:val="18"/>
      <w:szCs w:val="20"/>
      <w:lang w:val="en-GB" w:eastAsia="ru-RU"/>
    </w:rPr>
  </w:style>
  <w:style w:type="paragraph" w:styleId="ac">
    <w:name w:val="endnote text"/>
    <w:aliases w:val="2_GR"/>
    <w:basedOn w:val="aa"/>
    <w:link w:val="ad"/>
    <w:qFormat/>
    <w:rsid w:val="00BE1742"/>
  </w:style>
  <w:style w:type="character" w:customStyle="1" w:styleId="ad">
    <w:name w:val="Текст концевой сноски Знак"/>
    <w:aliases w:val="2_GR Знак"/>
    <w:basedOn w:val="a0"/>
    <w:link w:val="ac"/>
    <w:rsid w:val="00BE1742"/>
    <w:rPr>
      <w:rFonts w:ascii="Times New Roman" w:eastAsia="Times New Roman" w:hAnsi="Times New Roman" w:cs="Times New Roman"/>
      <w:spacing w:val="5"/>
      <w:w w:val="104"/>
      <w:kern w:val="14"/>
      <w:sz w:val="18"/>
      <w:szCs w:val="20"/>
      <w:lang w:val="en-GB" w:eastAsia="ru-RU"/>
    </w:rPr>
  </w:style>
  <w:style w:type="table" w:styleId="ae">
    <w:name w:val="Table Grid"/>
    <w:basedOn w:val="a1"/>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DF12B3"/>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F12B3"/>
    <w:rPr>
      <w:rFonts w:ascii="Tahoma" w:eastAsia="Times New Roman" w:hAnsi="Tahoma" w:cs="Tahoma"/>
      <w:spacing w:val="4"/>
      <w:w w:val="103"/>
      <w:kern w:val="14"/>
      <w:sz w:val="16"/>
      <w:szCs w:val="16"/>
    </w:rPr>
  </w:style>
  <w:style w:type="paragraph" w:styleId="af1">
    <w:name w:val="annotation text"/>
    <w:basedOn w:val="a"/>
    <w:link w:val="af2"/>
    <w:uiPriority w:val="99"/>
    <w:semiHidden/>
    <w:unhideWhenUsed/>
    <w:rsid w:val="00F86787"/>
    <w:pPr>
      <w:spacing w:line="240" w:lineRule="auto"/>
    </w:pPr>
  </w:style>
  <w:style w:type="character" w:customStyle="1" w:styleId="af2">
    <w:name w:val="Текст примечания Знак"/>
    <w:basedOn w:val="a0"/>
    <w:link w:val="af1"/>
    <w:uiPriority w:val="99"/>
    <w:semiHidden/>
    <w:rsid w:val="00F86787"/>
    <w:rPr>
      <w:rFonts w:ascii="Times New Roman" w:eastAsia="Times New Roman" w:hAnsi="Times New Roman" w:cs="Times New Roman"/>
      <w:spacing w:val="4"/>
      <w:w w:val="103"/>
      <w:kern w:val="14"/>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2EF45-2E11-458E-908E-E14C7B970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0</TotalTime>
  <Pages>4</Pages>
  <Words>1278</Words>
  <Characters>7031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DCM</Company>
  <LinksUpToDate>false</LinksUpToDate>
  <CharactersWithSpaces>8293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Kisseleva</dc:creator>
  <cp:lastModifiedBy>Maison</cp:lastModifiedBy>
  <cp:revision>2</cp:revision>
  <cp:lastPrinted>2017-01-06T15:44:00Z</cp:lastPrinted>
  <dcterms:created xsi:type="dcterms:W3CDTF">2017-02-09T13:10:00Z</dcterms:created>
  <dcterms:modified xsi:type="dcterms:W3CDTF">2017-02-09T13:10:00Z</dcterms:modified>
</cp:coreProperties>
</file>