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76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76F2" w:rsidP="007F76F2">
            <w:pPr>
              <w:jc w:val="right"/>
            </w:pPr>
            <w:r w:rsidRPr="007F76F2">
              <w:rPr>
                <w:sz w:val="40"/>
              </w:rPr>
              <w:t>ECE</w:t>
            </w:r>
            <w:r>
              <w:t>/TRANS/WP.15/AC.1/2017/27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B29B08" wp14:editId="73F254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76F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76F2" w:rsidRDefault="007F76F2" w:rsidP="007F76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7F76F2" w:rsidRDefault="007F76F2" w:rsidP="007F76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76F2" w:rsidRPr="00D62A45" w:rsidRDefault="007F76F2" w:rsidP="007F76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7F76F2" w:rsidRPr="007F76F2" w:rsidRDefault="007F76F2" w:rsidP="007F76F2">
      <w:pPr>
        <w:spacing w:before="120"/>
        <w:rPr>
          <w:b/>
          <w:sz w:val="28"/>
          <w:szCs w:val="28"/>
        </w:rPr>
      </w:pPr>
      <w:r w:rsidRPr="007F76F2">
        <w:rPr>
          <w:b/>
          <w:sz w:val="28"/>
          <w:szCs w:val="28"/>
        </w:rPr>
        <w:t>Европейская экономическая комиссия</w:t>
      </w:r>
    </w:p>
    <w:p w:rsidR="007F76F2" w:rsidRPr="007F76F2" w:rsidRDefault="007F76F2" w:rsidP="007F76F2">
      <w:pPr>
        <w:spacing w:before="120"/>
        <w:rPr>
          <w:sz w:val="28"/>
          <w:szCs w:val="28"/>
        </w:rPr>
      </w:pPr>
      <w:r w:rsidRPr="007F76F2">
        <w:rPr>
          <w:sz w:val="28"/>
          <w:szCs w:val="28"/>
        </w:rPr>
        <w:t>Комитет по внутреннему транспорту</w:t>
      </w:r>
    </w:p>
    <w:p w:rsidR="007F76F2" w:rsidRPr="007F76F2" w:rsidRDefault="007F76F2" w:rsidP="007F76F2">
      <w:pPr>
        <w:spacing w:before="120"/>
        <w:rPr>
          <w:b/>
          <w:sz w:val="24"/>
          <w:szCs w:val="24"/>
        </w:rPr>
      </w:pPr>
      <w:r w:rsidRPr="007F76F2">
        <w:rPr>
          <w:b/>
          <w:sz w:val="24"/>
          <w:szCs w:val="24"/>
        </w:rPr>
        <w:t>Рабочая группа по перевозкам опасных грузов</w:t>
      </w:r>
    </w:p>
    <w:p w:rsidR="007F76F2" w:rsidRPr="007F76F2" w:rsidRDefault="007F76F2" w:rsidP="007F76F2">
      <w:pPr>
        <w:spacing w:before="120"/>
        <w:rPr>
          <w:b/>
        </w:rPr>
      </w:pPr>
      <w:r w:rsidRPr="007F76F2">
        <w:rPr>
          <w:b/>
        </w:rPr>
        <w:t>Совместное совещание Комиссии экспертов МПОГ</w:t>
      </w:r>
      <w:r w:rsidRPr="007F76F2">
        <w:rPr>
          <w:b/>
        </w:rPr>
        <w:br/>
        <w:t>и Рабочей группы по перевозкам опасных грузов</w:t>
      </w:r>
    </w:p>
    <w:p w:rsidR="007F76F2" w:rsidRPr="007F76F2" w:rsidRDefault="007F76F2" w:rsidP="007F76F2">
      <w:r w:rsidRPr="007F76F2">
        <w:t>Женева, 19–29 сентября 2017 года</w:t>
      </w:r>
    </w:p>
    <w:p w:rsidR="007F76F2" w:rsidRPr="007F76F2" w:rsidRDefault="007F76F2" w:rsidP="007F76F2">
      <w:r w:rsidRPr="007F76F2">
        <w:t>Пункт 5 b) предварительной повестки дня</w:t>
      </w:r>
    </w:p>
    <w:p w:rsidR="007F76F2" w:rsidRPr="007F76F2" w:rsidRDefault="007F76F2" w:rsidP="007F76F2">
      <w:pPr>
        <w:rPr>
          <w:b/>
        </w:rPr>
      </w:pPr>
      <w:r w:rsidRPr="007F76F2">
        <w:rPr>
          <w:b/>
        </w:rPr>
        <w:t xml:space="preserve">Предложения о внесении поправок в МПОГ/ДОПОГ/ВОПОГ: </w:t>
      </w:r>
      <w:r w:rsidRPr="007F76F2">
        <w:rPr>
          <w:b/>
        </w:rPr>
        <w:br/>
        <w:t>новые предложения</w:t>
      </w:r>
    </w:p>
    <w:p w:rsidR="007F76F2" w:rsidRPr="007F76F2" w:rsidRDefault="007F76F2" w:rsidP="007F76F2">
      <w:pPr>
        <w:pStyle w:val="HChGR"/>
      </w:pPr>
      <w:r w:rsidRPr="007F76F2">
        <w:tab/>
      </w:r>
      <w:r w:rsidRPr="007F76F2">
        <w:tab/>
        <w:t>Специальное положение 666</w:t>
      </w:r>
    </w:p>
    <w:p w:rsidR="007F76F2" w:rsidRDefault="007F76F2" w:rsidP="007F76F2">
      <w:pPr>
        <w:pStyle w:val="H1GR"/>
        <w:rPr>
          <w:b w:val="0"/>
          <w:sz w:val="20"/>
          <w:lang w:val="en-US"/>
        </w:rPr>
      </w:pPr>
      <w:r w:rsidRPr="007F76F2">
        <w:tab/>
      </w:r>
      <w:r w:rsidRPr="007F76F2">
        <w:tab/>
        <w:t>Передано правительством Швейцарии</w:t>
      </w:r>
      <w:r w:rsidRPr="007F76F2">
        <w:rPr>
          <w:b w:val="0"/>
          <w:bCs/>
          <w:sz w:val="20"/>
        </w:rPr>
        <w:footnoteReference w:customMarkFollows="1" w:id="1"/>
        <w:t>*</w:t>
      </w:r>
      <w:r w:rsidRPr="007F76F2">
        <w:rPr>
          <w:b w:val="0"/>
          <w:bCs/>
          <w:sz w:val="20"/>
          <w:lang w:val="en-US"/>
        </w:rPr>
        <w:t xml:space="preserve"> </w:t>
      </w:r>
      <w:r w:rsidRPr="007F76F2">
        <w:rPr>
          <w:b w:val="0"/>
          <w:bCs/>
          <w:sz w:val="20"/>
        </w:rPr>
        <w:footnoteReference w:customMarkFollows="1" w:id="2"/>
        <w:t>**</w:t>
      </w:r>
      <w:r w:rsidRPr="007F76F2">
        <w:rPr>
          <w:b w:val="0"/>
          <w:sz w:val="20"/>
        </w:rPr>
        <w:t xml:space="preserve"> 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7F76F2" w:rsidRPr="007F76F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F76F2" w:rsidRPr="007F76F2" w:rsidRDefault="007F76F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F76F2">
              <w:rPr>
                <w:rFonts w:cs="Times New Roman"/>
              </w:rPr>
              <w:tab/>
            </w:r>
            <w:r w:rsidRPr="007F76F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F76F2" w:rsidRPr="007F76F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F76F2" w:rsidRPr="007F76F2" w:rsidRDefault="007F76F2" w:rsidP="00C32B5B">
            <w:pPr>
              <w:pStyle w:val="SingleTxtGR"/>
              <w:ind w:left="3686" w:hanging="2552"/>
            </w:pPr>
            <w:r w:rsidRPr="007F76F2">
              <w:rPr>
                <w:b/>
                <w:bCs/>
              </w:rPr>
              <w:t>Существо предложения:</w:t>
            </w:r>
            <w:r w:rsidRPr="007F76F2">
              <w:tab/>
              <w:t>Понимание сферы применения специального положения 666 может быть улучшено посредством исключения излишних выражений.</w:t>
            </w:r>
          </w:p>
        </w:tc>
      </w:tr>
      <w:tr w:rsidR="007F76F2" w:rsidRPr="007F76F2" w:rsidTr="007F76F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7F76F2" w:rsidRPr="007F76F2" w:rsidRDefault="007F76F2" w:rsidP="00C32B5B">
            <w:pPr>
              <w:pStyle w:val="SingleTxtGR"/>
              <w:ind w:left="3686" w:hanging="2552"/>
            </w:pPr>
            <w:r w:rsidRPr="007F76F2">
              <w:rPr>
                <w:b/>
                <w:bCs/>
              </w:rPr>
              <w:t>Предлагаемое решение:</w:t>
            </w:r>
            <w:r w:rsidRPr="007F76F2">
              <w:tab/>
              <w:t>Изменить вводное предложение специального положения 666.</w:t>
            </w:r>
          </w:p>
        </w:tc>
      </w:tr>
      <w:tr w:rsidR="007F76F2" w:rsidRPr="007F76F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F76F2" w:rsidRPr="007F76F2" w:rsidRDefault="007F76F2" w:rsidP="00850215">
            <w:pPr>
              <w:rPr>
                <w:rFonts w:cs="Times New Roman"/>
              </w:rPr>
            </w:pPr>
          </w:p>
        </w:tc>
      </w:tr>
    </w:tbl>
    <w:p w:rsidR="007F76F2" w:rsidRPr="007F76F2" w:rsidRDefault="007F76F2" w:rsidP="00C32B5B">
      <w:pPr>
        <w:pStyle w:val="HChGR"/>
      </w:pPr>
      <w:r w:rsidRPr="007F76F2">
        <w:tab/>
      </w:r>
      <w:r w:rsidRPr="007F76F2">
        <w:tab/>
        <w:t>Введение</w:t>
      </w:r>
    </w:p>
    <w:p w:rsidR="007F76F2" w:rsidRPr="007F76F2" w:rsidRDefault="007F76F2" w:rsidP="007F76F2">
      <w:pPr>
        <w:pStyle w:val="SingleTxtGR"/>
      </w:pPr>
      <w:r w:rsidRPr="007F76F2">
        <w:t>1.</w:t>
      </w:r>
      <w:r w:rsidRPr="007F76F2">
        <w:tab/>
        <w:t>По нашему мнению, вводное предложение первого абзаца специального положения 666 является слишком сложным и длинным, если рассматривать его в контексте МПОГ-ДОПОГ-ВОПОГ.</w:t>
      </w:r>
    </w:p>
    <w:p w:rsidR="007F76F2" w:rsidRPr="007F76F2" w:rsidRDefault="007F76F2" w:rsidP="007F76F2">
      <w:pPr>
        <w:pStyle w:val="SingleTxtGR"/>
      </w:pPr>
      <w:r w:rsidRPr="007F76F2">
        <w:t>2.</w:t>
      </w:r>
      <w:r w:rsidRPr="007F76F2">
        <w:tab/>
        <w:t>В нем речь идет о транспортных средствах, отнесенных к № ООН 3171, и оборудовании, работающем на аккумуляторных батареях, отнесенных к № ООН 3171, а также о специальных положениях 240, 312 и 385.</w:t>
      </w:r>
    </w:p>
    <w:p w:rsidR="007F76F2" w:rsidRPr="007F76F2" w:rsidRDefault="007F76F2" w:rsidP="007F76F2">
      <w:pPr>
        <w:pStyle w:val="SingleTxtGR"/>
      </w:pPr>
      <w:r w:rsidRPr="007F76F2">
        <w:t>3.</w:t>
      </w:r>
      <w:r w:rsidRPr="007F76F2">
        <w:tab/>
        <w:t>Учитывая то, что данное специальное положение назначено только №</w:t>
      </w:r>
      <w:r w:rsidR="003645D7">
        <w:rPr>
          <w:lang w:val="en-US"/>
        </w:rPr>
        <w:t> </w:t>
      </w:r>
      <w:r w:rsidRPr="007F76F2">
        <w:t xml:space="preserve">ООН 3166 и 3171, эти уточнения, которые могли иметь смысл при разработке </w:t>
      </w:r>
      <w:r w:rsidRPr="007F76F2">
        <w:lastRenderedPageBreak/>
        <w:t>новых положений, когда еще не было ясно, каким позициям следует назначить те или иные положения, лишились основания по завершении процесса разработки. Поэтому в специальном положении 666 излишне уточнять, к каким позициям оно применяется, так как оно указано как раз для этих позиций в таблице А главы 3.2. Таким образом, ссылки на № ООН 3166 и 3171 можно исключить.</w:t>
      </w:r>
    </w:p>
    <w:p w:rsidR="007F76F2" w:rsidRPr="007F76F2" w:rsidRDefault="007F76F2" w:rsidP="007F76F2">
      <w:pPr>
        <w:pStyle w:val="SingleTxtGR"/>
      </w:pPr>
      <w:r w:rsidRPr="007F76F2">
        <w:t>4.</w:t>
      </w:r>
      <w:r w:rsidRPr="007F76F2">
        <w:tab/>
        <w:t>Точно так же отнесение к № ООН 3166 и 3171 и определение транспортного средства, предусмотренные в специальных положениях 240, 312 и 385, являются критериями, которые необходимо заранее проверить, чтобы решить, по условиям какой позиции должно перевозиться соответствующее транспортное средство или оборудование. Поэтому бесполезно указывать на существование СП 240, 312 и 385 еще раз в СП 666, учитывая, что последнее применяется только к позициям, предварительно определенным грузоотправителем с помощью рассматриваемых специальных положений. Повторяющаяся в СП 666 ссылка на специальные положения 240, 312 и 385 также является излишней и может быть исключена.</w:t>
      </w:r>
    </w:p>
    <w:p w:rsidR="007F76F2" w:rsidRPr="007F76F2" w:rsidRDefault="007F76F2" w:rsidP="007F76F2">
      <w:pPr>
        <w:pStyle w:val="SingleTxtGR"/>
      </w:pPr>
      <w:r w:rsidRPr="007F76F2">
        <w:t>5.</w:t>
      </w:r>
      <w:r w:rsidRPr="007F76F2">
        <w:tab/>
        <w:t xml:space="preserve">Использование выражения «когда они </w:t>
      </w:r>
      <w:r w:rsidRPr="007F76F2">
        <w:rPr>
          <w:b/>
          <w:u w:val="single"/>
        </w:rPr>
        <w:t>перевозятся</w:t>
      </w:r>
      <w:r w:rsidRPr="007F76F2">
        <w:t xml:space="preserve"> в качестве груза» во вводном предложении ведет к путанице. Как представляется, цель не заключалась в том, чтобы освободить от действия правил опасные грузы, перевозимые в качестве груза. Между тем использование данного выражения, расположенного непосредственно перед фразой «не распространяются какие-либо другие положения ДОПОГ», может быть истолковано как освобождение от действия правил топлива для транспортных средств в целом и независимо от того, содержится оно в транспортных средствах или нет. Выражение «когда они </w:t>
      </w:r>
      <w:r w:rsidRPr="007F76F2">
        <w:rPr>
          <w:b/>
          <w:u w:val="single"/>
        </w:rPr>
        <w:t>перевозятся</w:t>
      </w:r>
      <w:r w:rsidRPr="007F76F2">
        <w:t xml:space="preserve"> в качестве груза» следует перенести в другое место в данном предложении.</w:t>
      </w:r>
    </w:p>
    <w:p w:rsidR="007F76F2" w:rsidRPr="007F76F2" w:rsidRDefault="007F76F2" w:rsidP="007F76F2">
      <w:pPr>
        <w:pStyle w:val="SingleTxtGR"/>
      </w:pPr>
      <w:r w:rsidRPr="007F76F2">
        <w:t>5.</w:t>
      </w:r>
      <w:r w:rsidRPr="007F76F2">
        <w:tab/>
        <w:t xml:space="preserve">СП 666 призвано определить условия для освобождения от действия правил, с одной стороны, транспортных средств, отнесенных к № ООН 3166 и 3171, и, с другой стороны, содержащихся в них </w:t>
      </w:r>
      <w:r w:rsidRPr="007F76F2">
        <w:rPr>
          <w:bCs/>
        </w:rPr>
        <w:t>опасных грузов,</w:t>
      </w:r>
      <w:r w:rsidRPr="007F76F2">
        <w:t xml:space="preserve"> когда транспортные средства перевозятся в качестве груза. Все эти ссылки излишне затрудняют понимание цели СП 666. Текст с предусмотренными изменениями сформулирован следующим образом:</w:t>
      </w:r>
    </w:p>
    <w:p w:rsidR="007F76F2" w:rsidRPr="007F76F2" w:rsidRDefault="007F76F2" w:rsidP="00C32B5B">
      <w:pPr>
        <w:pStyle w:val="SingleTxtGR"/>
        <w:tabs>
          <w:tab w:val="clear" w:pos="2268"/>
          <w:tab w:val="left" w:pos="2552"/>
        </w:tabs>
        <w:ind w:left="1701"/>
      </w:pPr>
      <w:r w:rsidRPr="007F76F2">
        <w:t>«</w:t>
      </w:r>
      <w:r w:rsidR="00C32B5B">
        <w:t>666</w:t>
      </w:r>
      <w:r w:rsidR="00C32B5B">
        <w:tab/>
      </w:r>
      <w:r w:rsidRPr="007F76F2">
        <w:t>На транспортные средства</w:t>
      </w:r>
      <w:r w:rsidRPr="00265DAD">
        <w:rPr>
          <w:strike/>
        </w:rPr>
        <w:t>, отнесенные к № ООН 3166 или ООН</w:t>
      </w:r>
      <w:r w:rsidR="00265DAD" w:rsidRPr="00265DAD">
        <w:rPr>
          <w:strike/>
          <w:lang w:val="en-US"/>
        </w:rPr>
        <w:t> </w:t>
      </w:r>
      <w:r w:rsidRPr="00265DAD">
        <w:rPr>
          <w:strike/>
        </w:rPr>
        <w:t>3171,</w:t>
      </w:r>
      <w:r w:rsidRPr="00265DAD">
        <w:t xml:space="preserve"> и оборудование, работающее на аккумуляторных батареях, </w:t>
      </w:r>
      <w:r w:rsidRPr="00265DAD">
        <w:rPr>
          <w:strike/>
        </w:rPr>
        <w:t>отнесенное к № ООН 3171, в соответствии со специальными положениями 240, 312 и 385,</w:t>
      </w:r>
      <w:r w:rsidRPr="007F76F2">
        <w:t xml:space="preserve"> </w:t>
      </w:r>
      <w:r w:rsidRPr="007F76F2">
        <w:rPr>
          <w:b/>
          <w:u w:val="single"/>
        </w:rPr>
        <w:t>когда они перевозятся в качестве груза,</w:t>
      </w:r>
      <w:r w:rsidRPr="007F76F2">
        <w:t xml:space="preserve"> а также любые содержащиеся в них опасные грузы, необходимые для их функционирования или эксплуатации их оборудования, </w:t>
      </w:r>
      <w:r w:rsidRPr="007574D2">
        <w:rPr>
          <w:strike/>
        </w:rPr>
        <w:t>когда они перевозятся в качестве груза,</w:t>
      </w:r>
      <w:r w:rsidRPr="007F76F2">
        <w:t xml:space="preserve"> не распространяются какие-либо другие положения ДОПОГ, если соблюдены следующие условия:».</w:t>
      </w:r>
    </w:p>
    <w:p w:rsidR="007F76F2" w:rsidRPr="007F76F2" w:rsidRDefault="007F76F2" w:rsidP="007F76F2">
      <w:pPr>
        <w:pStyle w:val="SingleTxtGR"/>
      </w:pPr>
      <w:r w:rsidRPr="007F76F2">
        <w:t>6.</w:t>
      </w:r>
      <w:r w:rsidRPr="007F76F2">
        <w:tab/>
        <w:t>В итоге вводный абзац может быть представлен в следующей редакции:</w:t>
      </w:r>
    </w:p>
    <w:p w:rsidR="007F76F2" w:rsidRPr="007F76F2" w:rsidRDefault="007F76F2" w:rsidP="00C32B5B">
      <w:pPr>
        <w:pStyle w:val="SingleTxtGR"/>
        <w:tabs>
          <w:tab w:val="clear" w:pos="2268"/>
          <w:tab w:val="left" w:pos="2552"/>
        </w:tabs>
        <w:ind w:left="1701"/>
      </w:pPr>
      <w:r w:rsidRPr="007F76F2">
        <w:t>«</w:t>
      </w:r>
      <w:r w:rsidR="00C32B5B">
        <w:t>666</w:t>
      </w:r>
      <w:r w:rsidR="00C32B5B">
        <w:tab/>
      </w:r>
      <w:r w:rsidRPr="007F76F2">
        <w:t>На транспортные средства и оборудование, работающее на аккумуляторных батареях, когда они перевозятся в качестве груза, а также любые содержащиеся в них опасные грузы, необходимые для их функционирования или эксплуатации их оборудования, не распространяются какие-либо другие положения ДОПОГ, если соблюдены следующие условия:».</w:t>
      </w:r>
    </w:p>
    <w:p w:rsidR="007F76F2" w:rsidRPr="00C32B5B" w:rsidRDefault="00C32B5B" w:rsidP="00C32B5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6F2" w:rsidRPr="00C32B5B" w:rsidSect="007F76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59" w:rsidRPr="00A312BC" w:rsidRDefault="002C6159" w:rsidP="00A312BC"/>
  </w:endnote>
  <w:endnote w:type="continuationSeparator" w:id="0">
    <w:p w:rsidR="002C6159" w:rsidRPr="00A312BC" w:rsidRDefault="002C61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F2" w:rsidRPr="007F76F2" w:rsidRDefault="007F76F2">
    <w:pPr>
      <w:pStyle w:val="Footer"/>
    </w:pPr>
    <w:r w:rsidRPr="007F76F2">
      <w:rPr>
        <w:b/>
        <w:sz w:val="18"/>
      </w:rPr>
      <w:fldChar w:fldCharType="begin"/>
    </w:r>
    <w:r w:rsidRPr="007F76F2">
      <w:rPr>
        <w:b/>
        <w:sz w:val="18"/>
      </w:rPr>
      <w:instrText xml:space="preserve"> PAGE  \* MERGEFORMAT </w:instrText>
    </w:r>
    <w:r w:rsidRPr="007F76F2">
      <w:rPr>
        <w:b/>
        <w:sz w:val="18"/>
      </w:rPr>
      <w:fldChar w:fldCharType="separate"/>
    </w:r>
    <w:r w:rsidR="00A85F01">
      <w:rPr>
        <w:b/>
        <w:noProof/>
        <w:sz w:val="18"/>
      </w:rPr>
      <w:t>2</w:t>
    </w:r>
    <w:r w:rsidRPr="007F76F2">
      <w:rPr>
        <w:b/>
        <w:sz w:val="18"/>
      </w:rPr>
      <w:fldChar w:fldCharType="end"/>
    </w:r>
    <w:r>
      <w:rPr>
        <w:b/>
        <w:sz w:val="18"/>
      </w:rPr>
      <w:tab/>
    </w:r>
    <w:r>
      <w:t>GE.17-08972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F2" w:rsidRPr="007F76F2" w:rsidRDefault="007F76F2" w:rsidP="007F76F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GE.17-08972</w:t>
    </w:r>
    <w:r>
      <w:tab/>
    </w:r>
    <w:r w:rsidRPr="007F76F2">
      <w:rPr>
        <w:b/>
        <w:sz w:val="18"/>
      </w:rPr>
      <w:fldChar w:fldCharType="begin"/>
    </w:r>
    <w:r w:rsidRPr="007F76F2">
      <w:rPr>
        <w:b/>
        <w:sz w:val="18"/>
      </w:rPr>
      <w:instrText xml:space="preserve"> PAGE  \* MERGEFORMAT </w:instrText>
    </w:r>
    <w:r w:rsidRPr="007F76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F76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F76F2" w:rsidRDefault="007F76F2" w:rsidP="007F76F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5C338D5" wp14:editId="7D680F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17-08972  (R)</w:t>
    </w:r>
    <w:r w:rsidR="00C32B5B">
      <w:rPr>
        <w:lang w:val="en-US"/>
      </w:rPr>
      <w:t xml:space="preserve">  080617  080617</w:t>
    </w:r>
    <w:r>
      <w:br/>
    </w:r>
    <w:r w:rsidRPr="007F76F2">
      <w:rPr>
        <w:rFonts w:ascii="C39T30Lfz" w:hAnsi="C39T30Lfz"/>
        <w:spacing w:val="0"/>
        <w:w w:val="100"/>
        <w:sz w:val="56"/>
      </w:rPr>
      <w:t></w:t>
    </w:r>
    <w:r w:rsidRPr="007F76F2">
      <w:rPr>
        <w:rFonts w:ascii="C39T30Lfz" w:hAnsi="C39T30Lfz"/>
        <w:spacing w:val="0"/>
        <w:w w:val="100"/>
        <w:sz w:val="56"/>
      </w:rPr>
      <w:t></w:t>
    </w:r>
    <w:r w:rsidRPr="007F76F2">
      <w:rPr>
        <w:rFonts w:ascii="C39T30Lfz" w:hAnsi="C39T30Lfz"/>
        <w:spacing w:val="0"/>
        <w:w w:val="100"/>
        <w:sz w:val="56"/>
      </w:rPr>
      <w:t></w:t>
    </w:r>
    <w:r w:rsidRPr="007F76F2">
      <w:rPr>
        <w:rFonts w:ascii="C39T30Lfz" w:hAnsi="C39T30Lfz"/>
        <w:spacing w:val="0"/>
        <w:w w:val="100"/>
        <w:sz w:val="56"/>
      </w:rPr>
      <w:t></w:t>
    </w:r>
    <w:r w:rsidRPr="007F76F2">
      <w:rPr>
        <w:rFonts w:ascii="C39T30Lfz" w:hAnsi="C39T30Lfz"/>
        <w:spacing w:val="0"/>
        <w:w w:val="100"/>
        <w:sz w:val="56"/>
      </w:rPr>
      <w:t></w:t>
    </w:r>
    <w:r w:rsidRPr="007F76F2">
      <w:rPr>
        <w:rFonts w:ascii="C39T30Lfz" w:hAnsi="C39T30Lfz"/>
        <w:spacing w:val="0"/>
        <w:w w:val="100"/>
        <w:sz w:val="56"/>
      </w:rPr>
      <w:t></w:t>
    </w:r>
    <w:r w:rsidRPr="007F76F2">
      <w:rPr>
        <w:rFonts w:ascii="C39T30Lfz" w:hAnsi="C39T30Lfz"/>
        <w:spacing w:val="0"/>
        <w:w w:val="100"/>
        <w:sz w:val="56"/>
      </w:rPr>
      <w:t></w:t>
    </w:r>
    <w:r w:rsidRPr="007F76F2">
      <w:rPr>
        <w:rFonts w:ascii="C39T30Lfz" w:hAnsi="C39T30Lfz"/>
        <w:spacing w:val="0"/>
        <w:w w:val="100"/>
        <w:sz w:val="56"/>
      </w:rPr>
      <w:t></w:t>
    </w:r>
    <w:r w:rsidRPr="007F76F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59" w:rsidRPr="001075E9" w:rsidRDefault="002C61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6159" w:rsidRDefault="002C61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76F2" w:rsidRDefault="007F76F2" w:rsidP="007F76F2">
      <w:pPr>
        <w:pStyle w:val="FootnoteText"/>
        <w:rPr>
          <w:sz w:val="20"/>
          <w:lang w:val="ru-RU"/>
        </w:rPr>
      </w:pPr>
      <w:r>
        <w:tab/>
      </w:r>
      <w:r w:rsidRPr="00C32B5B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7F76F2" w:rsidRDefault="007F76F2" w:rsidP="007F76F2">
      <w:pPr>
        <w:pStyle w:val="FootnoteText"/>
        <w:rPr>
          <w:lang w:val="ru-RU"/>
        </w:rPr>
      </w:pPr>
      <w:r>
        <w:rPr>
          <w:lang w:val="ru-RU"/>
        </w:rPr>
        <w:tab/>
      </w:r>
      <w:r w:rsidRPr="00C32B5B">
        <w:rPr>
          <w:rStyle w:val="FootnoteReference"/>
          <w:sz w:val="20"/>
          <w:vertAlign w:val="baseline"/>
          <w:lang w:val="ru-RU"/>
        </w:rPr>
        <w:t>**</w:t>
      </w:r>
      <w:r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/2017/2</w:t>
      </w:r>
      <w:r w:rsidRPr="009C096D">
        <w:rPr>
          <w:lang w:val="ru-RU"/>
        </w:rPr>
        <w:t>7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F2" w:rsidRPr="007F76F2" w:rsidRDefault="003A15A2">
    <w:pPr>
      <w:pStyle w:val="Header"/>
    </w:pPr>
    <w:fldSimple w:instr=" TITLE  \* MERGEFORMAT ">
      <w:r>
        <w:t>ECE/TRANS/WP.15/AC.1/2017/27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F2" w:rsidRPr="007F76F2" w:rsidRDefault="003A15A2" w:rsidP="007F76F2">
    <w:pPr>
      <w:pStyle w:val="Header"/>
      <w:jc w:val="right"/>
    </w:pPr>
    <w:fldSimple w:instr=" TITLE  \* MERGEFORMAT ">
      <w:r>
        <w:t>ECE/TRANS/WP.15/AC.1/2017/27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9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65DAD"/>
    <w:rsid w:val="002979E2"/>
    <w:rsid w:val="002A2EFC"/>
    <w:rsid w:val="002B74B1"/>
    <w:rsid w:val="002C0E18"/>
    <w:rsid w:val="002C6159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45D7"/>
    <w:rsid w:val="00381C24"/>
    <w:rsid w:val="003958D0"/>
    <w:rsid w:val="003A0D43"/>
    <w:rsid w:val="003A15A2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574D2"/>
    <w:rsid w:val="00792497"/>
    <w:rsid w:val="007F76F2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85F01"/>
    <w:rsid w:val="00A917B3"/>
    <w:rsid w:val="00AB4B51"/>
    <w:rsid w:val="00AC3430"/>
    <w:rsid w:val="00AD0650"/>
    <w:rsid w:val="00B10CC7"/>
    <w:rsid w:val="00B36DF7"/>
    <w:rsid w:val="00B539E7"/>
    <w:rsid w:val="00B62458"/>
    <w:rsid w:val="00BC18B2"/>
    <w:rsid w:val="00BD33EE"/>
    <w:rsid w:val="00BF21E1"/>
    <w:rsid w:val="00C106D6"/>
    <w:rsid w:val="00C32B5B"/>
    <w:rsid w:val="00C60F0C"/>
    <w:rsid w:val="00C805C9"/>
    <w:rsid w:val="00C92939"/>
    <w:rsid w:val="00CA1679"/>
    <w:rsid w:val="00CB151C"/>
    <w:rsid w:val="00CE5A1A"/>
    <w:rsid w:val="00CF55F6"/>
    <w:rsid w:val="00D33D63"/>
    <w:rsid w:val="00D445E7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2B2FAF-82C5-4559-BF5C-8B74D3B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ECE/TRANS/WP.15/AC.1/2017/27</vt:lpstr>
      <vt:lpstr>ECE/TRANS/WP.15/AC.1/2017/27</vt:lpstr>
      <vt:lpstr>A/</vt:lpstr>
    </vt:vector>
  </TitlesOfParts>
  <Company>DCM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ECE/TRANS/WP.15/AC.1/2017/27</dc:title>
  <dc:subject/>
  <dc:creator>Sharkina</dc:creator>
  <cp:keywords/>
  <cp:lastModifiedBy>Christine Barrio-Champeau</cp:lastModifiedBy>
  <cp:revision>2</cp:revision>
  <cp:lastPrinted>2017-06-08T09:27:00Z</cp:lastPrinted>
  <dcterms:created xsi:type="dcterms:W3CDTF">2017-08-02T08:18:00Z</dcterms:created>
  <dcterms:modified xsi:type="dcterms:W3CDTF">2017-08-02T08:18:00Z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