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F5B2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F5B28" w:rsidP="00DF5B28">
            <w:pPr>
              <w:jc w:val="right"/>
            </w:pPr>
            <w:r w:rsidRPr="00DF5B28">
              <w:rPr>
                <w:sz w:val="40"/>
              </w:rPr>
              <w:t>ECE</w:t>
            </w:r>
            <w:r>
              <w:t>/TRANS/WP.15/AC.1/2017/31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F5B28" w:rsidP="00C97039">
            <w:pPr>
              <w:spacing w:before="240"/>
            </w:pPr>
            <w:r>
              <w:t>Distr. générale</w:t>
            </w:r>
          </w:p>
          <w:p w:rsidR="00DF5B28" w:rsidRDefault="00DF5B28" w:rsidP="00DF5B28">
            <w:pPr>
              <w:spacing w:line="240" w:lineRule="exact"/>
            </w:pPr>
            <w:r>
              <w:t>29 juin 2017</w:t>
            </w:r>
          </w:p>
          <w:p w:rsidR="00DF5B28" w:rsidRDefault="00DF5B28" w:rsidP="00DF5B28">
            <w:pPr>
              <w:spacing w:line="240" w:lineRule="exact"/>
            </w:pPr>
            <w:r>
              <w:t>Français</w:t>
            </w:r>
          </w:p>
          <w:p w:rsidR="00DF5B28" w:rsidRPr="00DB58B5" w:rsidRDefault="00DF5B28" w:rsidP="00DF5B28">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F5B28" w:rsidRPr="009E01B8" w:rsidRDefault="00DF5B28" w:rsidP="00AF0CB5">
      <w:pPr>
        <w:spacing w:before="120"/>
        <w:rPr>
          <w:b/>
          <w:sz w:val="24"/>
          <w:szCs w:val="24"/>
        </w:rPr>
      </w:pPr>
      <w:r w:rsidRPr="009E01B8">
        <w:rPr>
          <w:b/>
          <w:sz w:val="24"/>
          <w:szCs w:val="24"/>
        </w:rPr>
        <w:t>Groupe de travail des transports de marchandises dangereuses</w:t>
      </w:r>
    </w:p>
    <w:p w:rsidR="00DF5B28" w:rsidRPr="00926E87" w:rsidRDefault="00DF5B28"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DF5B28" w:rsidRDefault="00DF5B28" w:rsidP="00AF0CB5">
      <w:pPr>
        <w:spacing w:before="120"/>
      </w:pPr>
      <w:r>
        <w:t xml:space="preserve">Genève, </w:t>
      </w:r>
      <w:r>
        <w:rPr>
          <w:lang w:val="fr-FR"/>
        </w:rPr>
        <w:t>19-29 septembre 2017</w:t>
      </w:r>
    </w:p>
    <w:p w:rsidR="00DF5B28" w:rsidRDefault="00DF5B28" w:rsidP="00AF0CB5">
      <w:r w:rsidRPr="00B93E72">
        <w:t xml:space="preserve">Point </w:t>
      </w:r>
      <w:r>
        <w:t>2</w:t>
      </w:r>
      <w:r w:rsidRPr="00B93E72">
        <w:t xml:space="preserve"> de l’ordre du jour provisoire</w:t>
      </w:r>
    </w:p>
    <w:p w:rsidR="00F9573C" w:rsidRPr="00DF5B28" w:rsidRDefault="00DF5B28" w:rsidP="00AF0CB5">
      <w:pPr>
        <w:rPr>
          <w:b/>
        </w:rPr>
      </w:pPr>
      <w:r w:rsidRPr="00DF5B28">
        <w:rPr>
          <w:b/>
        </w:rPr>
        <w:t>Citernes</w:t>
      </w:r>
    </w:p>
    <w:p w:rsidR="00DF5B28" w:rsidRPr="00116D72" w:rsidRDefault="00DF5B28" w:rsidP="009E6033">
      <w:pPr>
        <w:pStyle w:val="HMG"/>
        <w:rPr>
          <w:lang w:val="fr-FR"/>
        </w:rPr>
      </w:pPr>
      <w:r>
        <w:rPr>
          <w:lang w:val="fr-FR"/>
        </w:rPr>
        <w:tab/>
      </w:r>
      <w:r>
        <w:rPr>
          <w:lang w:val="fr-FR"/>
        </w:rPr>
        <w:tab/>
      </w:r>
      <w:r w:rsidRPr="009E6033">
        <w:rPr>
          <w:spacing w:val="-4"/>
          <w:lang w:val="fr-FR"/>
        </w:rPr>
        <w:t xml:space="preserve">Proposition d’ajout d’une rubrique à la liste des </w:t>
      </w:r>
      <w:r w:rsidR="009E6033" w:rsidRPr="009E6033">
        <w:rPr>
          <w:spacing w:val="-4"/>
          <w:lang w:val="fr-FR"/>
        </w:rPr>
        <w:br/>
      </w:r>
      <w:r w:rsidRPr="009E6033">
        <w:rPr>
          <w:spacing w:val="2"/>
          <w:lang w:val="fr-FR"/>
        </w:rPr>
        <w:t xml:space="preserve">marchandises transportées dans des citernes </w:t>
      </w:r>
      <w:r w:rsidR="009E6033" w:rsidRPr="009E6033">
        <w:rPr>
          <w:spacing w:val="2"/>
          <w:lang w:val="fr-FR"/>
        </w:rPr>
        <w:br/>
      </w:r>
      <w:r w:rsidRPr="00116D72">
        <w:rPr>
          <w:lang w:val="fr-FR"/>
        </w:rPr>
        <w:t>garnies d</w:t>
      </w:r>
      <w:r>
        <w:rPr>
          <w:lang w:val="fr-FR"/>
        </w:rPr>
        <w:t>’</w:t>
      </w:r>
      <w:r w:rsidRPr="00116D72">
        <w:rPr>
          <w:lang w:val="fr-FR"/>
        </w:rPr>
        <w:t>un revêtement de</w:t>
      </w:r>
      <w:r w:rsidR="009E6033">
        <w:rPr>
          <w:lang w:val="fr-FR"/>
        </w:rPr>
        <w:t xml:space="preserve"> </w:t>
      </w:r>
      <w:r w:rsidRPr="00116D72">
        <w:rPr>
          <w:lang w:val="fr-FR"/>
        </w:rPr>
        <w:t xml:space="preserve">protection collé </w:t>
      </w:r>
      <w:r w:rsidR="009E6033">
        <w:rPr>
          <w:lang w:val="fr-FR"/>
        </w:rPr>
        <w:br/>
      </w:r>
      <w:r w:rsidRPr="00116D72">
        <w:rPr>
          <w:lang w:val="fr-FR"/>
        </w:rPr>
        <w:t>ou appliqué par vaporisation</w:t>
      </w:r>
    </w:p>
    <w:p w:rsidR="006D3100" w:rsidRDefault="00DF5B28" w:rsidP="009E6033">
      <w:pPr>
        <w:pStyle w:val="HChG"/>
        <w:spacing w:after="0"/>
        <w:rPr>
          <w:sz w:val="20"/>
        </w:rPr>
      </w:pPr>
      <w:r>
        <w:rPr>
          <w:lang w:val="fr-FR"/>
        </w:rPr>
        <w:tab/>
      </w:r>
      <w:r>
        <w:rPr>
          <w:lang w:val="fr-FR"/>
        </w:rPr>
        <w:tab/>
        <w:t xml:space="preserve">Communication du Gouvernement de la Fédération </w:t>
      </w:r>
      <w:r w:rsidR="009E6033">
        <w:rPr>
          <w:lang w:val="fr-FR"/>
        </w:rPr>
        <w:br/>
      </w:r>
      <w:r>
        <w:rPr>
          <w:lang w:val="fr-FR"/>
        </w:rPr>
        <w:t>de Russie</w:t>
      </w:r>
      <w:r w:rsidR="006D3100" w:rsidRPr="009E6033">
        <w:rPr>
          <w:rStyle w:val="FootnoteReference"/>
          <w:b w:val="0"/>
          <w:sz w:val="20"/>
          <w:vertAlign w:val="baseline"/>
        </w:rPr>
        <w:footnoteReference w:customMarkFollows="1" w:id="2"/>
        <w:t>*</w:t>
      </w:r>
      <w:r w:rsidR="006D3100" w:rsidRPr="009E6033">
        <w:rPr>
          <w:b w:val="0"/>
          <w:position w:val="6"/>
          <w:sz w:val="20"/>
        </w:rPr>
        <w:t>,</w:t>
      </w:r>
      <w:r w:rsidR="006D3100" w:rsidRPr="009E6033">
        <w:rPr>
          <w:b w:val="0"/>
          <w:sz w:val="20"/>
        </w:rPr>
        <w:t xml:space="preserve"> </w:t>
      </w:r>
      <w:r w:rsidR="006D3100" w:rsidRPr="009E6033">
        <w:rPr>
          <w:rStyle w:val="FootnoteReference"/>
          <w:b w:val="0"/>
          <w:sz w:val="20"/>
          <w:vertAlign w:val="baseline"/>
        </w:rPr>
        <w:footnoteReference w:customMarkFollows="1" w:id="3"/>
        <w:t>**</w:t>
      </w:r>
      <w:r w:rsidR="006D3100">
        <w:rPr>
          <w:sz w:val="20"/>
        </w:rPr>
        <w:br w:type="page"/>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F5B28" w:rsidTr="00216E0F">
        <w:trPr>
          <w:jc w:val="center"/>
        </w:trPr>
        <w:tc>
          <w:tcPr>
            <w:tcW w:w="9637" w:type="dxa"/>
            <w:shd w:val="clear" w:color="auto" w:fill="auto"/>
          </w:tcPr>
          <w:p w:rsidR="00DF5B28" w:rsidRPr="000001E7" w:rsidRDefault="006D3100" w:rsidP="00216E0F">
            <w:pPr>
              <w:spacing w:before="240" w:after="120"/>
              <w:ind w:left="255"/>
              <w:rPr>
                <w:i/>
                <w:sz w:val="24"/>
              </w:rPr>
            </w:pPr>
            <w:r>
              <w:rPr>
                <w:b/>
              </w:rPr>
              <w:br w:type="page"/>
            </w:r>
            <w:r>
              <w:rPr>
                <w:b/>
              </w:rPr>
              <w:br w:type="page"/>
            </w:r>
            <w:r w:rsidR="00DF5B28">
              <w:br w:type="page"/>
            </w:r>
            <w:r w:rsidR="00DF5B28" w:rsidRPr="000001E7">
              <w:rPr>
                <w:i/>
                <w:sz w:val="24"/>
              </w:rPr>
              <w:t>Résumé</w:t>
            </w:r>
          </w:p>
        </w:tc>
      </w:tr>
      <w:tr w:rsidR="00DF5B28" w:rsidTr="00216E0F">
        <w:trPr>
          <w:jc w:val="center"/>
        </w:trPr>
        <w:tc>
          <w:tcPr>
            <w:tcW w:w="9637" w:type="dxa"/>
            <w:shd w:val="clear" w:color="auto" w:fill="auto"/>
          </w:tcPr>
          <w:p w:rsidR="00DF5B28" w:rsidRDefault="00DF5B28" w:rsidP="006D3100">
            <w:pPr>
              <w:pStyle w:val="SingleTxtG"/>
              <w:spacing w:line="236" w:lineRule="atLeast"/>
              <w:ind w:left="2269" w:hanging="1985"/>
            </w:pPr>
            <w:r w:rsidRPr="00DF5B28">
              <w:rPr>
                <w:b/>
                <w:lang w:val="fr-FR"/>
              </w:rPr>
              <w:t>Résumé analytique</w:t>
            </w:r>
            <w:r>
              <w:rPr>
                <w:b/>
                <w:lang w:val="fr-FR"/>
              </w:rPr>
              <w:t> </w:t>
            </w:r>
            <w:r w:rsidRPr="00DF5B28">
              <w:rPr>
                <w:lang w:val="fr-FR"/>
              </w:rPr>
              <w:t>:</w:t>
            </w:r>
            <w:r w:rsidRPr="00DF5B28">
              <w:rPr>
                <w:lang w:val="fr-FR"/>
              </w:rPr>
              <w:tab/>
              <w:t>Les citernes ayant un revêtement de protection et dont le réservoir est constitué de matériaux réagissant violemment avec le contenu lorsque le revêtement présente un défaut ne devraient pas être utilisées. Proposition d’ajout d’une rubrique à la liste des marchandises.</w:t>
            </w:r>
          </w:p>
        </w:tc>
      </w:tr>
      <w:tr w:rsidR="00DF5B28" w:rsidTr="00216E0F">
        <w:trPr>
          <w:jc w:val="center"/>
        </w:trPr>
        <w:tc>
          <w:tcPr>
            <w:tcW w:w="9637" w:type="dxa"/>
            <w:shd w:val="clear" w:color="auto" w:fill="auto"/>
          </w:tcPr>
          <w:p w:rsidR="00DF5B28" w:rsidRDefault="00DF5B28" w:rsidP="00DF5B28">
            <w:pPr>
              <w:pStyle w:val="SingleTxtG"/>
              <w:ind w:left="284"/>
            </w:pPr>
            <w:r w:rsidRPr="008179BE">
              <w:rPr>
                <w:b/>
                <w:lang w:val="fr-FR"/>
              </w:rPr>
              <w:t>Mesure à prendre</w:t>
            </w:r>
            <w:r>
              <w:rPr>
                <w:b/>
                <w:lang w:val="fr-FR"/>
              </w:rPr>
              <w:t> </w:t>
            </w:r>
            <w:r>
              <w:rPr>
                <w:lang w:val="fr-FR"/>
              </w:rPr>
              <w:t>:</w:t>
            </w:r>
            <w:r>
              <w:rPr>
                <w:lang w:val="fr-FR"/>
              </w:rPr>
              <w:tab/>
              <w:t>Compléter le tableau A du chapitre 3.2.</w:t>
            </w:r>
          </w:p>
        </w:tc>
      </w:tr>
      <w:tr w:rsidR="00DF5B28" w:rsidTr="00216E0F">
        <w:trPr>
          <w:jc w:val="center"/>
        </w:trPr>
        <w:tc>
          <w:tcPr>
            <w:tcW w:w="9637" w:type="dxa"/>
            <w:shd w:val="clear" w:color="auto" w:fill="auto"/>
          </w:tcPr>
          <w:p w:rsidR="00DF5B28" w:rsidRDefault="00DF5B28" w:rsidP="009E6033">
            <w:pPr>
              <w:pStyle w:val="SingleTxtG"/>
              <w:spacing w:line="236" w:lineRule="atLeast"/>
              <w:ind w:left="2269" w:hanging="1985"/>
            </w:pPr>
            <w:r w:rsidRPr="00DF5B28">
              <w:rPr>
                <w:b/>
                <w:lang w:val="fr-FR"/>
              </w:rPr>
              <w:t>Documents connexes</w:t>
            </w:r>
            <w:r>
              <w:rPr>
                <w:b/>
                <w:lang w:val="fr-FR"/>
              </w:rPr>
              <w:t> </w:t>
            </w:r>
            <w:r w:rsidRPr="00DF5B28">
              <w:rPr>
                <w:lang w:val="fr-FR"/>
              </w:rPr>
              <w:t>:</w:t>
            </w:r>
            <w:r>
              <w:rPr>
                <w:lang w:val="fr-FR"/>
              </w:rPr>
              <w:tab/>
            </w:r>
            <w:r w:rsidRPr="00DF5B28">
              <w:rPr>
                <w:lang w:val="fr-FR"/>
              </w:rPr>
              <w:t>ECE/TRANS/WP.15/AC.1/2015/10</w:t>
            </w:r>
            <w:r>
              <w:rPr>
                <w:lang w:val="fr-FR"/>
              </w:rPr>
              <w:t> </w:t>
            </w:r>
            <w:r w:rsidRPr="00DF5B28">
              <w:rPr>
                <w:lang w:val="fr-FR"/>
              </w:rPr>
              <w:t>; document informel INF.50 présenté à la session de mars 2015, par.</w:t>
            </w:r>
            <w:r w:rsidR="009E6033">
              <w:rPr>
                <w:lang w:val="fr-FR"/>
              </w:rPr>
              <w:t> </w:t>
            </w:r>
            <w:r w:rsidRPr="00DF5B28">
              <w:rPr>
                <w:lang w:val="fr-FR"/>
              </w:rPr>
              <w:t>12 à 14</w:t>
            </w:r>
            <w:r>
              <w:rPr>
                <w:lang w:val="fr-FR"/>
              </w:rPr>
              <w:t> </w:t>
            </w:r>
            <w:r w:rsidRPr="00DF5B28">
              <w:rPr>
                <w:lang w:val="fr-FR"/>
              </w:rPr>
              <w:t>; ECE/TRANS/WP.15/AC.1/138, par.</w:t>
            </w:r>
            <w:r>
              <w:rPr>
                <w:lang w:val="fr-FR"/>
              </w:rPr>
              <w:t> </w:t>
            </w:r>
            <w:r w:rsidRPr="00DF5B28">
              <w:rPr>
                <w:lang w:val="fr-FR"/>
              </w:rPr>
              <w:t>9</w:t>
            </w:r>
            <w:r>
              <w:rPr>
                <w:lang w:val="fr-FR"/>
              </w:rPr>
              <w:t> </w:t>
            </w:r>
            <w:r w:rsidRPr="00DF5B28">
              <w:rPr>
                <w:lang w:val="fr-FR"/>
              </w:rPr>
              <w:t>; ECE/TRANS/WP.15/AC.1/2015/51</w:t>
            </w:r>
            <w:r>
              <w:rPr>
                <w:lang w:val="fr-FR"/>
              </w:rPr>
              <w:t> </w:t>
            </w:r>
            <w:r w:rsidRPr="00DF5B28">
              <w:rPr>
                <w:lang w:val="fr-FR"/>
              </w:rPr>
              <w:t>; documents informels INF.28 et INF.50 présentés à la session de septembre 2015, par.</w:t>
            </w:r>
            <w:r>
              <w:rPr>
                <w:lang w:val="fr-FR"/>
              </w:rPr>
              <w:t> </w:t>
            </w:r>
            <w:r w:rsidRPr="00DF5B28">
              <w:rPr>
                <w:lang w:val="fr-FR"/>
              </w:rPr>
              <w:t>23 à 26</w:t>
            </w:r>
            <w:r>
              <w:rPr>
                <w:lang w:val="fr-FR"/>
              </w:rPr>
              <w:t> </w:t>
            </w:r>
            <w:r w:rsidRPr="00DF5B28">
              <w:rPr>
                <w:lang w:val="fr-FR"/>
              </w:rPr>
              <w:t xml:space="preserve">; </w:t>
            </w:r>
            <w:r w:rsidRPr="00DF5B28">
              <w:t>ECE/</w:t>
            </w:r>
            <w:r>
              <w:t xml:space="preserve"> </w:t>
            </w:r>
            <w:r w:rsidRPr="00DF5B28">
              <w:t>TRANS/WP.15/AC.1/140</w:t>
            </w:r>
            <w:r>
              <w:t> </w:t>
            </w:r>
            <w:r w:rsidRPr="00DF5B28">
              <w:t xml:space="preserve">; ECE/TRANS/WP.15/AC.1/2016/31 </w:t>
            </w:r>
            <w:r>
              <w:t>−</w:t>
            </w:r>
            <w:r w:rsidRPr="00DF5B28">
              <w:t xml:space="preserve"> Rapport du groupe de travail informel des citernes garnies d’un revêtement de </w:t>
            </w:r>
            <w:r w:rsidRPr="00BE0C6C">
              <w:rPr>
                <w:spacing w:val="-2"/>
              </w:rPr>
              <w:t>protection collé ou appliqué par</w:t>
            </w:r>
            <w:r w:rsidRPr="00DF5B28">
              <w:t xml:space="preserve"> vaporisation</w:t>
            </w:r>
            <w:r w:rsidR="00BE0C6C">
              <w:t> </w:t>
            </w:r>
            <w:r w:rsidRPr="00DF5B28">
              <w:t xml:space="preserve">; ECE/TRANS/WP.15/AC.1/144 </w:t>
            </w:r>
            <w:r>
              <w:t>−</w:t>
            </w:r>
            <w:r w:rsidRPr="00DF5B28">
              <w:t xml:space="preserve"> Rapport de la Réunion commune de la Commission d’experts du RID et du Groupe de travail des transports de marchandises dangereuses sur sa session d’automne 2016 tenue à Genève du 19 au 23</w:t>
            </w:r>
            <w:r>
              <w:t> </w:t>
            </w:r>
            <w:r w:rsidRPr="00DF5B28">
              <w:t>septembre 2016</w:t>
            </w:r>
            <w:r>
              <w:t> </w:t>
            </w:r>
            <w:r w:rsidRPr="00DF5B28">
              <w:t>; ECE/TRANS/</w:t>
            </w:r>
            <w:r>
              <w:t xml:space="preserve"> </w:t>
            </w:r>
            <w:r w:rsidRPr="00DF5B28">
              <w:t xml:space="preserve">WP.15/AC.1/146 </w:t>
            </w:r>
            <w:r>
              <w:t>−</w:t>
            </w:r>
            <w:r w:rsidRPr="00DF5B28">
              <w:t xml:space="preserve"> Rapport de la Réunion commune de la Commission d’experts du RID et du Groupe de travail des transports de marchandises dangereuses sur sa session de printemps 2017.</w:t>
            </w:r>
          </w:p>
        </w:tc>
      </w:tr>
      <w:tr w:rsidR="00DF5B28" w:rsidTr="00216E0F">
        <w:trPr>
          <w:jc w:val="center"/>
        </w:trPr>
        <w:tc>
          <w:tcPr>
            <w:tcW w:w="9637" w:type="dxa"/>
            <w:shd w:val="clear" w:color="auto" w:fill="auto"/>
          </w:tcPr>
          <w:p w:rsidR="00DF5B28" w:rsidRDefault="00DF5B28" w:rsidP="00216E0F"/>
        </w:tc>
      </w:tr>
    </w:tbl>
    <w:p w:rsidR="00DF5B28" w:rsidRPr="00DF5B28" w:rsidRDefault="00DF5B28" w:rsidP="009E6033">
      <w:pPr>
        <w:pStyle w:val="HChG"/>
        <w:spacing w:before="320" w:after="220"/>
        <w:rPr>
          <w:lang w:val="ru-RU"/>
        </w:rPr>
      </w:pPr>
      <w:r w:rsidRPr="00DF5B28">
        <w:rPr>
          <w:lang w:val="fr-FR"/>
        </w:rPr>
        <w:tab/>
      </w:r>
      <w:r w:rsidRPr="00DF5B28">
        <w:rPr>
          <w:lang w:val="fr-FR"/>
        </w:rPr>
        <w:tab/>
        <w:t>Introduction</w:t>
      </w:r>
    </w:p>
    <w:p w:rsidR="00DF5B28" w:rsidRPr="00DF5B28" w:rsidRDefault="00DF5B28" w:rsidP="009E6033">
      <w:pPr>
        <w:pStyle w:val="SingleTxtG"/>
        <w:spacing w:after="110" w:line="230" w:lineRule="atLeast"/>
        <w:rPr>
          <w:lang w:val="fr-FR"/>
        </w:rPr>
      </w:pPr>
      <w:r w:rsidRPr="00DF5B28">
        <w:rPr>
          <w:lang w:val="fr-FR"/>
        </w:rPr>
        <w:t>1.</w:t>
      </w:r>
      <w:r w:rsidRPr="00DF5B28">
        <w:rPr>
          <w:lang w:val="fr-FR"/>
        </w:rPr>
        <w:tab/>
        <w:t xml:space="preserve">Dans le rapport que le groupe de travail informel des citernes garnies d’un revêtement de protection collé ou appliqué par vaporisation a soumis à la Réunion commune de la Commission d’experts du RID et du Groupe de travail des transports de marchandises dangereuses à sa session de septembre 2016, il est dit que les citernes à revêtement protecteur </w:t>
      </w:r>
      <w:r w:rsidRPr="00DF5B28">
        <w:rPr>
          <w:bCs/>
          <w:lang w:val="fr-FR"/>
        </w:rPr>
        <w:t>et réservoir en alliage d’aluminium</w:t>
      </w:r>
      <w:r w:rsidRPr="00DF5B28">
        <w:rPr>
          <w:lang w:val="fr-FR"/>
        </w:rPr>
        <w:t xml:space="preserve"> ne devraient pas être utilisées pour les matières qui risquent de réagir violemment avec le métal si le revêtement présente un défaut. Dans ce contexte, il a été décidé que le critère à considérer serait un pH compris entre 5 et 8.</w:t>
      </w:r>
    </w:p>
    <w:p w:rsidR="00DF5B28" w:rsidRPr="00DF5B28" w:rsidRDefault="00DF5B28" w:rsidP="009E6033">
      <w:pPr>
        <w:pStyle w:val="SingleTxtG"/>
        <w:spacing w:after="110" w:line="230" w:lineRule="atLeast"/>
        <w:rPr>
          <w:lang w:val="fr-FR"/>
        </w:rPr>
      </w:pPr>
      <w:r w:rsidRPr="00DF5B28">
        <w:rPr>
          <w:lang w:val="fr-FR"/>
        </w:rPr>
        <w:t>2.</w:t>
      </w:r>
      <w:r w:rsidRPr="00DF5B28">
        <w:rPr>
          <w:lang w:val="fr-FR"/>
        </w:rPr>
        <w:tab/>
        <w:t>À la suite d’un examen de la question, il avait été décidé de réglementer l’usage des citernes en alliage d’aluminium pour le transport de matières corrosives en ajoutant une nouvelle disposition spéciale, TU42, à la colonne (13) du tableau A du chapitre 3.2.</w:t>
      </w:r>
    </w:p>
    <w:p w:rsidR="00DF5B28" w:rsidRPr="00DF5B28" w:rsidRDefault="00DF5B28" w:rsidP="009E6033">
      <w:pPr>
        <w:pStyle w:val="SingleTxtG"/>
        <w:spacing w:after="110" w:line="230" w:lineRule="atLeast"/>
        <w:rPr>
          <w:lang w:val="fr-FR"/>
        </w:rPr>
      </w:pPr>
      <w:r w:rsidRPr="00DF5B28">
        <w:rPr>
          <w:lang w:val="fr-FR"/>
        </w:rPr>
        <w:t>3.</w:t>
      </w:r>
      <w:r w:rsidRPr="00DF5B28">
        <w:rPr>
          <w:lang w:val="fr-FR"/>
        </w:rPr>
        <w:tab/>
      </w:r>
      <w:r w:rsidRPr="009E6033">
        <w:rPr>
          <w:spacing w:val="-2"/>
          <w:lang w:val="fr-FR"/>
        </w:rPr>
        <w:t>Le résultat de cet examen avait été présenté en annexe du rapport ci-dessus, au point</w:t>
      </w:r>
      <w:r w:rsidRPr="00DF5B28">
        <w:rPr>
          <w:lang w:val="fr-FR"/>
        </w:rPr>
        <w:t xml:space="preserve"> 3, sous la forme d’une liste comportant 24 matières corrosives ayant des propriétés acides ou basiques et indiquant le numéro ONU et les groupes d’emballage correspondants. On trouve dans cette liste des noms de matières, tout comme des matières non</w:t>
      </w:r>
      <w:r w:rsidR="0025126D">
        <w:rPr>
          <w:lang w:val="fr-FR"/>
        </w:rPr>
        <w:t xml:space="preserve">  </w:t>
      </w:r>
      <w:r w:rsidRPr="00DF5B28">
        <w:rPr>
          <w:lang w:val="fr-FR"/>
        </w:rPr>
        <w:t>spécifiées telles que le No ONU 3264, LIQUIDE INORGANIQUE CORROSIF, ACIDE, N.S.A.</w:t>
      </w:r>
    </w:p>
    <w:p w:rsidR="00DF5B28" w:rsidRPr="00DF5B28" w:rsidRDefault="00DF5B28" w:rsidP="009E6033">
      <w:pPr>
        <w:pStyle w:val="HChG"/>
        <w:spacing w:before="320" w:after="220"/>
      </w:pPr>
      <w:r w:rsidRPr="00DF5B28">
        <w:rPr>
          <w:lang w:val="fr-FR"/>
        </w:rPr>
        <w:tab/>
      </w:r>
      <w:r w:rsidRPr="00DF5B28">
        <w:rPr>
          <w:lang w:val="fr-FR"/>
        </w:rPr>
        <w:tab/>
        <w:t>Proposition d’amendement au Règlement</w:t>
      </w:r>
    </w:p>
    <w:p w:rsidR="00DF5B28" w:rsidRPr="00DF5B28" w:rsidRDefault="00DF5B28" w:rsidP="00E65329">
      <w:pPr>
        <w:pStyle w:val="SingleTxtG"/>
        <w:spacing w:after="110"/>
        <w:rPr>
          <w:lang w:val="fr-FR"/>
        </w:rPr>
      </w:pPr>
      <w:r w:rsidRPr="00DF5B28">
        <w:rPr>
          <w:lang w:val="fr-FR"/>
        </w:rPr>
        <w:t>4.</w:t>
      </w:r>
      <w:r w:rsidRPr="00DF5B28">
        <w:rPr>
          <w:lang w:val="fr-FR"/>
        </w:rPr>
        <w:tab/>
        <w:t>Après analyse, il s’avère que la liste des matières corrosives pour lesquelles la nouvelle disposition spéciale TU42 figure dans la colonne (13) du tableau A du chapitre 3.2 ne contient pas toutes les matières corrosives ayant des propriétés basiques. Il y manque par exemple le tétraborate de sodium (рН de 9,3) et le phosphate trisodique (рН compris entre</w:t>
      </w:r>
      <w:r>
        <w:rPr>
          <w:lang w:val="fr-FR"/>
        </w:rPr>
        <w:t> </w:t>
      </w:r>
      <w:r w:rsidRPr="00DF5B28">
        <w:rPr>
          <w:lang w:val="fr-FR"/>
        </w:rPr>
        <w:t>11,5 et 12,5).</w:t>
      </w:r>
    </w:p>
    <w:p w:rsidR="00DF5B28" w:rsidRDefault="00DF5B28" w:rsidP="00E65329">
      <w:pPr>
        <w:pStyle w:val="SingleTxtG"/>
        <w:rPr>
          <w:lang w:val="fr-FR"/>
        </w:rPr>
      </w:pPr>
      <w:r w:rsidRPr="00DF5B28">
        <w:rPr>
          <w:lang w:val="fr-FR"/>
        </w:rPr>
        <w:t>5.</w:t>
      </w:r>
      <w:r w:rsidRPr="00DF5B28">
        <w:rPr>
          <w:lang w:val="fr-FR"/>
        </w:rPr>
        <w:tab/>
        <w:t>Les spécialistes de la Fédération de Russie considèrent qu’il faut ajouter le No</w:t>
      </w:r>
      <w:r>
        <w:rPr>
          <w:lang w:val="fr-FR"/>
        </w:rPr>
        <w:t> </w:t>
      </w:r>
      <w:r w:rsidRPr="00DF5B28">
        <w:rPr>
          <w:lang w:val="fr-FR"/>
        </w:rPr>
        <w:t>ONU</w:t>
      </w:r>
      <w:r>
        <w:rPr>
          <w:lang w:val="fr-FR"/>
        </w:rPr>
        <w:t> </w:t>
      </w:r>
      <w:r w:rsidRPr="00DF5B28">
        <w:rPr>
          <w:lang w:val="fr-FR"/>
        </w:rPr>
        <w:t>3266, LIQUIDE INORGANIQUE CORROSIF, BASIQUE, N.S.A., groupes d’emballage II et III, à la liste des matières corrosives pour le transport desquelles il convient de réglementer l’usage des citernes en alliage d’aluminium au moyen d’une nouvelle disposition spéciale, TU42, à la colonne (13) du tableau A du chapitre 3.2.</w:t>
      </w:r>
    </w:p>
    <w:p w:rsidR="00DF5B28" w:rsidRPr="00DF5B28" w:rsidRDefault="00DF5B28" w:rsidP="00E65329">
      <w:pPr>
        <w:pStyle w:val="SingleTxtG"/>
        <w:spacing w:before="200" w:after="0" w:line="120" w:lineRule="exact"/>
        <w:jc w:val="center"/>
        <w:rPr>
          <w:u w:val="single"/>
        </w:rPr>
      </w:pPr>
      <w:r>
        <w:rPr>
          <w:u w:val="single"/>
        </w:rPr>
        <w:tab/>
      </w:r>
      <w:r>
        <w:rPr>
          <w:u w:val="single"/>
        </w:rPr>
        <w:tab/>
      </w:r>
      <w:r>
        <w:rPr>
          <w:u w:val="single"/>
        </w:rPr>
        <w:tab/>
      </w:r>
    </w:p>
    <w:sectPr w:rsidR="00DF5B28" w:rsidRPr="00DF5B28" w:rsidSect="00DF5B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AD" w:rsidRDefault="009D40AD" w:rsidP="00F95C08">
      <w:pPr>
        <w:spacing w:line="240" w:lineRule="auto"/>
      </w:pPr>
    </w:p>
  </w:endnote>
  <w:endnote w:type="continuationSeparator" w:id="0">
    <w:p w:rsidR="009D40AD" w:rsidRPr="00AC3823" w:rsidRDefault="009D40AD" w:rsidP="00AC3823">
      <w:pPr>
        <w:pStyle w:val="Footer"/>
      </w:pPr>
    </w:p>
  </w:endnote>
  <w:endnote w:type="continuationNotice" w:id="1">
    <w:p w:rsidR="009D40AD" w:rsidRDefault="009D40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28" w:rsidRPr="00DF5B28" w:rsidRDefault="00DF5B28" w:rsidP="00DF5B28">
    <w:pPr>
      <w:pStyle w:val="Footer"/>
      <w:tabs>
        <w:tab w:val="right" w:pos="9638"/>
      </w:tabs>
    </w:pPr>
    <w:r w:rsidRPr="00DF5B28">
      <w:rPr>
        <w:b/>
        <w:sz w:val="18"/>
      </w:rPr>
      <w:fldChar w:fldCharType="begin"/>
    </w:r>
    <w:r w:rsidRPr="00DF5B28">
      <w:rPr>
        <w:b/>
        <w:sz w:val="18"/>
      </w:rPr>
      <w:instrText xml:space="preserve"> PAGE  \* MERGEFORMAT </w:instrText>
    </w:r>
    <w:r w:rsidRPr="00DF5B28">
      <w:rPr>
        <w:b/>
        <w:sz w:val="18"/>
      </w:rPr>
      <w:fldChar w:fldCharType="separate"/>
    </w:r>
    <w:r w:rsidR="00836E12">
      <w:rPr>
        <w:b/>
        <w:noProof/>
        <w:sz w:val="18"/>
      </w:rPr>
      <w:t>2</w:t>
    </w:r>
    <w:r w:rsidRPr="00DF5B28">
      <w:rPr>
        <w:b/>
        <w:sz w:val="18"/>
      </w:rPr>
      <w:fldChar w:fldCharType="end"/>
    </w:r>
    <w:r>
      <w:rPr>
        <w:b/>
        <w:sz w:val="18"/>
      </w:rPr>
      <w:tab/>
    </w:r>
    <w:r>
      <w:t>GE.17-10797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28" w:rsidRPr="00DF5B28" w:rsidRDefault="00DF5B28" w:rsidP="00DF5B28">
    <w:pPr>
      <w:pStyle w:val="Footer"/>
      <w:tabs>
        <w:tab w:val="right" w:pos="9638"/>
      </w:tabs>
      <w:rPr>
        <w:b/>
        <w:sz w:val="18"/>
      </w:rPr>
    </w:pPr>
    <w:r>
      <w:t>GE.17-10797</w:t>
    </w:r>
    <w:r>
      <w:tab/>
    </w:r>
    <w:r w:rsidRPr="00DF5B28">
      <w:rPr>
        <w:b/>
        <w:sz w:val="18"/>
      </w:rPr>
      <w:fldChar w:fldCharType="begin"/>
    </w:r>
    <w:r w:rsidRPr="00DF5B28">
      <w:rPr>
        <w:b/>
        <w:sz w:val="18"/>
      </w:rPr>
      <w:instrText xml:space="preserve"> PAGE  \* MERGEFORMAT </w:instrText>
    </w:r>
    <w:r w:rsidRPr="00DF5B28">
      <w:rPr>
        <w:b/>
        <w:sz w:val="18"/>
      </w:rPr>
      <w:fldChar w:fldCharType="separate"/>
    </w:r>
    <w:r w:rsidR="009E6033">
      <w:rPr>
        <w:b/>
        <w:noProof/>
        <w:sz w:val="18"/>
      </w:rPr>
      <w:t>3</w:t>
    </w:r>
    <w:r w:rsidRPr="00DF5B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F5B28" w:rsidRDefault="00DF5B28" w:rsidP="00DF5B28">
    <w:pPr>
      <w:pStyle w:val="Footer"/>
      <w:spacing w:before="120"/>
      <w:rPr>
        <w:sz w:val="20"/>
      </w:rPr>
    </w:pPr>
    <w:r>
      <w:rPr>
        <w:sz w:val="20"/>
      </w:rPr>
      <w:t>GE.</w:t>
    </w:r>
    <w:r w:rsidR="007F20FA">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17-10797  (F)</w:t>
    </w:r>
    <w:r w:rsidR="00FC0A25">
      <w:rPr>
        <w:sz w:val="20"/>
      </w:rPr>
      <w:t xml:space="preserve">    140717    250717</w:t>
    </w:r>
    <w:r>
      <w:rPr>
        <w:sz w:val="20"/>
      </w:rPr>
      <w:br/>
    </w:r>
    <w:r w:rsidRPr="00DF5B28">
      <w:rPr>
        <w:rFonts w:ascii="C39T30Lfz" w:hAnsi="C39T30Lfz"/>
        <w:sz w:val="56"/>
      </w:rPr>
      <w:t></w:t>
    </w:r>
    <w:r w:rsidRPr="00DF5B28">
      <w:rPr>
        <w:rFonts w:ascii="C39T30Lfz" w:hAnsi="C39T30Lfz"/>
        <w:sz w:val="56"/>
      </w:rPr>
      <w:t></w:t>
    </w:r>
    <w:r w:rsidRPr="00DF5B28">
      <w:rPr>
        <w:rFonts w:ascii="C39T30Lfz" w:hAnsi="C39T30Lfz"/>
        <w:sz w:val="56"/>
      </w:rPr>
      <w:t></w:t>
    </w:r>
    <w:r w:rsidRPr="00DF5B28">
      <w:rPr>
        <w:rFonts w:ascii="C39T30Lfz" w:hAnsi="C39T30Lfz"/>
        <w:sz w:val="56"/>
      </w:rPr>
      <w:t></w:t>
    </w:r>
    <w:r w:rsidRPr="00DF5B28">
      <w:rPr>
        <w:rFonts w:ascii="C39T30Lfz" w:hAnsi="C39T30Lfz"/>
        <w:sz w:val="56"/>
      </w:rPr>
      <w:t></w:t>
    </w:r>
    <w:r w:rsidRPr="00DF5B28">
      <w:rPr>
        <w:rFonts w:ascii="C39T30Lfz" w:hAnsi="C39T30Lfz"/>
        <w:sz w:val="56"/>
      </w:rPr>
      <w:t></w:t>
    </w:r>
    <w:r w:rsidRPr="00DF5B28">
      <w:rPr>
        <w:rFonts w:ascii="C39T30Lfz" w:hAnsi="C39T30Lfz"/>
        <w:sz w:val="56"/>
      </w:rPr>
      <w:t></w:t>
    </w:r>
    <w:r w:rsidRPr="00DF5B28">
      <w:rPr>
        <w:rFonts w:ascii="C39T30Lfz" w:hAnsi="C39T30Lfz"/>
        <w:sz w:val="56"/>
      </w:rPr>
      <w:t></w:t>
    </w:r>
    <w:r w:rsidRPr="00DF5B28">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AD" w:rsidRPr="00AC3823" w:rsidRDefault="009D40AD" w:rsidP="00AC3823">
      <w:pPr>
        <w:pStyle w:val="Footer"/>
        <w:tabs>
          <w:tab w:val="right" w:pos="2155"/>
        </w:tabs>
        <w:spacing w:after="80" w:line="240" w:lineRule="atLeast"/>
        <w:ind w:left="680"/>
        <w:rPr>
          <w:u w:val="single"/>
        </w:rPr>
      </w:pPr>
      <w:r>
        <w:rPr>
          <w:u w:val="single"/>
        </w:rPr>
        <w:tab/>
      </w:r>
    </w:p>
  </w:footnote>
  <w:footnote w:type="continuationSeparator" w:id="0">
    <w:p w:rsidR="009D40AD" w:rsidRPr="00AC3823" w:rsidRDefault="009D40AD" w:rsidP="00AC3823">
      <w:pPr>
        <w:pStyle w:val="Footer"/>
        <w:tabs>
          <w:tab w:val="right" w:pos="2155"/>
        </w:tabs>
        <w:spacing w:after="80" w:line="240" w:lineRule="atLeast"/>
        <w:ind w:left="680"/>
        <w:rPr>
          <w:u w:val="single"/>
        </w:rPr>
      </w:pPr>
      <w:r>
        <w:rPr>
          <w:u w:val="single"/>
        </w:rPr>
        <w:tab/>
      </w:r>
    </w:p>
  </w:footnote>
  <w:footnote w:type="continuationNotice" w:id="1">
    <w:p w:rsidR="009D40AD" w:rsidRPr="00AC3823" w:rsidRDefault="009D40AD">
      <w:pPr>
        <w:spacing w:line="240" w:lineRule="auto"/>
        <w:rPr>
          <w:sz w:val="2"/>
          <w:szCs w:val="2"/>
        </w:rPr>
      </w:pPr>
    </w:p>
  </w:footnote>
  <w:footnote w:id="2">
    <w:p w:rsidR="006D3100" w:rsidRPr="006D3100" w:rsidRDefault="006D3100">
      <w:pPr>
        <w:pStyle w:val="FootnoteText"/>
      </w:pPr>
      <w:r>
        <w:rPr>
          <w:rStyle w:val="FootnoteReference"/>
        </w:rPr>
        <w:tab/>
      </w:r>
      <w:r w:rsidRPr="006D3100">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2016-2017 (ECE/TRANS/2016/28/Add.1 (9.2)).</w:t>
      </w:r>
    </w:p>
  </w:footnote>
  <w:footnote w:id="3">
    <w:p w:rsidR="006D3100" w:rsidRPr="006D3100" w:rsidRDefault="006D3100">
      <w:pPr>
        <w:pStyle w:val="FootnoteText"/>
      </w:pPr>
      <w:r>
        <w:rPr>
          <w:rStyle w:val="FootnoteReference"/>
        </w:rPr>
        <w:tab/>
      </w:r>
      <w:r w:rsidRPr="006D3100">
        <w:rPr>
          <w:rStyle w:val="FootnoteReference"/>
          <w:sz w:val="20"/>
          <w:vertAlign w:val="baseline"/>
        </w:rPr>
        <w:t>**</w:t>
      </w:r>
      <w:r>
        <w:rPr>
          <w:rStyle w:val="FootnoteReference"/>
          <w:sz w:val="20"/>
          <w:vertAlign w:val="baseline"/>
        </w:rPr>
        <w:tab/>
      </w:r>
      <w:r>
        <w:rPr>
          <w:lang w:val="fr-FR"/>
        </w:rPr>
        <w:t>Distribuée par l’Organisation intergouvernementale pour les transports internationaux ferroviaires (OTIF) sous la cote OTIF/RID/RC/2017/31.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28" w:rsidRPr="00DF5B28" w:rsidRDefault="00024FB2">
    <w:pPr>
      <w:pStyle w:val="Header"/>
    </w:pPr>
    <w:fldSimple w:instr=" TITLE  \* MERGEFORMAT ">
      <w:r>
        <w:t>ECE/TRANS/WP.15/AC.1/2017/31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28" w:rsidRPr="00DF5B28" w:rsidRDefault="00024FB2" w:rsidP="00DF5B28">
    <w:pPr>
      <w:pStyle w:val="Header"/>
      <w:jc w:val="right"/>
    </w:pPr>
    <w:fldSimple w:instr=" TITLE  \* MERGEFORMAT ">
      <w:r>
        <w:t>ECE/TRANS/WP.15/AC.1/2017/31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AD"/>
    <w:rsid w:val="00017F94"/>
    <w:rsid w:val="00023842"/>
    <w:rsid w:val="00024FB2"/>
    <w:rsid w:val="000334F9"/>
    <w:rsid w:val="00045FEB"/>
    <w:rsid w:val="0007796D"/>
    <w:rsid w:val="00091B25"/>
    <w:rsid w:val="000B7790"/>
    <w:rsid w:val="00111F2F"/>
    <w:rsid w:val="0014365E"/>
    <w:rsid w:val="00143C66"/>
    <w:rsid w:val="00176178"/>
    <w:rsid w:val="001F525A"/>
    <w:rsid w:val="00223272"/>
    <w:rsid w:val="0024779E"/>
    <w:rsid w:val="0025126D"/>
    <w:rsid w:val="00257168"/>
    <w:rsid w:val="002744B8"/>
    <w:rsid w:val="002832AC"/>
    <w:rsid w:val="002D7C93"/>
    <w:rsid w:val="00305801"/>
    <w:rsid w:val="003916DE"/>
    <w:rsid w:val="00441C3B"/>
    <w:rsid w:val="00446FE5"/>
    <w:rsid w:val="00452396"/>
    <w:rsid w:val="004837D8"/>
    <w:rsid w:val="004D4FEA"/>
    <w:rsid w:val="004E468C"/>
    <w:rsid w:val="005505B7"/>
    <w:rsid w:val="00564985"/>
    <w:rsid w:val="00573BE5"/>
    <w:rsid w:val="00586ED3"/>
    <w:rsid w:val="00596AA9"/>
    <w:rsid w:val="006D3100"/>
    <w:rsid w:val="0071601D"/>
    <w:rsid w:val="007A62E6"/>
    <w:rsid w:val="007B5E24"/>
    <w:rsid w:val="007F20FA"/>
    <w:rsid w:val="0080684C"/>
    <w:rsid w:val="00836E12"/>
    <w:rsid w:val="00871C75"/>
    <w:rsid w:val="008776DC"/>
    <w:rsid w:val="008F461E"/>
    <w:rsid w:val="009446C0"/>
    <w:rsid w:val="009705C8"/>
    <w:rsid w:val="009C1CF4"/>
    <w:rsid w:val="009D40AD"/>
    <w:rsid w:val="009E6033"/>
    <w:rsid w:val="009F6B74"/>
    <w:rsid w:val="00A30353"/>
    <w:rsid w:val="00AC3823"/>
    <w:rsid w:val="00AE323C"/>
    <w:rsid w:val="00AF0CB5"/>
    <w:rsid w:val="00B00181"/>
    <w:rsid w:val="00B00B0D"/>
    <w:rsid w:val="00B765F7"/>
    <w:rsid w:val="00BA0CA9"/>
    <w:rsid w:val="00BE0C6C"/>
    <w:rsid w:val="00C02897"/>
    <w:rsid w:val="00C67BC8"/>
    <w:rsid w:val="00C97039"/>
    <w:rsid w:val="00D02939"/>
    <w:rsid w:val="00D3439C"/>
    <w:rsid w:val="00DB1831"/>
    <w:rsid w:val="00DD3BFD"/>
    <w:rsid w:val="00DF5B28"/>
    <w:rsid w:val="00DF6678"/>
    <w:rsid w:val="00E65329"/>
    <w:rsid w:val="00E85C74"/>
    <w:rsid w:val="00EA6547"/>
    <w:rsid w:val="00EF2E22"/>
    <w:rsid w:val="00F35BAF"/>
    <w:rsid w:val="00F61EEF"/>
    <w:rsid w:val="00F660DF"/>
    <w:rsid w:val="00F94664"/>
    <w:rsid w:val="00F9573C"/>
    <w:rsid w:val="00F95C08"/>
    <w:rsid w:val="00FC0A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0C15FD-0571-46C7-90A9-FDA1CB8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uiPriority w:val="1"/>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uiPriority w:val="1"/>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1"/>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DF5B28"/>
    <w:rPr>
      <w:rFonts w:ascii="Times New Roman" w:hAnsi="Times New Roman" w:cs="Times New Roman"/>
      <w:b/>
      <w:sz w:val="28"/>
      <w:szCs w:val="20"/>
      <w:lang w:eastAsia="en-US"/>
    </w:rPr>
  </w:style>
  <w:style w:type="character" w:customStyle="1" w:styleId="SingleTxtGChar">
    <w:name w:val="_ Single Txt_G Char"/>
    <w:link w:val="SingleTxtG"/>
    <w:rsid w:val="00DF5B28"/>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ECE/TRANS/WP.15/AC.1/2017/31</vt:lpstr>
      <vt:lpstr>ECE/TRANS/WP.15/AC.1/2017/31</vt:lpstr>
    </vt:vector>
  </TitlesOfParts>
  <Company>DCM</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ECE/TRANS/WP.15/AC.1/2017/31</dc:title>
  <dc:subject/>
  <dc:creator>Fabienne CRELIER</dc:creator>
  <cp:keywords/>
  <cp:lastModifiedBy>Christine Barrio-Champeau</cp:lastModifiedBy>
  <cp:revision>2</cp:revision>
  <cp:lastPrinted>2017-07-25T09:11:00Z</cp:lastPrinted>
  <dcterms:created xsi:type="dcterms:W3CDTF">2017-07-28T08:38:00Z</dcterms:created>
  <dcterms:modified xsi:type="dcterms:W3CDTF">2017-07-28T08:38:00Z</dcterms:modified>
</cp:coreProperties>
</file>