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1CE7" w:rsidRPr="00DE1F09" w:rsidTr="007F20FA">
        <w:trPr>
          <w:trHeight w:hRule="exact" w:val="851"/>
        </w:trPr>
        <w:tc>
          <w:tcPr>
            <w:tcW w:w="1276" w:type="dxa"/>
            <w:tcBorders>
              <w:bottom w:val="single" w:sz="4" w:space="0" w:color="auto"/>
            </w:tcBorders>
          </w:tcPr>
          <w:p w:rsidR="00A71CE7" w:rsidRPr="00DB58B5" w:rsidRDefault="00A71CE7" w:rsidP="0007146F"/>
        </w:tc>
        <w:tc>
          <w:tcPr>
            <w:tcW w:w="2268" w:type="dxa"/>
            <w:tcBorders>
              <w:bottom w:val="single" w:sz="4" w:space="0" w:color="auto"/>
            </w:tcBorders>
            <w:vAlign w:val="bottom"/>
          </w:tcPr>
          <w:p w:rsidR="00A71CE7" w:rsidRPr="00DB58B5" w:rsidRDefault="00A71CE7"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1CE7" w:rsidRPr="00D30E58" w:rsidRDefault="00A71CE7" w:rsidP="00176561">
            <w:pPr>
              <w:jc w:val="right"/>
              <w:rPr>
                <w:lang w:val="en-GB"/>
              </w:rPr>
            </w:pPr>
            <w:r w:rsidRPr="00D30E58">
              <w:rPr>
                <w:sz w:val="40"/>
                <w:lang w:val="en-GB"/>
              </w:rPr>
              <w:t>ECE</w:t>
            </w:r>
            <w:r w:rsidRPr="00D30E58">
              <w:rPr>
                <w:lang w:val="en-GB"/>
              </w:rPr>
              <w:t>/TRANS/WP.15/AC.1/201</w:t>
            </w:r>
            <w:r w:rsidR="00450281">
              <w:rPr>
                <w:lang w:val="en-GB"/>
              </w:rPr>
              <w:t>7</w:t>
            </w:r>
            <w:r w:rsidRPr="00D30E58">
              <w:rPr>
                <w:lang w:val="en-GB"/>
              </w:rPr>
              <w:t>/</w:t>
            </w:r>
            <w:r w:rsidR="00176561">
              <w:rPr>
                <w:lang w:val="en-GB"/>
              </w:rPr>
              <w:t>4</w:t>
            </w:r>
          </w:p>
        </w:tc>
      </w:tr>
      <w:tr w:rsidR="00A71CE7" w:rsidRPr="00DB58B5" w:rsidTr="007F5BFF">
        <w:trPr>
          <w:trHeight w:hRule="exact" w:val="2835"/>
        </w:trPr>
        <w:tc>
          <w:tcPr>
            <w:tcW w:w="1276" w:type="dxa"/>
            <w:tcBorders>
              <w:top w:val="single" w:sz="4" w:space="0" w:color="auto"/>
              <w:bottom w:val="single" w:sz="12" w:space="0" w:color="auto"/>
            </w:tcBorders>
          </w:tcPr>
          <w:p w:rsidR="00A71CE7" w:rsidRPr="00DB58B5" w:rsidRDefault="003B0F1F" w:rsidP="007F5BFF">
            <w:pPr>
              <w:spacing w:before="120"/>
              <w:jc w:val="center"/>
            </w:pPr>
            <w:r>
              <w:rPr>
                <w:noProof/>
                <w:lang w:val="en-GB" w:eastAsia="en-GB"/>
              </w:rPr>
              <w:drawing>
                <wp:inline distT="0" distB="0" distL="0" distR="0">
                  <wp:extent cx="716280" cy="551815"/>
                  <wp:effectExtent l="0" t="0" r="7620" b="63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1CE7" w:rsidRPr="00740562" w:rsidRDefault="00A71CE7"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CE7" w:rsidRDefault="00A71CE7" w:rsidP="007F5BFF">
            <w:pPr>
              <w:spacing w:before="240"/>
            </w:pPr>
            <w:r>
              <w:t>Distr. générale</w:t>
            </w:r>
          </w:p>
          <w:p w:rsidR="00A71CE7" w:rsidRDefault="00706E6C" w:rsidP="0007146F">
            <w:pPr>
              <w:spacing w:line="240" w:lineRule="exact"/>
            </w:pPr>
            <w:r>
              <w:t>21</w:t>
            </w:r>
            <w:r w:rsidR="0031783C">
              <w:t xml:space="preserve"> </w:t>
            </w:r>
            <w:r w:rsidR="00450281">
              <w:t>décembre</w:t>
            </w:r>
            <w:r w:rsidR="0031783C">
              <w:t xml:space="preserve"> </w:t>
            </w:r>
            <w:r w:rsidR="00A71CE7">
              <w:t>201</w:t>
            </w:r>
            <w:r>
              <w:t>6</w:t>
            </w:r>
          </w:p>
          <w:p w:rsidR="00A71CE7" w:rsidRDefault="00A71CE7" w:rsidP="0007146F">
            <w:pPr>
              <w:spacing w:line="240" w:lineRule="exact"/>
            </w:pPr>
          </w:p>
          <w:p w:rsidR="00A71CE7" w:rsidRPr="00DB58B5" w:rsidRDefault="00A71CE7" w:rsidP="006A51A2">
            <w:pPr>
              <w:spacing w:line="240" w:lineRule="exact"/>
            </w:pPr>
            <w:r>
              <w:t>Original: français</w:t>
            </w:r>
          </w:p>
        </w:tc>
      </w:tr>
    </w:tbl>
    <w:p w:rsidR="00A71CE7" w:rsidRPr="000312C0" w:rsidRDefault="00A71CE7" w:rsidP="007F20FA">
      <w:pPr>
        <w:spacing w:before="120"/>
        <w:rPr>
          <w:b/>
          <w:sz w:val="28"/>
          <w:szCs w:val="28"/>
        </w:rPr>
      </w:pPr>
      <w:r w:rsidRPr="000312C0">
        <w:rPr>
          <w:b/>
          <w:sz w:val="28"/>
          <w:szCs w:val="28"/>
        </w:rPr>
        <w:t>Commission économique pour l’Europe</w:t>
      </w:r>
    </w:p>
    <w:p w:rsidR="00A71CE7" w:rsidRDefault="00A71CE7" w:rsidP="00B5016D">
      <w:pPr>
        <w:spacing w:before="120" w:after="120"/>
        <w:rPr>
          <w:sz w:val="28"/>
          <w:szCs w:val="28"/>
        </w:rPr>
      </w:pPr>
      <w:r w:rsidRPr="00685843">
        <w:rPr>
          <w:sz w:val="28"/>
          <w:szCs w:val="28"/>
        </w:rPr>
        <w:t>Comité des transports intérieurs</w:t>
      </w:r>
    </w:p>
    <w:p w:rsidR="00A71CE7" w:rsidRPr="00B5016D" w:rsidRDefault="00A71CE7" w:rsidP="00B5016D">
      <w:pPr>
        <w:spacing w:after="120"/>
        <w:rPr>
          <w:b/>
          <w:sz w:val="24"/>
          <w:szCs w:val="24"/>
        </w:rPr>
      </w:pPr>
      <w:r w:rsidRPr="00B5016D">
        <w:rPr>
          <w:b/>
          <w:sz w:val="24"/>
          <w:szCs w:val="24"/>
        </w:rPr>
        <w:t>Groupe de travail des transports de marchandises dangereuses</w:t>
      </w:r>
    </w:p>
    <w:p w:rsidR="00A71CE7" w:rsidRPr="007A7C4F" w:rsidRDefault="00A71CE7"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A71CE7" w:rsidRPr="007A7C4F" w:rsidRDefault="009E4BB0" w:rsidP="00E97CD5">
      <w:pPr>
        <w:rPr>
          <w:szCs w:val="24"/>
        </w:rPr>
      </w:pPr>
      <w:r>
        <w:rPr>
          <w:szCs w:val="24"/>
        </w:rPr>
        <w:t>Berne</w:t>
      </w:r>
      <w:r w:rsidR="00A71CE7" w:rsidRPr="007A7C4F">
        <w:rPr>
          <w:szCs w:val="24"/>
        </w:rPr>
        <w:t xml:space="preserve">, </w:t>
      </w:r>
      <w:r w:rsidR="00A71CE7">
        <w:rPr>
          <w:szCs w:val="24"/>
        </w:rPr>
        <w:t>1</w:t>
      </w:r>
      <w:r>
        <w:rPr>
          <w:szCs w:val="24"/>
        </w:rPr>
        <w:t>3</w:t>
      </w:r>
      <w:r w:rsidR="00A71CE7" w:rsidRPr="007A7C4F">
        <w:rPr>
          <w:szCs w:val="24"/>
        </w:rPr>
        <w:t>-</w:t>
      </w:r>
      <w:r>
        <w:rPr>
          <w:szCs w:val="24"/>
        </w:rPr>
        <w:t>17</w:t>
      </w:r>
      <w:r w:rsidR="00A71CE7">
        <w:rPr>
          <w:szCs w:val="24"/>
        </w:rPr>
        <w:t xml:space="preserve"> </w:t>
      </w:r>
      <w:r>
        <w:rPr>
          <w:szCs w:val="24"/>
        </w:rPr>
        <w:t>mars</w:t>
      </w:r>
      <w:r w:rsidR="00A71CE7" w:rsidRPr="007A7C4F">
        <w:rPr>
          <w:szCs w:val="24"/>
        </w:rPr>
        <w:t xml:space="preserve"> 201</w:t>
      </w:r>
      <w:r>
        <w:rPr>
          <w:szCs w:val="24"/>
        </w:rPr>
        <w:t>7</w:t>
      </w:r>
    </w:p>
    <w:p w:rsidR="00450281" w:rsidRDefault="00450281" w:rsidP="0045028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450281" w:rsidRDefault="00450281" w:rsidP="004502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Propositions diverses d’amendements au RID/ADR/ADN: </w:t>
      </w:r>
      <w:r>
        <w:rPr>
          <w:lang w:val="fr-CH"/>
        </w:rPr>
        <w:br/>
        <w:t>nouvelles propositions</w:t>
      </w:r>
    </w:p>
    <w:p w:rsidR="00450281" w:rsidRDefault="00450281" w:rsidP="00BE5873">
      <w:pPr>
        <w:pStyle w:val="HChG"/>
        <w:rPr>
          <w:lang w:val="fr-FR"/>
        </w:rPr>
      </w:pPr>
      <w:r>
        <w:tab/>
      </w:r>
      <w:r>
        <w:tab/>
      </w:r>
      <w:r w:rsidR="00BE5873" w:rsidRPr="00A01CC4">
        <w:rPr>
          <w:lang w:val="fr-FR"/>
        </w:rPr>
        <w:t>Modification du paragraphe 1.8.3.16.2 du RID/ADR/ADN</w:t>
      </w:r>
    </w:p>
    <w:p w:rsidR="00450281" w:rsidRDefault="00BE5873" w:rsidP="00450281">
      <w:pPr>
        <w:pStyle w:val="H1"/>
        <w:ind w:left="1134"/>
        <w:rPr>
          <w:lang w:val="fr-CH"/>
        </w:rPr>
      </w:pPr>
      <w:r>
        <w:rPr>
          <w:lang w:val="fr-FR"/>
        </w:rPr>
        <w:t>Communication du Gouvernement de l’Italie</w:t>
      </w:r>
      <w:r w:rsidR="00E82E08" w:rsidRPr="00BC47CE">
        <w:rPr>
          <w:rStyle w:val="Appelnotedebasdep"/>
          <w:b w:val="0"/>
          <w:sz w:val="20"/>
          <w:szCs w:val="20"/>
        </w:rPr>
        <w:footnoteReference w:id="2"/>
      </w:r>
      <w:r w:rsidR="00E82E08" w:rsidRPr="00BC47CE">
        <w:rPr>
          <w:b w:val="0"/>
          <w:position w:val="6"/>
          <w:sz w:val="20"/>
          <w:szCs w:val="20"/>
          <w:lang w:val="fr-CH"/>
        </w:rPr>
        <w:t>,</w:t>
      </w:r>
      <w:r w:rsidR="00BC47CE" w:rsidRPr="00BC47CE">
        <w:rPr>
          <w:b w:val="0"/>
          <w:sz w:val="20"/>
          <w:szCs w:val="20"/>
          <w:lang w:val="fr-CH"/>
        </w:rPr>
        <w:t xml:space="preserve"> </w:t>
      </w:r>
      <w:r w:rsidR="00BC47CE" w:rsidRPr="00BC47CE">
        <w:rPr>
          <w:rStyle w:val="Appelnotedebasdep"/>
          <w:b w:val="0"/>
          <w:sz w:val="20"/>
          <w:szCs w:val="20"/>
        </w:rPr>
        <w:footnoteReference w:customMarkFollows="1" w:id="3"/>
        <w:t>**</w:t>
      </w:r>
    </w:p>
    <w:p w:rsidR="00450281" w:rsidRDefault="00450281" w:rsidP="00E82E08">
      <w:pPr>
        <w:pStyle w:val="HChG"/>
        <w:tabs>
          <w:tab w:val="clear" w:pos="851"/>
        </w:tabs>
        <w:rPr>
          <w:b w:val="0"/>
          <w:lang w:val="fr-FR"/>
        </w:rPr>
      </w:pPr>
      <w:r>
        <w:rPr>
          <w:lang w:val="fr-FR"/>
        </w:rPr>
        <w:tab/>
        <w:t>Introduction</w:t>
      </w:r>
    </w:p>
    <w:p w:rsidR="00BE5873" w:rsidRPr="00A01CC4" w:rsidRDefault="00BE5873" w:rsidP="00BE5873">
      <w:pPr>
        <w:pStyle w:val="SingleTxtG"/>
        <w:rPr>
          <w:lang w:val="fr-FR"/>
        </w:rPr>
      </w:pPr>
      <w:r>
        <w:rPr>
          <w:lang w:val="fr-FR"/>
        </w:rPr>
        <w:t>1.</w:t>
      </w:r>
      <w:r>
        <w:rPr>
          <w:lang w:val="fr-FR"/>
        </w:rPr>
        <w:tab/>
      </w:r>
      <w:r w:rsidRPr="00A01CC4">
        <w:rPr>
          <w:lang w:val="fr-FR"/>
        </w:rPr>
        <w:t>Lors de la session de mars 2016 l’Italie avait présenté le document informel INF.31 - Renouvellement du certificat des conseillers à la sécurité -. La Réunion à invité l’Italie à soumettre une proposition officielle (point 51 du Rapport</w:t>
      </w:r>
      <w:r w:rsidR="00072A47">
        <w:rPr>
          <w:lang w:val="fr-FR"/>
        </w:rPr>
        <w:t xml:space="preserve"> ECE/TRANS/WP.15/AC.1/142</w:t>
      </w:r>
      <w:r w:rsidRPr="00A01CC4">
        <w:rPr>
          <w:lang w:val="fr-FR"/>
        </w:rPr>
        <w:t>).</w:t>
      </w:r>
    </w:p>
    <w:p w:rsidR="00BE5873" w:rsidRPr="00A01CC4" w:rsidRDefault="00BE5873" w:rsidP="00BE5873">
      <w:pPr>
        <w:pStyle w:val="SingleTxtG"/>
        <w:rPr>
          <w:lang w:val="fr-FR"/>
        </w:rPr>
      </w:pPr>
      <w:r>
        <w:rPr>
          <w:lang w:val="fr-FR"/>
        </w:rPr>
        <w:t>2.</w:t>
      </w:r>
      <w:r>
        <w:rPr>
          <w:lang w:val="fr-FR"/>
        </w:rPr>
        <w:tab/>
      </w:r>
      <w:r w:rsidRPr="00A01CC4">
        <w:rPr>
          <w:lang w:val="fr-FR"/>
        </w:rPr>
        <w:t>En ce qui concerne le renouvellement du certific</w:t>
      </w:r>
      <w:r w:rsidR="00072A47">
        <w:rPr>
          <w:lang w:val="fr-FR"/>
        </w:rPr>
        <w:t>at, le 1.8.3.16.2 prévoit que «</w:t>
      </w:r>
      <w:r>
        <w:rPr>
          <w:lang w:val="fr-FR"/>
        </w:rPr>
        <w:t>L</w:t>
      </w:r>
      <w:r w:rsidRPr="00A01CC4">
        <w:rPr>
          <w:lang w:val="fr-FR"/>
        </w:rPr>
        <w:t>’examen a pour but de vérifier si le titulaire possède les connaissances nécessaires pour exercer les tâches visées au 1.8.3.3. Les connaissances nécessaires sont définies au 1.8.3.11 b) et doivent inclure les modifications qui ont été apportées à la législation depuis l’obtention du dernier certificat. L’examen doit être organisé et supervisé selon les critères énoncés aux 1.8.3.10 et 1.8.3.12 à 1.8.3.14. Cependant, il n’est pas nécessaire que le titulaire réalise l’étude de cas mentionnée au 1.8.3.12.4 b).».</w:t>
      </w:r>
    </w:p>
    <w:p w:rsidR="00BE5873" w:rsidRPr="00A01CC4" w:rsidRDefault="00BE5873" w:rsidP="00BE5873">
      <w:pPr>
        <w:pStyle w:val="SingleTxtG"/>
        <w:rPr>
          <w:lang w:val="fr-FR"/>
        </w:rPr>
      </w:pPr>
      <w:r>
        <w:rPr>
          <w:lang w:val="fr-FR"/>
        </w:rPr>
        <w:t>3.</w:t>
      </w:r>
      <w:r>
        <w:rPr>
          <w:lang w:val="fr-FR"/>
        </w:rPr>
        <w:tab/>
      </w:r>
      <w:r w:rsidRPr="00A01CC4">
        <w:rPr>
          <w:lang w:val="fr-FR"/>
        </w:rPr>
        <w:t>Étant donné que dans le même paragraphe,</w:t>
      </w:r>
      <w:r w:rsidR="00072A47">
        <w:rPr>
          <w:lang w:val="fr-FR"/>
        </w:rPr>
        <w:t xml:space="preserve"> il est indiqué que les «</w:t>
      </w:r>
      <w:r w:rsidRPr="00A01CC4">
        <w:rPr>
          <w:lang w:val="fr-FR"/>
        </w:rPr>
        <w:t>connaissances nécessaires sont définies au 1.8.3.11 b) et doivent inclure les modifications qui ont été apportées à la législation depuis l’</w:t>
      </w:r>
      <w:r w:rsidR="00072A47">
        <w:rPr>
          <w:lang w:val="fr-FR"/>
        </w:rPr>
        <w:t>obtention du dernier certificat</w:t>
      </w:r>
      <w:r w:rsidRPr="00A01CC4">
        <w:rPr>
          <w:lang w:val="fr-FR"/>
        </w:rPr>
        <w:t xml:space="preserve">», que le certificat a une durée de validité de cinq ans, et que, par conséquent, après le dernier examen, au moins </w:t>
      </w:r>
      <w:r w:rsidRPr="00A01CC4">
        <w:rPr>
          <w:lang w:val="fr-FR"/>
        </w:rPr>
        <w:lastRenderedPageBreak/>
        <w:t xml:space="preserve">deux éditions du RID/ADR/ADN sont entrées en vigueur, l’Italie est d’avis qu’un examen complet selon 1.8.3.12.4 est nécessaire pour le renouvellement. </w:t>
      </w:r>
    </w:p>
    <w:p w:rsidR="00450281" w:rsidRPr="002A24AA" w:rsidRDefault="00BE5873" w:rsidP="002A24AA">
      <w:pPr>
        <w:pStyle w:val="HChG"/>
        <w:rPr>
          <w:sz w:val="24"/>
          <w:szCs w:val="24"/>
        </w:rPr>
      </w:pPr>
      <w:r>
        <w:rPr>
          <w:sz w:val="24"/>
          <w:szCs w:val="24"/>
        </w:rPr>
        <w:tab/>
      </w:r>
      <w:r>
        <w:rPr>
          <w:sz w:val="24"/>
          <w:szCs w:val="24"/>
        </w:rPr>
        <w:tab/>
        <w:t xml:space="preserve">Proposition </w:t>
      </w:r>
    </w:p>
    <w:p w:rsidR="00BE5873" w:rsidRPr="00A01CC4" w:rsidRDefault="00BE5873" w:rsidP="00BE5873">
      <w:pPr>
        <w:pStyle w:val="SingleTxtG"/>
        <w:rPr>
          <w:lang w:val="fr-FR"/>
        </w:rPr>
      </w:pPr>
      <w:r>
        <w:t>4</w:t>
      </w:r>
      <w:r w:rsidR="00450281" w:rsidRPr="002A24AA">
        <w:t>.</w:t>
      </w:r>
      <w:r w:rsidR="00450281" w:rsidRPr="002A24AA">
        <w:tab/>
      </w:r>
      <w:r w:rsidRPr="00A01CC4">
        <w:rPr>
          <w:lang w:val="fr-FR"/>
        </w:rPr>
        <w:t>L’Italie propose de biffer l</w:t>
      </w:r>
      <w:r w:rsidR="00072A47">
        <w:rPr>
          <w:lang w:val="fr-FR"/>
        </w:rPr>
        <w:t>a phrase: «</w:t>
      </w:r>
      <w:r w:rsidRPr="00A01CC4">
        <w:rPr>
          <w:lang w:val="fr-FR"/>
        </w:rPr>
        <w:t>Cependant, il n’est pas nécessaire que le titulaire réalise l’étude de c</w:t>
      </w:r>
      <w:r w:rsidR="00072A47">
        <w:rPr>
          <w:lang w:val="fr-FR"/>
        </w:rPr>
        <w:t>as mentionnée au 1.8.3.12.4 b).</w:t>
      </w:r>
      <w:r w:rsidRPr="00A01CC4">
        <w:rPr>
          <w:lang w:val="fr-FR"/>
        </w:rPr>
        <w:t>»</w:t>
      </w:r>
      <w:r w:rsidR="00072A47">
        <w:rPr>
          <w:lang w:val="fr-FR"/>
        </w:rPr>
        <w:t>.</w:t>
      </w:r>
      <w:r w:rsidRPr="00A01CC4">
        <w:rPr>
          <w:lang w:val="fr-FR"/>
        </w:rPr>
        <w:t xml:space="preserve"> </w:t>
      </w:r>
    </w:p>
    <w:p w:rsidR="00BE5873" w:rsidRPr="00A01CC4" w:rsidRDefault="00BE5873" w:rsidP="00BE5873">
      <w:pPr>
        <w:pStyle w:val="HChG"/>
        <w:rPr>
          <w:b w:val="0"/>
          <w:sz w:val="22"/>
          <w:szCs w:val="22"/>
          <w:lang w:val="fr-FR"/>
        </w:rPr>
      </w:pPr>
      <w:r>
        <w:rPr>
          <w:sz w:val="22"/>
          <w:szCs w:val="22"/>
          <w:lang w:val="fr-FR"/>
        </w:rPr>
        <w:tab/>
      </w:r>
      <w:r>
        <w:rPr>
          <w:sz w:val="22"/>
          <w:szCs w:val="22"/>
          <w:lang w:val="fr-FR"/>
        </w:rPr>
        <w:tab/>
      </w:r>
      <w:r w:rsidR="00FD7826">
        <w:rPr>
          <w:sz w:val="22"/>
          <w:szCs w:val="22"/>
          <w:lang w:val="fr-FR"/>
        </w:rPr>
        <w:t>Modification consé</w:t>
      </w:r>
      <w:r w:rsidRPr="00A01CC4">
        <w:rPr>
          <w:sz w:val="22"/>
          <w:szCs w:val="22"/>
          <w:lang w:val="fr-FR"/>
        </w:rPr>
        <w:t>quentielle</w:t>
      </w:r>
    </w:p>
    <w:p w:rsidR="00BE5873" w:rsidRPr="00A01CC4" w:rsidRDefault="00BE5873" w:rsidP="00BE5873">
      <w:pPr>
        <w:pStyle w:val="SingleTxtG"/>
        <w:rPr>
          <w:lang w:val="fr-FR"/>
        </w:rPr>
      </w:pPr>
      <w:r>
        <w:rPr>
          <w:lang w:val="fr-FR"/>
        </w:rPr>
        <w:t>5.</w:t>
      </w:r>
      <w:r>
        <w:rPr>
          <w:lang w:val="fr-FR"/>
        </w:rPr>
        <w:tab/>
      </w:r>
      <w:r w:rsidRPr="00A01CC4">
        <w:rPr>
          <w:lang w:val="fr-FR"/>
        </w:rPr>
        <w:t xml:space="preserve">Si cette proposition </w:t>
      </w:r>
      <w:r w:rsidR="00072A47">
        <w:rPr>
          <w:lang w:val="fr-FR"/>
        </w:rPr>
        <w:t>est</w:t>
      </w:r>
      <w:r w:rsidRPr="00A01CC4">
        <w:rPr>
          <w:lang w:val="fr-FR"/>
        </w:rPr>
        <w:t xml:space="preserve"> adoptée il </w:t>
      </w:r>
      <w:r w:rsidR="00072A47">
        <w:rPr>
          <w:lang w:val="fr-FR"/>
        </w:rPr>
        <w:t>convient de prévoir une mesure transitoire</w:t>
      </w:r>
      <w:r w:rsidRPr="00A01CC4">
        <w:rPr>
          <w:lang w:val="fr-FR"/>
        </w:rPr>
        <w:t>:</w:t>
      </w:r>
    </w:p>
    <w:p w:rsidR="00BE5873" w:rsidRDefault="00072A47" w:rsidP="00BE5873">
      <w:pPr>
        <w:pStyle w:val="SingleTxtG"/>
        <w:ind w:left="2268" w:hanging="1134"/>
        <w:rPr>
          <w:lang w:val="fr-FR"/>
        </w:rPr>
      </w:pPr>
      <w:r>
        <w:rPr>
          <w:spacing w:val="-1"/>
          <w:lang w:val="fr-FR"/>
        </w:rPr>
        <w:t>«</w:t>
      </w:r>
      <w:r w:rsidR="00BE5873">
        <w:rPr>
          <w:spacing w:val="-1"/>
          <w:lang w:val="fr-FR"/>
        </w:rPr>
        <w:t>1.6.1.X</w:t>
      </w:r>
      <w:r w:rsidR="00BE5873">
        <w:rPr>
          <w:spacing w:val="-1"/>
          <w:lang w:val="fr-FR"/>
        </w:rPr>
        <w:tab/>
      </w:r>
      <w:r w:rsidR="00BE5873" w:rsidRPr="00A01CC4">
        <w:rPr>
          <w:spacing w:val="-1"/>
          <w:lang w:val="fr-FR"/>
        </w:rPr>
        <w:t xml:space="preserve">Les </w:t>
      </w:r>
      <w:r w:rsidR="00BE5873" w:rsidRPr="00A01CC4">
        <w:rPr>
          <w:lang w:val="fr-FR"/>
        </w:rPr>
        <w:t>c</w:t>
      </w:r>
      <w:r w:rsidR="00BE5873" w:rsidRPr="00A01CC4">
        <w:rPr>
          <w:spacing w:val="-1"/>
          <w:lang w:val="fr-FR"/>
        </w:rPr>
        <w:t>e</w:t>
      </w:r>
      <w:r w:rsidR="00BE5873" w:rsidRPr="00A01CC4">
        <w:rPr>
          <w:lang w:val="fr-FR"/>
        </w:rPr>
        <w:t>r</w:t>
      </w:r>
      <w:r w:rsidR="00BE5873" w:rsidRPr="00A01CC4">
        <w:rPr>
          <w:spacing w:val="1"/>
          <w:lang w:val="fr-FR"/>
        </w:rPr>
        <w:t>t</w:t>
      </w:r>
      <w:r w:rsidR="00BE5873" w:rsidRPr="00A01CC4">
        <w:rPr>
          <w:spacing w:val="-4"/>
          <w:lang w:val="fr-FR"/>
        </w:rPr>
        <w:t>i</w:t>
      </w:r>
      <w:r w:rsidR="00BE5873" w:rsidRPr="00A01CC4">
        <w:rPr>
          <w:spacing w:val="3"/>
          <w:lang w:val="fr-FR"/>
        </w:rPr>
        <w:t>f</w:t>
      </w:r>
      <w:r w:rsidR="00BE5873" w:rsidRPr="00A01CC4">
        <w:rPr>
          <w:spacing w:val="-2"/>
          <w:lang w:val="fr-FR"/>
        </w:rPr>
        <w:t>i</w:t>
      </w:r>
      <w:r w:rsidR="00BE5873" w:rsidRPr="00A01CC4">
        <w:rPr>
          <w:lang w:val="fr-FR"/>
        </w:rPr>
        <w:t>c</w:t>
      </w:r>
      <w:r w:rsidR="00BE5873" w:rsidRPr="00A01CC4">
        <w:rPr>
          <w:spacing w:val="-1"/>
          <w:lang w:val="fr-FR"/>
        </w:rPr>
        <w:t>a</w:t>
      </w:r>
      <w:r w:rsidR="00BE5873" w:rsidRPr="00A01CC4">
        <w:rPr>
          <w:spacing w:val="-2"/>
          <w:lang w:val="fr-FR"/>
        </w:rPr>
        <w:t>t</w:t>
      </w:r>
      <w:r w:rsidR="00BE5873" w:rsidRPr="00A01CC4">
        <w:rPr>
          <w:lang w:val="fr-FR"/>
        </w:rPr>
        <w:t>s</w:t>
      </w:r>
      <w:r w:rsidR="00BE5873" w:rsidRPr="00A01CC4">
        <w:rPr>
          <w:spacing w:val="3"/>
          <w:lang w:val="fr-FR"/>
        </w:rPr>
        <w:t xml:space="preserve"> </w:t>
      </w:r>
      <w:r w:rsidR="00BE5873" w:rsidRPr="00A01CC4">
        <w:rPr>
          <w:spacing w:val="-1"/>
          <w:lang w:val="fr-FR"/>
        </w:rPr>
        <w:t>d</w:t>
      </w:r>
      <w:r w:rsidR="00BE5873" w:rsidRPr="00A01CC4">
        <w:rPr>
          <w:lang w:val="fr-FR"/>
        </w:rPr>
        <w:t xml:space="preserve">e </w:t>
      </w:r>
      <w:r w:rsidR="00BE5873" w:rsidRPr="00A01CC4">
        <w:rPr>
          <w:spacing w:val="3"/>
          <w:lang w:val="fr-FR"/>
        </w:rPr>
        <w:t>f</w:t>
      </w:r>
      <w:r w:rsidR="00BE5873" w:rsidRPr="00A01CC4">
        <w:rPr>
          <w:spacing w:val="-1"/>
          <w:lang w:val="fr-FR"/>
        </w:rPr>
        <w:t>o</w:t>
      </w:r>
      <w:r w:rsidR="00BE5873" w:rsidRPr="00A01CC4">
        <w:rPr>
          <w:spacing w:val="-2"/>
          <w:lang w:val="fr-FR"/>
        </w:rPr>
        <w:t>r</w:t>
      </w:r>
      <w:r w:rsidR="00BE5873" w:rsidRPr="00A01CC4">
        <w:rPr>
          <w:lang w:val="fr-FR"/>
        </w:rPr>
        <w:t>m</w:t>
      </w:r>
      <w:r w:rsidR="00BE5873" w:rsidRPr="00A01CC4">
        <w:rPr>
          <w:spacing w:val="-1"/>
          <w:lang w:val="fr-FR"/>
        </w:rPr>
        <w:t>a</w:t>
      </w:r>
      <w:r w:rsidR="00BE5873" w:rsidRPr="00A01CC4">
        <w:rPr>
          <w:spacing w:val="1"/>
          <w:lang w:val="fr-FR"/>
        </w:rPr>
        <w:t>t</w:t>
      </w:r>
      <w:r w:rsidR="00BE5873" w:rsidRPr="00A01CC4">
        <w:rPr>
          <w:spacing w:val="-1"/>
          <w:lang w:val="fr-FR"/>
        </w:rPr>
        <w:t>io</w:t>
      </w:r>
      <w:r w:rsidR="00BE5873" w:rsidRPr="00A01CC4">
        <w:rPr>
          <w:lang w:val="fr-FR"/>
        </w:rPr>
        <w:t xml:space="preserve">n </w:t>
      </w:r>
      <w:r w:rsidR="00BE5873" w:rsidRPr="00A01CC4">
        <w:rPr>
          <w:spacing w:val="-1"/>
          <w:lang w:val="fr-FR"/>
        </w:rPr>
        <w:t>pour le</w:t>
      </w:r>
      <w:r w:rsidR="00BE5873" w:rsidRPr="00A01CC4">
        <w:rPr>
          <w:lang w:val="fr-FR"/>
        </w:rPr>
        <w:t>s</w:t>
      </w:r>
      <w:r w:rsidR="00BE5873" w:rsidRPr="00A01CC4">
        <w:rPr>
          <w:spacing w:val="26"/>
          <w:lang w:val="fr-FR"/>
        </w:rPr>
        <w:t xml:space="preserve"> </w:t>
      </w:r>
      <w:r w:rsidR="00BE5873" w:rsidRPr="00A01CC4">
        <w:rPr>
          <w:spacing w:val="-1"/>
          <w:lang w:val="fr-FR"/>
        </w:rPr>
        <w:t>con</w:t>
      </w:r>
      <w:r w:rsidR="00BE5873" w:rsidRPr="00A01CC4">
        <w:rPr>
          <w:lang w:val="fr-FR"/>
        </w:rPr>
        <w:t>s</w:t>
      </w:r>
      <w:r w:rsidR="00BE5873" w:rsidRPr="00A01CC4">
        <w:rPr>
          <w:spacing w:val="-1"/>
          <w:lang w:val="fr-FR"/>
        </w:rPr>
        <w:t>eille</w:t>
      </w:r>
      <w:r w:rsidR="00BE5873" w:rsidRPr="00A01CC4">
        <w:rPr>
          <w:lang w:val="fr-FR"/>
        </w:rPr>
        <w:t>rs</w:t>
      </w:r>
      <w:r w:rsidR="00BE5873" w:rsidRPr="00A01CC4">
        <w:rPr>
          <w:spacing w:val="26"/>
          <w:lang w:val="fr-FR"/>
        </w:rPr>
        <w:t xml:space="preserve"> </w:t>
      </w:r>
      <w:r w:rsidR="00BE5873" w:rsidRPr="00A01CC4">
        <w:rPr>
          <w:lang w:val="fr-FR"/>
        </w:rPr>
        <w:t>à</w:t>
      </w:r>
      <w:r w:rsidR="00BE5873" w:rsidRPr="00A01CC4">
        <w:rPr>
          <w:spacing w:val="26"/>
          <w:lang w:val="fr-FR"/>
        </w:rPr>
        <w:t xml:space="preserve"> </w:t>
      </w:r>
      <w:r w:rsidR="00BE5873" w:rsidRPr="00A01CC4">
        <w:rPr>
          <w:spacing w:val="-2"/>
          <w:lang w:val="fr-FR"/>
        </w:rPr>
        <w:t>l</w:t>
      </w:r>
      <w:r w:rsidR="00BE5873" w:rsidRPr="00A01CC4">
        <w:rPr>
          <w:lang w:val="fr-FR"/>
        </w:rPr>
        <w:t>a s</w:t>
      </w:r>
      <w:r w:rsidR="00BE5873" w:rsidRPr="00A01CC4">
        <w:rPr>
          <w:spacing w:val="2"/>
          <w:lang w:val="fr-FR"/>
        </w:rPr>
        <w:t>é</w:t>
      </w:r>
      <w:r w:rsidR="00BE5873" w:rsidRPr="00A01CC4">
        <w:rPr>
          <w:lang w:val="fr-FR"/>
        </w:rPr>
        <w:t>c</w:t>
      </w:r>
      <w:r w:rsidR="00BE5873" w:rsidRPr="00A01CC4">
        <w:rPr>
          <w:spacing w:val="-1"/>
          <w:lang w:val="fr-FR"/>
        </w:rPr>
        <w:t>u</w:t>
      </w:r>
      <w:r w:rsidR="00BE5873" w:rsidRPr="00A01CC4">
        <w:rPr>
          <w:lang w:val="fr-FR"/>
        </w:rPr>
        <w:t>r</w:t>
      </w:r>
      <w:r w:rsidR="00BE5873" w:rsidRPr="00A01CC4">
        <w:rPr>
          <w:spacing w:val="-1"/>
          <w:lang w:val="fr-FR"/>
        </w:rPr>
        <w:t>i</w:t>
      </w:r>
      <w:r w:rsidR="00BE5873" w:rsidRPr="00A01CC4">
        <w:rPr>
          <w:spacing w:val="1"/>
          <w:lang w:val="fr-FR"/>
        </w:rPr>
        <w:t>t</w:t>
      </w:r>
      <w:r>
        <w:rPr>
          <w:lang w:val="fr-FR"/>
        </w:rPr>
        <w:t>é délivrés avant le [1er</w:t>
      </w:r>
      <w:r w:rsidR="00BE5873" w:rsidRPr="00A01CC4">
        <w:rPr>
          <w:lang w:val="fr-FR"/>
        </w:rPr>
        <w:t xml:space="preserve"> janvier 2019] ma</w:t>
      </w:r>
      <w:r>
        <w:rPr>
          <w:lang w:val="fr-FR"/>
        </w:rPr>
        <w:t>is</w:t>
      </w:r>
      <w:r w:rsidR="00BE5873" w:rsidRPr="00A01CC4">
        <w:rPr>
          <w:lang w:val="fr-FR"/>
        </w:rPr>
        <w:t xml:space="preserve"> qui ne sont pas conformes aux dispositions du 1.8.3.16.2 </w:t>
      </w:r>
      <w:r w:rsidR="00BE5873" w:rsidRPr="00A01CC4">
        <w:rPr>
          <w:spacing w:val="-1"/>
          <w:lang w:val="fr-FR"/>
        </w:rPr>
        <w:t>a</w:t>
      </w:r>
      <w:r w:rsidR="00BE5873" w:rsidRPr="00A01CC4">
        <w:rPr>
          <w:spacing w:val="-3"/>
          <w:lang w:val="fr-FR"/>
        </w:rPr>
        <w:t>p</w:t>
      </w:r>
      <w:r w:rsidR="00BE5873" w:rsidRPr="00A01CC4">
        <w:rPr>
          <w:spacing w:val="-1"/>
          <w:lang w:val="fr-FR"/>
        </w:rPr>
        <w:t>pli</w:t>
      </w:r>
      <w:r w:rsidR="00BE5873" w:rsidRPr="00A01CC4">
        <w:rPr>
          <w:lang w:val="fr-FR"/>
        </w:rPr>
        <w:t>c</w:t>
      </w:r>
      <w:r w:rsidR="00BE5873" w:rsidRPr="00A01CC4">
        <w:rPr>
          <w:spacing w:val="-1"/>
          <w:lang w:val="fr-FR"/>
        </w:rPr>
        <w:t>able</w:t>
      </w:r>
      <w:r w:rsidR="00BE5873" w:rsidRPr="00A01CC4">
        <w:rPr>
          <w:lang w:val="fr-FR"/>
        </w:rPr>
        <w:t xml:space="preserve">s à </w:t>
      </w:r>
      <w:r w:rsidR="00BE5873" w:rsidRPr="00A01CC4">
        <w:rPr>
          <w:spacing w:val="-1"/>
          <w:lang w:val="fr-FR"/>
        </w:rPr>
        <w:t>pa</w:t>
      </w:r>
      <w:r w:rsidR="00BE5873" w:rsidRPr="00A01CC4">
        <w:rPr>
          <w:lang w:val="fr-FR"/>
        </w:rPr>
        <w:t>r</w:t>
      </w:r>
      <w:r w:rsidR="00BE5873" w:rsidRPr="00A01CC4">
        <w:rPr>
          <w:spacing w:val="1"/>
          <w:lang w:val="fr-FR"/>
        </w:rPr>
        <w:t>t</w:t>
      </w:r>
      <w:r w:rsidR="00BE5873" w:rsidRPr="00A01CC4">
        <w:rPr>
          <w:spacing w:val="-1"/>
          <w:lang w:val="fr-FR"/>
        </w:rPr>
        <w:t>i</w:t>
      </w:r>
      <w:r w:rsidR="00BE5873" w:rsidRPr="00A01CC4">
        <w:rPr>
          <w:lang w:val="fr-FR"/>
        </w:rPr>
        <w:t xml:space="preserve">r </w:t>
      </w:r>
      <w:r w:rsidR="00BE5873" w:rsidRPr="00A01CC4">
        <w:rPr>
          <w:spacing w:val="-1"/>
          <w:lang w:val="fr-FR"/>
        </w:rPr>
        <w:t>d</w:t>
      </w:r>
      <w:r w:rsidR="00BE5873" w:rsidRPr="00A01CC4">
        <w:rPr>
          <w:lang w:val="fr-FR"/>
        </w:rPr>
        <w:t xml:space="preserve">u </w:t>
      </w:r>
      <w:r w:rsidR="00BE5873">
        <w:rPr>
          <w:lang w:val="fr-FR"/>
        </w:rPr>
        <w:t>[</w:t>
      </w:r>
      <w:r w:rsidR="00BE5873" w:rsidRPr="00A01CC4">
        <w:rPr>
          <w:spacing w:val="-1"/>
          <w:lang w:val="fr-FR"/>
        </w:rPr>
        <w:t>1er</w:t>
      </w:r>
      <w:r w:rsidR="00BE5873" w:rsidRPr="00A01CC4">
        <w:rPr>
          <w:spacing w:val="21"/>
          <w:position w:val="10"/>
          <w:lang w:val="fr-FR"/>
        </w:rPr>
        <w:t xml:space="preserve"> </w:t>
      </w:r>
      <w:r w:rsidR="00BE5873" w:rsidRPr="00A01CC4">
        <w:rPr>
          <w:spacing w:val="1"/>
          <w:lang w:val="fr-FR"/>
        </w:rPr>
        <w:t>j</w:t>
      </w:r>
      <w:r w:rsidR="00BE5873" w:rsidRPr="00A01CC4">
        <w:rPr>
          <w:spacing w:val="-1"/>
          <w:lang w:val="fr-FR"/>
        </w:rPr>
        <w:t>an</w:t>
      </w:r>
      <w:r w:rsidR="00BE5873" w:rsidRPr="00A01CC4">
        <w:rPr>
          <w:spacing w:val="-3"/>
          <w:lang w:val="fr-FR"/>
        </w:rPr>
        <w:t>v</w:t>
      </w:r>
      <w:r w:rsidR="00BE5873" w:rsidRPr="00A01CC4">
        <w:rPr>
          <w:spacing w:val="-1"/>
          <w:lang w:val="fr-FR"/>
        </w:rPr>
        <w:t>ie</w:t>
      </w:r>
      <w:r w:rsidR="00BE5873" w:rsidRPr="00A01CC4">
        <w:rPr>
          <w:lang w:val="fr-FR"/>
        </w:rPr>
        <w:t xml:space="preserve">r </w:t>
      </w:r>
      <w:r w:rsidR="00BE5873" w:rsidRPr="00A01CC4">
        <w:rPr>
          <w:spacing w:val="-1"/>
          <w:lang w:val="fr-FR"/>
        </w:rPr>
        <w:t>2019</w:t>
      </w:r>
      <w:r w:rsidR="00BE5873">
        <w:rPr>
          <w:spacing w:val="-1"/>
          <w:lang w:val="fr-FR"/>
        </w:rPr>
        <w:t>]</w:t>
      </w:r>
      <w:r w:rsidR="00BE5873" w:rsidRPr="00A01CC4">
        <w:rPr>
          <w:spacing w:val="-1"/>
          <w:lang w:val="fr-FR"/>
        </w:rPr>
        <w:t xml:space="preserve"> po</w:t>
      </w:r>
      <w:r w:rsidR="00BE5873" w:rsidRPr="00A01CC4">
        <w:rPr>
          <w:spacing w:val="-3"/>
          <w:lang w:val="fr-FR"/>
        </w:rPr>
        <w:t>u</w:t>
      </w:r>
      <w:r w:rsidR="00BE5873" w:rsidRPr="00A01CC4">
        <w:rPr>
          <w:lang w:val="fr-FR"/>
        </w:rPr>
        <w:t>rr</w:t>
      </w:r>
      <w:r w:rsidR="00BE5873" w:rsidRPr="00A01CC4">
        <w:rPr>
          <w:spacing w:val="-1"/>
          <w:lang w:val="fr-FR"/>
        </w:rPr>
        <w:t>o</w:t>
      </w:r>
      <w:r w:rsidR="00BE5873" w:rsidRPr="00A01CC4">
        <w:rPr>
          <w:spacing w:val="-3"/>
          <w:lang w:val="fr-FR"/>
        </w:rPr>
        <w:t>n</w:t>
      </w:r>
      <w:r w:rsidR="00BE5873" w:rsidRPr="00A01CC4">
        <w:rPr>
          <w:lang w:val="fr-FR"/>
        </w:rPr>
        <w:t>t</w:t>
      </w:r>
      <w:r w:rsidR="00BE5873" w:rsidRPr="00A01CC4">
        <w:rPr>
          <w:spacing w:val="42"/>
          <w:lang w:val="fr-FR"/>
        </w:rPr>
        <w:t xml:space="preserve"> </w:t>
      </w:r>
      <w:r w:rsidR="00BE5873" w:rsidRPr="00A01CC4">
        <w:rPr>
          <w:lang w:val="fr-FR"/>
        </w:rPr>
        <w:t>c</w:t>
      </w:r>
      <w:r w:rsidR="00BE5873" w:rsidRPr="00A01CC4">
        <w:rPr>
          <w:spacing w:val="-1"/>
          <w:lang w:val="fr-FR"/>
        </w:rPr>
        <w:t>on</w:t>
      </w:r>
      <w:r w:rsidR="00BE5873" w:rsidRPr="00A01CC4">
        <w:rPr>
          <w:spacing w:val="1"/>
          <w:lang w:val="fr-FR"/>
        </w:rPr>
        <w:t>t</w:t>
      </w:r>
      <w:r w:rsidR="00BE5873" w:rsidRPr="00A01CC4">
        <w:rPr>
          <w:spacing w:val="-1"/>
          <w:lang w:val="fr-FR"/>
        </w:rPr>
        <w:t>inue</w:t>
      </w:r>
      <w:r w:rsidR="00BE5873" w:rsidRPr="00A01CC4">
        <w:rPr>
          <w:lang w:val="fr-FR"/>
        </w:rPr>
        <w:t>r</w:t>
      </w:r>
      <w:r w:rsidR="00BE5873" w:rsidRPr="00A01CC4">
        <w:rPr>
          <w:spacing w:val="45"/>
          <w:lang w:val="fr-FR"/>
        </w:rPr>
        <w:t xml:space="preserve"> </w:t>
      </w:r>
      <w:r w:rsidR="00BE5873" w:rsidRPr="00A01CC4">
        <w:rPr>
          <w:lang w:val="fr-FR"/>
        </w:rPr>
        <w:t>à</w:t>
      </w:r>
      <w:r w:rsidR="00BE5873" w:rsidRPr="00A01CC4">
        <w:rPr>
          <w:spacing w:val="42"/>
          <w:lang w:val="fr-FR"/>
        </w:rPr>
        <w:t xml:space="preserve"> </w:t>
      </w:r>
      <w:r w:rsidR="00BE5873" w:rsidRPr="00A01CC4">
        <w:rPr>
          <w:spacing w:val="-1"/>
          <w:lang w:val="fr-FR"/>
        </w:rPr>
        <w:t>ê</w:t>
      </w:r>
      <w:r w:rsidR="00BE5873" w:rsidRPr="00A01CC4">
        <w:rPr>
          <w:spacing w:val="-2"/>
          <w:lang w:val="fr-FR"/>
        </w:rPr>
        <w:t>t</w:t>
      </w:r>
      <w:r w:rsidR="00BE5873" w:rsidRPr="00A01CC4">
        <w:rPr>
          <w:lang w:val="fr-FR"/>
        </w:rPr>
        <w:t>re</w:t>
      </w:r>
      <w:r w:rsidR="00BE5873" w:rsidRPr="00A01CC4">
        <w:rPr>
          <w:spacing w:val="43"/>
          <w:lang w:val="fr-FR"/>
        </w:rPr>
        <w:t xml:space="preserve"> </w:t>
      </w:r>
      <w:r w:rsidR="00BE5873" w:rsidRPr="00A01CC4">
        <w:rPr>
          <w:spacing w:val="-3"/>
          <w:lang w:val="fr-FR"/>
        </w:rPr>
        <w:t>u</w:t>
      </w:r>
      <w:r w:rsidR="00BE5873" w:rsidRPr="00A01CC4">
        <w:rPr>
          <w:spacing w:val="1"/>
          <w:lang w:val="fr-FR"/>
        </w:rPr>
        <w:t>t</w:t>
      </w:r>
      <w:r w:rsidR="00BE5873" w:rsidRPr="00A01CC4">
        <w:rPr>
          <w:spacing w:val="-1"/>
          <w:lang w:val="fr-FR"/>
        </w:rPr>
        <w:t>ili</w:t>
      </w:r>
      <w:r w:rsidR="00BE5873" w:rsidRPr="00A01CC4">
        <w:rPr>
          <w:lang w:val="fr-FR"/>
        </w:rPr>
        <w:t>s</w:t>
      </w:r>
      <w:r w:rsidR="00BE5873" w:rsidRPr="00A01CC4">
        <w:rPr>
          <w:spacing w:val="-1"/>
          <w:lang w:val="fr-FR"/>
        </w:rPr>
        <w:t>é</w:t>
      </w:r>
      <w:r w:rsidR="00BE5873" w:rsidRPr="00A01CC4">
        <w:rPr>
          <w:lang w:val="fr-FR"/>
        </w:rPr>
        <w:t>s</w:t>
      </w:r>
      <w:r w:rsidR="00BE5873" w:rsidRPr="00A01CC4">
        <w:rPr>
          <w:spacing w:val="44"/>
          <w:lang w:val="fr-FR"/>
        </w:rPr>
        <w:t xml:space="preserve"> </w:t>
      </w:r>
      <w:r w:rsidR="00BE5873" w:rsidRPr="00A01CC4">
        <w:rPr>
          <w:spacing w:val="1"/>
          <w:lang w:val="fr-FR"/>
        </w:rPr>
        <w:t>j</w:t>
      </w:r>
      <w:r w:rsidR="00BE5873" w:rsidRPr="00A01CC4">
        <w:rPr>
          <w:spacing w:val="-1"/>
          <w:lang w:val="fr-FR"/>
        </w:rPr>
        <w:t>u</w:t>
      </w:r>
      <w:r>
        <w:rPr>
          <w:spacing w:val="-3"/>
          <w:lang w:val="fr-FR"/>
        </w:rPr>
        <w:t>s</w:t>
      </w:r>
      <w:r w:rsidR="00BE5873" w:rsidRPr="00A01CC4">
        <w:rPr>
          <w:spacing w:val="2"/>
          <w:lang w:val="fr-FR"/>
        </w:rPr>
        <w:t>q</w:t>
      </w:r>
      <w:r w:rsidR="00BE5873" w:rsidRPr="00A01CC4">
        <w:rPr>
          <w:spacing w:val="-1"/>
          <w:lang w:val="fr-FR"/>
        </w:rPr>
        <w:t>u’a</w:t>
      </w:r>
      <w:r w:rsidR="00BE5873" w:rsidRPr="00A01CC4">
        <w:rPr>
          <w:lang w:val="fr-FR"/>
        </w:rPr>
        <w:t>u</w:t>
      </w:r>
      <w:r w:rsidR="00BE5873" w:rsidRPr="00A01CC4">
        <w:rPr>
          <w:spacing w:val="-2"/>
          <w:lang w:val="fr-FR"/>
        </w:rPr>
        <w:t xml:space="preserve"> </w:t>
      </w:r>
      <w:r w:rsidR="00BE5873" w:rsidRPr="00A01CC4">
        <w:rPr>
          <w:spacing w:val="1"/>
          <w:lang w:val="fr-FR"/>
        </w:rPr>
        <w:t>t</w:t>
      </w:r>
      <w:r w:rsidR="00BE5873" w:rsidRPr="00A01CC4">
        <w:rPr>
          <w:spacing w:val="-1"/>
          <w:lang w:val="fr-FR"/>
        </w:rPr>
        <w:t>e</w:t>
      </w:r>
      <w:r w:rsidR="00BE5873" w:rsidRPr="00A01CC4">
        <w:rPr>
          <w:spacing w:val="-2"/>
          <w:lang w:val="fr-FR"/>
        </w:rPr>
        <w:t>r</w:t>
      </w:r>
      <w:r w:rsidR="00BE5873" w:rsidRPr="00A01CC4">
        <w:rPr>
          <w:lang w:val="fr-FR"/>
        </w:rPr>
        <w:t xml:space="preserve">me </w:t>
      </w:r>
      <w:r w:rsidR="00BE5873" w:rsidRPr="00A01CC4">
        <w:rPr>
          <w:spacing w:val="-1"/>
          <w:lang w:val="fr-FR"/>
        </w:rPr>
        <w:t>d</w:t>
      </w:r>
      <w:r w:rsidR="00BE5873" w:rsidRPr="00A01CC4">
        <w:rPr>
          <w:lang w:val="fr-FR"/>
        </w:rPr>
        <w:t>e</w:t>
      </w:r>
      <w:r w:rsidR="00BE5873" w:rsidRPr="00A01CC4">
        <w:rPr>
          <w:spacing w:val="-2"/>
          <w:lang w:val="fr-FR"/>
        </w:rPr>
        <w:t xml:space="preserve"> </w:t>
      </w:r>
      <w:r w:rsidR="00BE5873" w:rsidRPr="00A01CC4">
        <w:rPr>
          <w:spacing w:val="-1"/>
          <w:lang w:val="fr-FR"/>
        </w:rPr>
        <w:t>leu</w:t>
      </w:r>
      <w:r w:rsidR="00BE5873" w:rsidRPr="00A01CC4">
        <w:rPr>
          <w:lang w:val="fr-FR"/>
        </w:rPr>
        <w:t>r</w:t>
      </w:r>
      <w:r w:rsidR="00BE5873" w:rsidRPr="00A01CC4">
        <w:rPr>
          <w:spacing w:val="-1"/>
          <w:lang w:val="fr-FR"/>
        </w:rPr>
        <w:t xml:space="preserve"> </w:t>
      </w:r>
      <w:r w:rsidR="00BE5873" w:rsidRPr="00A01CC4">
        <w:rPr>
          <w:spacing w:val="-3"/>
          <w:lang w:val="fr-FR"/>
        </w:rPr>
        <w:t>v</w:t>
      </w:r>
      <w:r w:rsidR="00BE5873" w:rsidRPr="00A01CC4">
        <w:rPr>
          <w:spacing w:val="-1"/>
          <w:lang w:val="fr-FR"/>
        </w:rPr>
        <w:t>ali</w:t>
      </w:r>
      <w:r w:rsidR="00BE5873" w:rsidRPr="00A01CC4">
        <w:rPr>
          <w:spacing w:val="2"/>
          <w:lang w:val="fr-FR"/>
        </w:rPr>
        <w:t>d</w:t>
      </w:r>
      <w:r w:rsidR="00BE5873" w:rsidRPr="00A01CC4">
        <w:rPr>
          <w:spacing w:val="-1"/>
          <w:lang w:val="fr-FR"/>
        </w:rPr>
        <w:t>i</w:t>
      </w:r>
      <w:r w:rsidR="00BE5873" w:rsidRPr="00A01CC4">
        <w:rPr>
          <w:spacing w:val="1"/>
          <w:lang w:val="fr-FR"/>
        </w:rPr>
        <w:t>t</w:t>
      </w:r>
      <w:r w:rsidR="00BE5873" w:rsidRPr="00A01CC4">
        <w:rPr>
          <w:lang w:val="fr-FR"/>
        </w:rPr>
        <w:t xml:space="preserve">é </w:t>
      </w:r>
      <w:r w:rsidR="00BE5873" w:rsidRPr="00A01CC4">
        <w:rPr>
          <w:spacing w:val="-1"/>
          <w:lang w:val="fr-FR"/>
        </w:rPr>
        <w:t>d</w:t>
      </w:r>
      <w:r w:rsidR="00BE5873" w:rsidRPr="00A01CC4">
        <w:rPr>
          <w:lang w:val="fr-FR"/>
        </w:rPr>
        <w:t>e c</w:t>
      </w:r>
      <w:r w:rsidR="00BE5873" w:rsidRPr="00A01CC4">
        <w:rPr>
          <w:spacing w:val="-2"/>
          <w:lang w:val="fr-FR"/>
        </w:rPr>
        <w:t>i</w:t>
      </w:r>
      <w:r w:rsidR="00BE5873" w:rsidRPr="00A01CC4">
        <w:rPr>
          <w:spacing w:val="-3"/>
          <w:lang w:val="fr-FR"/>
        </w:rPr>
        <w:t>n</w:t>
      </w:r>
      <w:r w:rsidR="00BE5873" w:rsidRPr="00A01CC4">
        <w:rPr>
          <w:lang w:val="fr-FR"/>
        </w:rPr>
        <w:t xml:space="preserve">q </w:t>
      </w:r>
      <w:r w:rsidR="00BE5873" w:rsidRPr="00A01CC4">
        <w:rPr>
          <w:spacing w:val="-1"/>
          <w:lang w:val="fr-FR"/>
        </w:rPr>
        <w:t>an</w:t>
      </w:r>
      <w:r w:rsidR="00BE5873" w:rsidRPr="00A01CC4">
        <w:rPr>
          <w:lang w:val="fr-FR"/>
        </w:rPr>
        <w:t>s.</w:t>
      </w:r>
      <w:r>
        <w:rPr>
          <w:lang w:val="fr-FR"/>
        </w:rPr>
        <w:t>».</w:t>
      </w:r>
    </w:p>
    <w:p w:rsidR="00632D79" w:rsidRPr="00B42658" w:rsidRDefault="00632D79" w:rsidP="00632D79">
      <w:pPr>
        <w:pStyle w:val="SingleTxtG"/>
        <w:spacing w:before="240" w:after="0"/>
        <w:jc w:val="center"/>
        <w:rPr>
          <w:u w:val="single"/>
        </w:rPr>
      </w:pPr>
      <w:r>
        <w:rPr>
          <w:u w:val="single"/>
        </w:rPr>
        <w:tab/>
      </w:r>
      <w:r>
        <w:rPr>
          <w:u w:val="single"/>
        </w:rPr>
        <w:tab/>
      </w:r>
      <w:r>
        <w:rPr>
          <w:u w:val="single"/>
        </w:rPr>
        <w:tab/>
      </w:r>
    </w:p>
    <w:sectPr w:rsidR="00632D79" w:rsidRPr="00B42658" w:rsidSect="00E82E08">
      <w:headerReference w:type="even" r:id="rId10"/>
      <w:headerReference w:type="default" r:id="rId11"/>
      <w:footerReference w:type="even" r:id="rId12"/>
      <w:footerReference w:type="default" r:id="rId13"/>
      <w:footnotePr>
        <w:numFmt w:val="chicago"/>
      </w:footnotePr>
      <w:endnotePr>
        <w:numFmt w:val="decimal"/>
      </w:endnotePr>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2D" w:rsidRDefault="003E732D" w:rsidP="00F95C08">
      <w:pPr>
        <w:spacing w:line="240" w:lineRule="auto"/>
      </w:pPr>
    </w:p>
  </w:endnote>
  <w:endnote w:type="continuationSeparator" w:id="0">
    <w:p w:rsidR="003E732D" w:rsidRPr="00AC3823" w:rsidRDefault="003E732D" w:rsidP="00AC3823">
      <w:pPr>
        <w:pStyle w:val="Pieddepage"/>
      </w:pPr>
    </w:p>
  </w:endnote>
  <w:endnote w:type="continuationNotice" w:id="1">
    <w:p w:rsidR="003E732D" w:rsidRDefault="003E73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287A28" w:rsidP="0007146F">
    <w:pPr>
      <w:pStyle w:val="Pieddepage"/>
      <w:tabs>
        <w:tab w:val="right" w:pos="9638"/>
      </w:tabs>
    </w:pPr>
    <w:r w:rsidRPr="0007146F">
      <w:rPr>
        <w:b/>
        <w:sz w:val="18"/>
      </w:rPr>
      <w:fldChar w:fldCharType="begin"/>
    </w:r>
    <w:r w:rsidR="00A71CE7" w:rsidRPr="0007146F">
      <w:rPr>
        <w:b/>
        <w:sz w:val="18"/>
      </w:rPr>
      <w:instrText xml:space="preserve"> PAGE  \* MERGEFORMAT </w:instrText>
    </w:r>
    <w:r w:rsidRPr="0007146F">
      <w:rPr>
        <w:b/>
        <w:sz w:val="18"/>
      </w:rPr>
      <w:fldChar w:fldCharType="separate"/>
    </w:r>
    <w:r w:rsidR="00FB4233">
      <w:rPr>
        <w:b/>
        <w:noProof/>
        <w:sz w:val="18"/>
      </w:rPr>
      <w:t>2</w:t>
    </w:r>
    <w:r w:rsidRPr="0007146F">
      <w:rPr>
        <w:b/>
        <w:sz w:val="18"/>
      </w:rPr>
      <w:fldChar w:fldCharType="end"/>
    </w:r>
    <w:r w:rsidR="00A71CE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A71CE7" w:rsidP="0007146F">
    <w:pPr>
      <w:pStyle w:val="Pieddepage"/>
      <w:tabs>
        <w:tab w:val="right" w:pos="9638"/>
      </w:tabs>
      <w:rPr>
        <w:b/>
        <w:sz w:val="18"/>
      </w:rPr>
    </w:pPr>
    <w:r>
      <w:tab/>
    </w:r>
    <w:r w:rsidR="00287A28" w:rsidRPr="0007146F">
      <w:rPr>
        <w:b/>
        <w:sz w:val="18"/>
      </w:rPr>
      <w:fldChar w:fldCharType="begin"/>
    </w:r>
    <w:r w:rsidRPr="0007146F">
      <w:rPr>
        <w:b/>
        <w:sz w:val="18"/>
      </w:rPr>
      <w:instrText xml:space="preserve"> PAGE  \* MERGEFORMAT </w:instrText>
    </w:r>
    <w:r w:rsidR="00287A28" w:rsidRPr="0007146F">
      <w:rPr>
        <w:b/>
        <w:sz w:val="18"/>
      </w:rPr>
      <w:fldChar w:fldCharType="separate"/>
    </w:r>
    <w:r w:rsidR="00BE5873">
      <w:rPr>
        <w:b/>
        <w:noProof/>
        <w:sz w:val="18"/>
      </w:rPr>
      <w:t>3</w:t>
    </w:r>
    <w:r w:rsidR="00287A28" w:rsidRPr="000714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2D" w:rsidRPr="00AC3823" w:rsidRDefault="003E732D" w:rsidP="00AC3823">
      <w:pPr>
        <w:pStyle w:val="Pieddepage"/>
        <w:tabs>
          <w:tab w:val="right" w:pos="2155"/>
        </w:tabs>
        <w:spacing w:after="80" w:line="240" w:lineRule="atLeast"/>
        <w:ind w:left="680"/>
        <w:rPr>
          <w:u w:val="single"/>
        </w:rPr>
      </w:pPr>
      <w:r>
        <w:rPr>
          <w:u w:val="single"/>
        </w:rPr>
        <w:tab/>
      </w:r>
    </w:p>
  </w:footnote>
  <w:footnote w:type="continuationSeparator" w:id="0">
    <w:p w:rsidR="003E732D" w:rsidRPr="00AC3823" w:rsidRDefault="003E732D" w:rsidP="00AC3823">
      <w:pPr>
        <w:pStyle w:val="Pieddepage"/>
        <w:tabs>
          <w:tab w:val="right" w:pos="2155"/>
        </w:tabs>
        <w:spacing w:after="80" w:line="240" w:lineRule="atLeast"/>
        <w:ind w:left="680"/>
        <w:rPr>
          <w:u w:val="single"/>
        </w:rPr>
      </w:pPr>
      <w:r>
        <w:rPr>
          <w:u w:val="single"/>
        </w:rPr>
        <w:tab/>
      </w:r>
    </w:p>
  </w:footnote>
  <w:footnote w:type="continuationNotice" w:id="1">
    <w:p w:rsidR="003E732D" w:rsidRPr="00AC3823" w:rsidRDefault="003E732D">
      <w:pPr>
        <w:spacing w:line="240" w:lineRule="auto"/>
        <w:rPr>
          <w:sz w:val="2"/>
          <w:szCs w:val="2"/>
        </w:rPr>
      </w:pPr>
    </w:p>
  </w:footnote>
  <w:footnote w:id="2">
    <w:p w:rsidR="00E82E08" w:rsidRPr="00E82E08" w:rsidRDefault="00E82E08" w:rsidP="00E82E08">
      <w:pPr>
        <w:pStyle w:val="Notedebasdepage"/>
        <w:tabs>
          <w:tab w:val="clear" w:pos="1021"/>
        </w:tabs>
        <w:kinsoku/>
        <w:overflowPunct/>
        <w:autoSpaceDE/>
        <w:autoSpaceDN/>
        <w:adjustRightInd/>
        <w:snapToGrid/>
        <w:ind w:left="1418" w:hanging="284"/>
        <w:jc w:val="both"/>
        <w:rPr>
          <w:sz w:val="20"/>
          <w:lang w:val="fr-CH"/>
        </w:rPr>
      </w:pPr>
      <w:r w:rsidRPr="0043584A">
        <w:rPr>
          <w:rStyle w:val="Appelnotedebasdep"/>
          <w:sz w:val="20"/>
        </w:rPr>
        <w:footnoteRef/>
      </w:r>
      <w:r>
        <w:tab/>
        <w:t xml:space="preserve">Conformément au </w:t>
      </w:r>
      <w:bookmarkStart w:id="0" w:name="_GoBack"/>
      <w:bookmarkEnd w:id="0"/>
      <w:r>
        <w:t>programme de travail du Comité des transports intérieurs pour 2016-2017 (ECE/TRANS/</w:t>
      </w:r>
      <w:r w:rsidR="00FB4233">
        <w:t>2016/28/Add.1</w:t>
      </w:r>
      <w:r>
        <w:t>, par. 9.2).</w:t>
      </w:r>
    </w:p>
  </w:footnote>
  <w:footnote w:id="3">
    <w:p w:rsidR="00BC47CE" w:rsidRPr="00BC47CE" w:rsidRDefault="00BC47CE" w:rsidP="00BC47CE">
      <w:pPr>
        <w:pStyle w:val="Notedebasdepage"/>
        <w:tabs>
          <w:tab w:val="clear" w:pos="1021"/>
        </w:tabs>
        <w:kinsoku/>
        <w:overflowPunct/>
        <w:autoSpaceDE/>
        <w:autoSpaceDN/>
        <w:adjustRightInd/>
        <w:snapToGrid/>
        <w:ind w:left="1418" w:hanging="284"/>
        <w:jc w:val="both"/>
        <w:rPr>
          <w:lang w:val="fr-CH"/>
        </w:rPr>
      </w:pPr>
      <w:r w:rsidRPr="00BC47CE">
        <w:rPr>
          <w:rStyle w:val="Appelnotedebasdep"/>
          <w:sz w:val="20"/>
        </w:rPr>
        <w:t>**</w:t>
      </w:r>
      <w:r>
        <w:tab/>
        <w:t>Diffusée par l’Organisation intergouvernementale pour les transports internationaux ferroviaires (OTIF) sous la cote OTIF/RID/RC/2017/4.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pPr>
      <w:pStyle w:val="En-tte"/>
    </w:pPr>
    <w:r>
      <w:t>ECE/TRANS/WP.15/AC.1/2017</w:t>
    </w:r>
    <w:r w:rsidR="00A71CE7">
      <w:t>/</w:t>
    </w:r>
    <w:r w:rsidR="00176561">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rsidP="0007146F">
    <w:pPr>
      <w:pStyle w:val="En-tte"/>
      <w:jc w:val="right"/>
    </w:pPr>
    <w:r>
      <w:t>ECE/TRANS/WP.15/AC.1/2017/</w:t>
    </w:r>
    <w:r w:rsidR="0017656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18BE5D92"/>
    <w:multiLevelType w:val="hybridMultilevel"/>
    <w:tmpl w:val="9448F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567"/>
  <w:hyphenationZone w:val="425"/>
  <w:evenAndOddHeaders/>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3E7F3E"/>
    <w:rsid w:val="00017F94"/>
    <w:rsid w:val="00023842"/>
    <w:rsid w:val="000312C0"/>
    <w:rsid w:val="000334F9"/>
    <w:rsid w:val="0006684F"/>
    <w:rsid w:val="0007146F"/>
    <w:rsid w:val="00072A47"/>
    <w:rsid w:val="0007796D"/>
    <w:rsid w:val="000A6EB7"/>
    <w:rsid w:val="000B7790"/>
    <w:rsid w:val="00111F2F"/>
    <w:rsid w:val="0014365E"/>
    <w:rsid w:val="00143C66"/>
    <w:rsid w:val="00153C35"/>
    <w:rsid w:val="00176178"/>
    <w:rsid w:val="00176561"/>
    <w:rsid w:val="001A3323"/>
    <w:rsid w:val="001F525A"/>
    <w:rsid w:val="00200441"/>
    <w:rsid w:val="00223272"/>
    <w:rsid w:val="00227742"/>
    <w:rsid w:val="0024779E"/>
    <w:rsid w:val="00257168"/>
    <w:rsid w:val="002744B8"/>
    <w:rsid w:val="002832AC"/>
    <w:rsid w:val="00287A28"/>
    <w:rsid w:val="002A24AA"/>
    <w:rsid w:val="002D7C93"/>
    <w:rsid w:val="002F1132"/>
    <w:rsid w:val="002F1DF0"/>
    <w:rsid w:val="00305801"/>
    <w:rsid w:val="00312085"/>
    <w:rsid w:val="0031783C"/>
    <w:rsid w:val="003247E6"/>
    <w:rsid w:val="00334341"/>
    <w:rsid w:val="00356CAA"/>
    <w:rsid w:val="003916DE"/>
    <w:rsid w:val="00394911"/>
    <w:rsid w:val="003B0F1F"/>
    <w:rsid w:val="003C7FBE"/>
    <w:rsid w:val="003E732D"/>
    <w:rsid w:val="003E7F3E"/>
    <w:rsid w:val="00407242"/>
    <w:rsid w:val="0041580C"/>
    <w:rsid w:val="00420C44"/>
    <w:rsid w:val="0043584A"/>
    <w:rsid w:val="00441C3B"/>
    <w:rsid w:val="00446FE5"/>
    <w:rsid w:val="00450281"/>
    <w:rsid w:val="00452396"/>
    <w:rsid w:val="0046311B"/>
    <w:rsid w:val="004837D8"/>
    <w:rsid w:val="004840FE"/>
    <w:rsid w:val="00490098"/>
    <w:rsid w:val="004B24BE"/>
    <w:rsid w:val="004E468C"/>
    <w:rsid w:val="005353A1"/>
    <w:rsid w:val="00536614"/>
    <w:rsid w:val="005457EC"/>
    <w:rsid w:val="005505B7"/>
    <w:rsid w:val="00573BE5"/>
    <w:rsid w:val="00573F0B"/>
    <w:rsid w:val="00583D30"/>
    <w:rsid w:val="00586ED3"/>
    <w:rsid w:val="00596AA9"/>
    <w:rsid w:val="005D03A7"/>
    <w:rsid w:val="005D3631"/>
    <w:rsid w:val="00600E11"/>
    <w:rsid w:val="0061028B"/>
    <w:rsid w:val="00632D79"/>
    <w:rsid w:val="00643513"/>
    <w:rsid w:val="00685843"/>
    <w:rsid w:val="006A51A2"/>
    <w:rsid w:val="006C0FC5"/>
    <w:rsid w:val="006E5117"/>
    <w:rsid w:val="00706E6C"/>
    <w:rsid w:val="0071601D"/>
    <w:rsid w:val="00740562"/>
    <w:rsid w:val="007A62E6"/>
    <w:rsid w:val="007A724C"/>
    <w:rsid w:val="007A7C4F"/>
    <w:rsid w:val="007D260F"/>
    <w:rsid w:val="007E0E7F"/>
    <w:rsid w:val="007F0F5E"/>
    <w:rsid w:val="007F20FA"/>
    <w:rsid w:val="007F5BFF"/>
    <w:rsid w:val="0080684C"/>
    <w:rsid w:val="00813F7E"/>
    <w:rsid w:val="00871C75"/>
    <w:rsid w:val="008776DC"/>
    <w:rsid w:val="008C7A69"/>
    <w:rsid w:val="008F52E0"/>
    <w:rsid w:val="00934E9D"/>
    <w:rsid w:val="009705C8"/>
    <w:rsid w:val="009C1CF4"/>
    <w:rsid w:val="009E4BB0"/>
    <w:rsid w:val="009F6B74"/>
    <w:rsid w:val="009F6C45"/>
    <w:rsid w:val="009F7980"/>
    <w:rsid w:val="00A30353"/>
    <w:rsid w:val="00A71CE7"/>
    <w:rsid w:val="00AB1C46"/>
    <w:rsid w:val="00AC1BD4"/>
    <w:rsid w:val="00AC3823"/>
    <w:rsid w:val="00AE323C"/>
    <w:rsid w:val="00AF0CB5"/>
    <w:rsid w:val="00B00181"/>
    <w:rsid w:val="00B00B0D"/>
    <w:rsid w:val="00B5016D"/>
    <w:rsid w:val="00B65735"/>
    <w:rsid w:val="00B765F7"/>
    <w:rsid w:val="00B900B1"/>
    <w:rsid w:val="00BA0CA9"/>
    <w:rsid w:val="00BC47CE"/>
    <w:rsid w:val="00BE2D2C"/>
    <w:rsid w:val="00BE5873"/>
    <w:rsid w:val="00C02897"/>
    <w:rsid w:val="00C116E1"/>
    <w:rsid w:val="00C23193"/>
    <w:rsid w:val="00C60265"/>
    <w:rsid w:val="00C60EF8"/>
    <w:rsid w:val="00C62524"/>
    <w:rsid w:val="00CC5D08"/>
    <w:rsid w:val="00D01B54"/>
    <w:rsid w:val="00D22815"/>
    <w:rsid w:val="00D30E58"/>
    <w:rsid w:val="00D3439C"/>
    <w:rsid w:val="00DB1831"/>
    <w:rsid w:val="00DB58B5"/>
    <w:rsid w:val="00DB5FE6"/>
    <w:rsid w:val="00DD3BFD"/>
    <w:rsid w:val="00DE1F09"/>
    <w:rsid w:val="00DF6678"/>
    <w:rsid w:val="00E17CCF"/>
    <w:rsid w:val="00E322A6"/>
    <w:rsid w:val="00E47114"/>
    <w:rsid w:val="00E6145C"/>
    <w:rsid w:val="00E82E08"/>
    <w:rsid w:val="00E84623"/>
    <w:rsid w:val="00E85C74"/>
    <w:rsid w:val="00E97CD5"/>
    <w:rsid w:val="00EA6547"/>
    <w:rsid w:val="00ED4B05"/>
    <w:rsid w:val="00EF2E22"/>
    <w:rsid w:val="00F00523"/>
    <w:rsid w:val="00F15FB0"/>
    <w:rsid w:val="00F26756"/>
    <w:rsid w:val="00F35BAF"/>
    <w:rsid w:val="00F604DB"/>
    <w:rsid w:val="00F660DF"/>
    <w:rsid w:val="00F94664"/>
    <w:rsid w:val="00F9573C"/>
    <w:rsid w:val="00F95C08"/>
    <w:rsid w:val="00FB4233"/>
    <w:rsid w:val="00FB77FF"/>
    <w:rsid w:val="00FC490F"/>
    <w:rsid w:val="00FD7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80684C"/>
    <w:rPr>
      <w:rFonts w:ascii="Times New Roman" w:hAnsi="Times New Roman" w:cs="Times New Roman"/>
      <w:sz w:val="20"/>
      <w:lang w:eastAsia="en-US"/>
    </w:rPr>
  </w:style>
  <w:style w:type="character" w:customStyle="1" w:styleId="Titre2Car">
    <w:name w:val="Titre 2 Car"/>
    <w:link w:val="Titre2"/>
    <w:uiPriority w:val="99"/>
    <w:semiHidden/>
    <w:locked/>
    <w:rsid w:val="00023842"/>
    <w:rPr>
      <w:rFonts w:ascii="Times New Roman" w:hAnsi="Times New Roman" w:cs="Times New Roman"/>
      <w:sz w:val="20"/>
      <w:lang w:eastAsia="en-US"/>
    </w:rPr>
  </w:style>
  <w:style w:type="character" w:customStyle="1" w:styleId="Titre3Car">
    <w:name w:val="Titre 3 Car"/>
    <w:link w:val="Titre3"/>
    <w:uiPriority w:val="99"/>
    <w:semiHidden/>
    <w:locked/>
    <w:rsid w:val="00023842"/>
    <w:rPr>
      <w:rFonts w:ascii="Times New Roman" w:hAnsi="Times New Roman" w:cs="Times New Roman"/>
      <w:sz w:val="20"/>
      <w:lang w:eastAsia="en-US"/>
    </w:rPr>
  </w:style>
  <w:style w:type="character" w:customStyle="1" w:styleId="Titre4Car">
    <w:name w:val="Titre 4 Car"/>
    <w:link w:val="Titre4"/>
    <w:uiPriority w:val="99"/>
    <w:semiHidden/>
    <w:locked/>
    <w:rsid w:val="00023842"/>
    <w:rPr>
      <w:rFonts w:ascii="Times New Roman" w:hAnsi="Times New Roman" w:cs="Times New Roman"/>
      <w:sz w:val="20"/>
      <w:lang w:eastAsia="en-US"/>
    </w:rPr>
  </w:style>
  <w:style w:type="character" w:customStyle="1" w:styleId="Titre5Car">
    <w:name w:val="Titre 5 Car"/>
    <w:link w:val="Titre5"/>
    <w:uiPriority w:val="99"/>
    <w:semiHidden/>
    <w:locked/>
    <w:rsid w:val="00023842"/>
    <w:rPr>
      <w:rFonts w:ascii="Times New Roman" w:hAnsi="Times New Roman" w:cs="Times New Roman"/>
      <w:sz w:val="20"/>
      <w:lang w:eastAsia="en-US"/>
    </w:rPr>
  </w:style>
  <w:style w:type="character" w:customStyle="1" w:styleId="Titre6Car">
    <w:name w:val="Titre 6 Car"/>
    <w:link w:val="Titre6"/>
    <w:uiPriority w:val="99"/>
    <w:semiHidden/>
    <w:locked/>
    <w:rsid w:val="00023842"/>
    <w:rPr>
      <w:rFonts w:ascii="Times New Roman" w:hAnsi="Times New Roman" w:cs="Times New Roman"/>
      <w:sz w:val="20"/>
      <w:lang w:eastAsia="en-US"/>
    </w:rPr>
  </w:style>
  <w:style w:type="character" w:customStyle="1" w:styleId="Titre7Car">
    <w:name w:val="Titre 7 Car"/>
    <w:link w:val="Titre7"/>
    <w:uiPriority w:val="99"/>
    <w:semiHidden/>
    <w:locked/>
    <w:rsid w:val="00023842"/>
    <w:rPr>
      <w:rFonts w:ascii="Times New Roman" w:hAnsi="Times New Roman" w:cs="Times New Roman"/>
      <w:sz w:val="20"/>
      <w:lang w:eastAsia="en-US"/>
    </w:rPr>
  </w:style>
  <w:style w:type="character" w:customStyle="1" w:styleId="Titre8Car">
    <w:name w:val="Titre 8 Car"/>
    <w:link w:val="Titre8"/>
    <w:uiPriority w:val="99"/>
    <w:semiHidden/>
    <w:locked/>
    <w:rsid w:val="00023842"/>
    <w:rPr>
      <w:rFonts w:ascii="Times New Roman" w:hAnsi="Times New Roman" w:cs="Times New Roman"/>
      <w:sz w:val="20"/>
      <w:lang w:eastAsia="en-US"/>
    </w:rPr>
  </w:style>
  <w:style w:type="character" w:customStyle="1" w:styleId="Titre9Car">
    <w:name w:val="Titre 9 C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En-tête Car"/>
    <w:aliases w:val="6_G C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Pied de page Car"/>
    <w:aliases w:val="3_G C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Note de fin Car"/>
    <w:aliases w:val="2_G C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Texte de bulles C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 w:type="paragraph" w:customStyle="1" w:styleId="Default">
    <w:name w:val="Default"/>
    <w:rsid w:val="00BE5873"/>
    <w:pPr>
      <w:autoSpaceDE w:val="0"/>
      <w:autoSpaceDN w:val="0"/>
      <w:adjustRightInd w:val="0"/>
    </w:pPr>
    <w:rPr>
      <w:rFonts w:ascii="Arial" w:hAnsi="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Heading 1 Char"/>
    <w:aliases w:val="Table_G Char"/>
    <w:link w:val="Titre1"/>
    <w:uiPriority w:val="99"/>
    <w:locked/>
    <w:rsid w:val="0080684C"/>
    <w:rPr>
      <w:rFonts w:ascii="Times New Roman" w:hAnsi="Times New Roman" w:cs="Times New Roman"/>
      <w:sz w:val="20"/>
      <w:lang w:eastAsia="en-US"/>
    </w:rPr>
  </w:style>
  <w:style w:type="character" w:customStyle="1" w:styleId="Titre2Car">
    <w:name w:val="Heading 2 Char"/>
    <w:link w:val="Titre2"/>
    <w:uiPriority w:val="99"/>
    <w:semiHidden/>
    <w:locked/>
    <w:rsid w:val="00023842"/>
    <w:rPr>
      <w:rFonts w:ascii="Times New Roman" w:hAnsi="Times New Roman" w:cs="Times New Roman"/>
      <w:sz w:val="20"/>
      <w:lang w:eastAsia="en-US"/>
    </w:rPr>
  </w:style>
  <w:style w:type="character" w:customStyle="1" w:styleId="Titre3Car">
    <w:name w:val="Heading 3 Char"/>
    <w:link w:val="Titre3"/>
    <w:uiPriority w:val="99"/>
    <w:semiHidden/>
    <w:locked/>
    <w:rsid w:val="00023842"/>
    <w:rPr>
      <w:rFonts w:ascii="Times New Roman" w:hAnsi="Times New Roman" w:cs="Times New Roman"/>
      <w:sz w:val="20"/>
      <w:lang w:eastAsia="en-US"/>
    </w:rPr>
  </w:style>
  <w:style w:type="character" w:customStyle="1" w:styleId="Titre4Car">
    <w:name w:val="Heading 4 Char"/>
    <w:link w:val="Titre4"/>
    <w:uiPriority w:val="99"/>
    <w:semiHidden/>
    <w:locked/>
    <w:rsid w:val="00023842"/>
    <w:rPr>
      <w:rFonts w:ascii="Times New Roman" w:hAnsi="Times New Roman" w:cs="Times New Roman"/>
      <w:sz w:val="20"/>
      <w:lang w:eastAsia="en-US"/>
    </w:rPr>
  </w:style>
  <w:style w:type="character" w:customStyle="1" w:styleId="Titre5Car">
    <w:name w:val="Heading 5 Char"/>
    <w:link w:val="Titre5"/>
    <w:uiPriority w:val="99"/>
    <w:semiHidden/>
    <w:locked/>
    <w:rsid w:val="00023842"/>
    <w:rPr>
      <w:rFonts w:ascii="Times New Roman" w:hAnsi="Times New Roman" w:cs="Times New Roman"/>
      <w:sz w:val="20"/>
      <w:lang w:eastAsia="en-US"/>
    </w:rPr>
  </w:style>
  <w:style w:type="character" w:customStyle="1" w:styleId="Titre6Car">
    <w:name w:val="Heading 6 Char"/>
    <w:link w:val="Titre6"/>
    <w:uiPriority w:val="99"/>
    <w:semiHidden/>
    <w:locked/>
    <w:rsid w:val="00023842"/>
    <w:rPr>
      <w:rFonts w:ascii="Times New Roman" w:hAnsi="Times New Roman" w:cs="Times New Roman"/>
      <w:sz w:val="20"/>
      <w:lang w:eastAsia="en-US"/>
    </w:rPr>
  </w:style>
  <w:style w:type="character" w:customStyle="1" w:styleId="Titre7Car">
    <w:name w:val="Heading 7 Char"/>
    <w:link w:val="Titre7"/>
    <w:uiPriority w:val="99"/>
    <w:semiHidden/>
    <w:locked/>
    <w:rsid w:val="00023842"/>
    <w:rPr>
      <w:rFonts w:ascii="Times New Roman" w:hAnsi="Times New Roman" w:cs="Times New Roman"/>
      <w:sz w:val="20"/>
      <w:lang w:eastAsia="en-US"/>
    </w:rPr>
  </w:style>
  <w:style w:type="character" w:customStyle="1" w:styleId="Titre8Car">
    <w:name w:val="Heading 8 Char"/>
    <w:link w:val="Titre8"/>
    <w:uiPriority w:val="99"/>
    <w:semiHidden/>
    <w:locked/>
    <w:rsid w:val="00023842"/>
    <w:rPr>
      <w:rFonts w:ascii="Times New Roman" w:hAnsi="Times New Roman" w:cs="Times New Roman"/>
      <w:sz w:val="20"/>
      <w:lang w:eastAsia="en-US"/>
    </w:rPr>
  </w:style>
  <w:style w:type="character" w:customStyle="1" w:styleId="Titre9Car">
    <w:name w:val="Heading 9 Ch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Header Char"/>
    <w:aliases w:val="6_G Ch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Footer Char"/>
    <w:aliases w:val="3_G Ch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lang w:val="fr-FR"/>
    </w:rPr>
  </w:style>
  <w:style w:type="character" w:customStyle="1" w:styleId="NotedebasdepageCar">
    <w:name w:val="Footnote Text Char"/>
    <w:aliases w:val="5_G Ch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Endnote Text Char"/>
    <w:aliases w:val="2_G Ch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Balloon Text Ch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14">
      <w:bodyDiv w:val="1"/>
      <w:marLeft w:val="0"/>
      <w:marRight w:val="0"/>
      <w:marTop w:val="0"/>
      <w:marBottom w:val="0"/>
      <w:divBdr>
        <w:top w:val="none" w:sz="0" w:space="0" w:color="auto"/>
        <w:left w:val="none" w:sz="0" w:space="0" w:color="auto"/>
        <w:bottom w:val="none" w:sz="0" w:space="0" w:color="auto"/>
        <w:right w:val="none" w:sz="0" w:space="0" w:color="auto"/>
      </w:divBdr>
    </w:div>
    <w:div w:id="7948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0CC5-1DB8-47E3-9932-3461F718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376</Words>
  <Characters>2211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ECE/TRANS/WP.15/AC.1/2015/15</vt:lpstr>
      <vt:lpstr>ECE/TRANS/WP.15/AC.1/2015/15</vt:lpstr>
    </vt:vector>
  </TitlesOfParts>
  <Company>DCM</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18</cp:revision>
  <cp:lastPrinted>2016-12-14T14:46:00Z</cp:lastPrinted>
  <dcterms:created xsi:type="dcterms:W3CDTF">2016-12-13T13:18:00Z</dcterms:created>
  <dcterms:modified xsi:type="dcterms:W3CDTF">2016-12-21T13:44:00Z</dcterms:modified>
</cp:coreProperties>
</file>