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A47024" w:rsidP="00A47024">
            <w:pPr>
              <w:suppressAutoHyphens w:val="0"/>
              <w:spacing w:after="20"/>
              <w:jc w:val="right"/>
            </w:pPr>
            <w:r w:rsidRPr="00A47024">
              <w:rPr>
                <w:sz w:val="40"/>
              </w:rPr>
              <w:t>ECE</w:t>
            </w:r>
            <w:r>
              <w:t>/TRANS/WP.15/AC.1/2017/8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65C7955" wp14:editId="44A7783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A47024" w:rsidP="00A4702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A47024" w:rsidRDefault="00A47024" w:rsidP="00A47024">
            <w:pPr>
              <w:suppressAutoHyphens w:val="0"/>
            </w:pPr>
            <w:r>
              <w:t>21 December 2016</w:t>
            </w:r>
          </w:p>
          <w:p w:rsidR="00A47024" w:rsidRDefault="00A47024" w:rsidP="00A47024">
            <w:pPr>
              <w:suppressAutoHyphens w:val="0"/>
            </w:pPr>
            <w:r>
              <w:t>English</w:t>
            </w:r>
          </w:p>
          <w:p w:rsidR="00A47024" w:rsidRDefault="00A47024" w:rsidP="00A47024">
            <w:pPr>
              <w:suppressAutoHyphens w:val="0"/>
            </w:pPr>
            <w:r>
              <w:t>Original: French</w:t>
            </w:r>
          </w:p>
        </w:tc>
      </w:tr>
    </w:tbl>
    <w:p w:rsidR="00A47024" w:rsidRPr="0066258F" w:rsidRDefault="00A47024" w:rsidP="00A47024">
      <w:pPr>
        <w:spacing w:before="120"/>
        <w:rPr>
          <w:b/>
          <w:sz w:val="28"/>
          <w:szCs w:val="28"/>
        </w:rPr>
      </w:pPr>
      <w:r w:rsidRPr="0066258F">
        <w:rPr>
          <w:b/>
          <w:sz w:val="28"/>
          <w:szCs w:val="28"/>
        </w:rPr>
        <w:t>Economic Commission for Europe</w:t>
      </w:r>
    </w:p>
    <w:p w:rsidR="00A47024" w:rsidRPr="0066258F" w:rsidRDefault="00A47024" w:rsidP="00A47024">
      <w:pPr>
        <w:spacing w:before="120"/>
        <w:rPr>
          <w:sz w:val="28"/>
          <w:szCs w:val="28"/>
        </w:rPr>
      </w:pPr>
      <w:r w:rsidRPr="0066258F">
        <w:rPr>
          <w:sz w:val="28"/>
          <w:szCs w:val="28"/>
        </w:rPr>
        <w:t>Inland Transport Committee</w:t>
      </w:r>
    </w:p>
    <w:p w:rsidR="00A47024" w:rsidRPr="0066258F" w:rsidRDefault="00A47024" w:rsidP="00A47024">
      <w:pPr>
        <w:spacing w:before="120"/>
        <w:rPr>
          <w:b/>
          <w:sz w:val="24"/>
          <w:szCs w:val="24"/>
        </w:rPr>
      </w:pPr>
      <w:r w:rsidRPr="0066258F">
        <w:rPr>
          <w:b/>
          <w:sz w:val="24"/>
          <w:szCs w:val="24"/>
        </w:rPr>
        <w:t>Working Party on the Transport of Dangerous Goods</w:t>
      </w:r>
    </w:p>
    <w:p w:rsidR="00A47024" w:rsidRPr="0066258F" w:rsidRDefault="00A47024" w:rsidP="00A47024">
      <w:pPr>
        <w:spacing w:before="120"/>
        <w:rPr>
          <w:b/>
        </w:rPr>
      </w:pPr>
      <w:r w:rsidRPr="0066258F">
        <w:rPr>
          <w:b/>
        </w:rPr>
        <w:t>Joint Meeting of the RID Committee of Experts and the</w:t>
      </w:r>
      <w:r w:rsidRPr="0066258F">
        <w:rPr>
          <w:b/>
        </w:rPr>
        <w:br/>
        <w:t>Working Party on the Transport of Dangerous Goods</w:t>
      </w:r>
    </w:p>
    <w:p w:rsidR="00A47024" w:rsidRPr="0066258F" w:rsidRDefault="00A47024" w:rsidP="00A47024">
      <w:r w:rsidRPr="0066258F">
        <w:t>Bern, 13-17 March 2017</w:t>
      </w:r>
    </w:p>
    <w:p w:rsidR="00A47024" w:rsidRPr="0066258F" w:rsidRDefault="00A47024" w:rsidP="00A47024">
      <w:r w:rsidRPr="0066258F">
        <w:t>Item 5 (b) of the provisional agenda</w:t>
      </w:r>
    </w:p>
    <w:p w:rsidR="00A47024" w:rsidRPr="0066258F" w:rsidRDefault="00A47024" w:rsidP="00A47024">
      <w:pPr>
        <w:rPr>
          <w:b/>
        </w:rPr>
      </w:pPr>
      <w:r w:rsidRPr="0066258F">
        <w:rPr>
          <w:b/>
        </w:rPr>
        <w:t>Proposals for amendments to RID/ADR/ADN:</w:t>
      </w:r>
    </w:p>
    <w:p w:rsidR="00A47024" w:rsidRPr="0066258F" w:rsidRDefault="00A47024" w:rsidP="00A47024">
      <w:pPr>
        <w:rPr>
          <w:b/>
        </w:rPr>
      </w:pPr>
      <w:r w:rsidRPr="0066258F">
        <w:rPr>
          <w:b/>
        </w:rPr>
        <w:t>New proposals</w:t>
      </w:r>
    </w:p>
    <w:p w:rsidR="00A47024" w:rsidRPr="00A47024" w:rsidRDefault="00A47024" w:rsidP="00A47024">
      <w:pPr>
        <w:pStyle w:val="HChG"/>
        <w:rPr>
          <w:rFonts w:eastAsia="SimSun"/>
        </w:rPr>
      </w:pPr>
      <w:r w:rsidRPr="00A47024">
        <w:rPr>
          <w:rFonts w:eastAsia="SimSun"/>
        </w:rPr>
        <w:tab/>
      </w:r>
      <w:r w:rsidRPr="00A47024">
        <w:rPr>
          <w:rFonts w:eastAsia="SimSun"/>
        </w:rPr>
        <w:tab/>
        <w:t>Amendment to 6.6.3.1 (c)</w:t>
      </w:r>
    </w:p>
    <w:p w:rsidR="00A47024" w:rsidRPr="00A47024" w:rsidRDefault="00A47024" w:rsidP="00D50150">
      <w:pPr>
        <w:pStyle w:val="H1G"/>
        <w:rPr>
          <w:rFonts w:eastAsia="SimSun"/>
        </w:rPr>
      </w:pPr>
      <w:r w:rsidRPr="00A47024">
        <w:rPr>
          <w:rFonts w:eastAsia="SimSun"/>
        </w:rPr>
        <w:tab/>
      </w:r>
      <w:r w:rsidRPr="00A47024">
        <w:rPr>
          <w:rFonts w:eastAsia="SimSun"/>
        </w:rPr>
        <w:tab/>
        <w:t>Transmitted by the Government of Italy</w:t>
      </w:r>
      <w:r w:rsidR="00D50150" w:rsidRPr="00B02BB7">
        <w:rPr>
          <w:rStyle w:val="Appelnotedebasdep"/>
          <w:rFonts w:eastAsia="SimSun"/>
          <w:b w:val="0"/>
          <w:bCs/>
          <w:sz w:val="20"/>
          <w:vertAlign w:val="baseline"/>
        </w:rPr>
        <w:footnoteReference w:customMarkFollows="1" w:id="1"/>
        <w:t>*</w:t>
      </w:r>
      <w:r w:rsidR="00D50150" w:rsidRPr="00B02BB7">
        <w:rPr>
          <w:rFonts w:eastAsia="SimSun"/>
          <w:b w:val="0"/>
          <w:bCs/>
          <w:position w:val="8"/>
          <w:sz w:val="20"/>
        </w:rPr>
        <w:t>,</w:t>
      </w:r>
      <w:r w:rsidR="00D50150" w:rsidRPr="00B02BB7">
        <w:rPr>
          <w:rFonts w:eastAsia="SimSun"/>
          <w:b w:val="0"/>
          <w:bCs/>
          <w:sz w:val="20"/>
        </w:rPr>
        <w:t xml:space="preserve"> </w:t>
      </w:r>
      <w:r w:rsidR="00D50150" w:rsidRPr="00B02BB7">
        <w:rPr>
          <w:rStyle w:val="Appelnotedebasdep"/>
          <w:rFonts w:eastAsia="SimSun"/>
          <w:b w:val="0"/>
          <w:bCs/>
          <w:sz w:val="20"/>
          <w:vertAlign w:val="baseline"/>
        </w:rPr>
        <w:footnoteReference w:customMarkFollows="1" w:id="2"/>
        <w:t>**</w:t>
      </w:r>
    </w:p>
    <w:p w:rsidR="00A47024" w:rsidRPr="00A47024" w:rsidRDefault="00A47024" w:rsidP="00A47024">
      <w:pPr>
        <w:pStyle w:val="HChG"/>
        <w:rPr>
          <w:rFonts w:eastAsia="SimSun"/>
        </w:rPr>
      </w:pPr>
      <w:r w:rsidRPr="00A47024">
        <w:rPr>
          <w:rFonts w:eastAsia="SimSun"/>
        </w:rPr>
        <w:tab/>
      </w:r>
      <w:r w:rsidRPr="00A47024">
        <w:rPr>
          <w:rFonts w:eastAsia="SimSun"/>
        </w:rPr>
        <w:tab/>
        <w:t>Introduction</w:t>
      </w:r>
    </w:p>
    <w:p w:rsidR="00A47024" w:rsidRPr="00A47024" w:rsidRDefault="00A47024" w:rsidP="00446D70">
      <w:pPr>
        <w:pStyle w:val="SingleTxtG"/>
      </w:pPr>
      <w:r w:rsidRPr="00A47024">
        <w:t>1.</w:t>
      </w:r>
      <w:r w:rsidRPr="00A47024">
        <w:tab/>
        <w:t xml:space="preserve">Under 6.6.3.1 (c), for the marking of large </w:t>
      </w:r>
      <w:proofErr w:type="spellStart"/>
      <w:r w:rsidRPr="00A47024">
        <w:t>packagings</w:t>
      </w:r>
      <w:proofErr w:type="spellEnd"/>
      <w:r w:rsidRPr="00A47024">
        <w:t xml:space="preserve">, the letter </w:t>
      </w:r>
      <w:r w:rsidR="00C76597">
        <w:t>“</w:t>
      </w:r>
      <w:r w:rsidRPr="00A47024">
        <w:t>X</w:t>
      </w:r>
      <w:r w:rsidR="00C76597">
        <w:t>”</w:t>
      </w:r>
      <w:r w:rsidRPr="00A47024">
        <w:t xml:space="preserve"> is designated for packing groups </w:t>
      </w:r>
      <w:proofErr w:type="gramStart"/>
      <w:r w:rsidRPr="00A47024">
        <w:t>I</w:t>
      </w:r>
      <w:proofErr w:type="gramEnd"/>
      <w:r w:rsidRPr="00A47024">
        <w:t>, II and III.</w:t>
      </w:r>
    </w:p>
    <w:p w:rsidR="00A47024" w:rsidRPr="00A47024" w:rsidRDefault="00A47024" w:rsidP="00A47024">
      <w:pPr>
        <w:pStyle w:val="SingleTxtG"/>
      </w:pPr>
      <w:r w:rsidRPr="00A47024">
        <w:t>2.</w:t>
      </w:r>
      <w:r w:rsidRPr="00A47024">
        <w:tab/>
        <w:t>However, in Table A of Chapter 3.2, the code LP is not assigned in Column (8) for any entries in packing group I. No entry in packing group 1 may be transported in large packagings.</w:t>
      </w:r>
    </w:p>
    <w:p w:rsidR="00A47024" w:rsidRPr="00A47024" w:rsidRDefault="00A47024" w:rsidP="00A47024">
      <w:pPr>
        <w:pStyle w:val="SingleTxtG"/>
      </w:pPr>
      <w:r w:rsidRPr="00A47024">
        <w:t>3.</w:t>
      </w:r>
      <w:r w:rsidRPr="00A47024">
        <w:tab/>
        <w:t>With regard to entries with no packing group:</w:t>
      </w:r>
    </w:p>
    <w:p w:rsidR="00A47024" w:rsidRPr="00A47024" w:rsidRDefault="00A47024" w:rsidP="00A47024">
      <w:pPr>
        <w:pStyle w:val="Bullet1G"/>
        <w:rPr>
          <w:rFonts w:eastAsia="SimSun"/>
        </w:rPr>
      </w:pPr>
      <w:r w:rsidRPr="00A47024">
        <w:rPr>
          <w:rFonts w:eastAsia="SimSun"/>
        </w:rPr>
        <w:t>Explosives are assigned to packing group II (see 4.1.1.8) and the NOTE to 6.6.3.4.4;</w:t>
      </w:r>
    </w:p>
    <w:p w:rsidR="00A47024" w:rsidRPr="00A47024" w:rsidRDefault="00A47024" w:rsidP="00A47024">
      <w:pPr>
        <w:pStyle w:val="Bullet1G"/>
        <w:rPr>
          <w:rFonts w:eastAsia="SimSun"/>
        </w:rPr>
      </w:pPr>
      <w:r w:rsidRPr="00A47024">
        <w:rPr>
          <w:rFonts w:eastAsia="SimSun"/>
        </w:rPr>
        <w:t xml:space="preserve">For UN Nos. 3090, 3091, 3480 and 3481, </w:t>
      </w:r>
      <w:r w:rsidR="00C76597">
        <w:rPr>
          <w:rFonts w:eastAsia="SimSun"/>
        </w:rPr>
        <w:t>“</w:t>
      </w:r>
      <w:r w:rsidRPr="00A47024">
        <w:rPr>
          <w:rFonts w:eastAsia="SimSun"/>
        </w:rPr>
        <w:t>Lithium batteries</w:t>
      </w:r>
      <w:r w:rsidR="00C76597">
        <w:rPr>
          <w:rFonts w:eastAsia="SimSun"/>
        </w:rPr>
        <w:t>”</w:t>
      </w:r>
      <w:r w:rsidRPr="00A47024">
        <w:rPr>
          <w:rFonts w:eastAsia="SimSun"/>
        </w:rPr>
        <w:t xml:space="preserve">, the packing instructions specify </w:t>
      </w:r>
      <w:r w:rsidR="00C76597">
        <w:rPr>
          <w:rFonts w:eastAsia="SimSun"/>
        </w:rPr>
        <w:t>“</w:t>
      </w:r>
      <w:r w:rsidRPr="00A47024">
        <w:rPr>
          <w:rFonts w:eastAsia="SimSun"/>
        </w:rPr>
        <w:t xml:space="preserve">Rigid large </w:t>
      </w:r>
      <w:proofErr w:type="spellStart"/>
      <w:r w:rsidRPr="00A47024">
        <w:rPr>
          <w:rFonts w:eastAsia="SimSun"/>
        </w:rPr>
        <w:t>packagings</w:t>
      </w:r>
      <w:proofErr w:type="spellEnd"/>
      <w:r w:rsidRPr="00A47024">
        <w:rPr>
          <w:rFonts w:eastAsia="SimSun"/>
        </w:rPr>
        <w:t xml:space="preserve"> conforming to the packing group II performance level</w:t>
      </w:r>
      <w:r w:rsidR="00C76597">
        <w:rPr>
          <w:rFonts w:eastAsia="SimSun"/>
        </w:rPr>
        <w:t>”</w:t>
      </w:r>
      <w:r w:rsidRPr="00A47024">
        <w:rPr>
          <w:rFonts w:eastAsia="SimSun"/>
        </w:rPr>
        <w:t>;</w:t>
      </w:r>
    </w:p>
    <w:p w:rsidR="00A47024" w:rsidRPr="00A47024" w:rsidRDefault="00A47024" w:rsidP="00A47024">
      <w:pPr>
        <w:pStyle w:val="Bullet1G"/>
        <w:rPr>
          <w:rFonts w:eastAsia="SimSun"/>
        </w:rPr>
      </w:pPr>
      <w:r w:rsidRPr="00A47024">
        <w:rPr>
          <w:rFonts w:eastAsia="SimSun"/>
        </w:rPr>
        <w:lastRenderedPageBreak/>
        <w:t xml:space="preserve">For UN No. 3268, special provision 236 in Chapter 3.3 provides for </w:t>
      </w:r>
      <w:r w:rsidR="00C76597">
        <w:rPr>
          <w:rFonts w:eastAsia="SimSun"/>
        </w:rPr>
        <w:t>“</w:t>
      </w:r>
      <w:r w:rsidRPr="00A47024">
        <w:rPr>
          <w:rFonts w:eastAsia="SimSun"/>
        </w:rPr>
        <w:t>Polyester resin kits ... a base material (Class 3, packing group II or III) …</w:t>
      </w:r>
      <w:r w:rsidR="00C76597">
        <w:rPr>
          <w:rFonts w:eastAsia="SimSun"/>
        </w:rPr>
        <w:t>”</w:t>
      </w:r>
      <w:r w:rsidRPr="00A47024">
        <w:rPr>
          <w:rFonts w:eastAsia="SimSun"/>
        </w:rPr>
        <w:t>;</w:t>
      </w:r>
    </w:p>
    <w:p w:rsidR="00A47024" w:rsidRPr="00A47024" w:rsidRDefault="00A47024" w:rsidP="00A47024">
      <w:pPr>
        <w:pStyle w:val="Bullet1G"/>
        <w:rPr>
          <w:rFonts w:eastAsia="SimSun"/>
        </w:rPr>
      </w:pPr>
      <w:r w:rsidRPr="00A47024">
        <w:rPr>
          <w:rFonts w:eastAsia="SimSun"/>
        </w:rPr>
        <w:t xml:space="preserve">For UN No. 3509, special provision 663 in Chapter 3.3 provides for </w:t>
      </w:r>
      <w:r w:rsidR="00C76597">
        <w:rPr>
          <w:rFonts w:eastAsia="SimSun"/>
        </w:rPr>
        <w:t>“</w:t>
      </w:r>
      <w:r w:rsidRPr="00A47024">
        <w:rPr>
          <w:rFonts w:eastAsia="SimSun"/>
        </w:rPr>
        <w:t>Residues present in the packagings, discarded ...</w:t>
      </w:r>
      <w:r w:rsidR="00D50150">
        <w:rPr>
          <w:rFonts w:eastAsia="SimSun"/>
        </w:rPr>
        <w:t xml:space="preserve"> </w:t>
      </w:r>
      <w:r w:rsidRPr="00A47024">
        <w:rPr>
          <w:rFonts w:eastAsia="SimSun"/>
        </w:rPr>
        <w:t>In addition, they shall not be: Substances assigned to packing group I ...</w:t>
      </w:r>
      <w:r w:rsidR="00C76597">
        <w:rPr>
          <w:rFonts w:eastAsia="SimSun"/>
        </w:rPr>
        <w:t>”</w:t>
      </w:r>
      <w:r w:rsidRPr="00A47024">
        <w:rPr>
          <w:rFonts w:eastAsia="SimSun"/>
        </w:rPr>
        <w:t>;</w:t>
      </w:r>
    </w:p>
    <w:p w:rsidR="00A47024" w:rsidRPr="00A47024" w:rsidRDefault="00A47024" w:rsidP="00A47024">
      <w:pPr>
        <w:pStyle w:val="Bullet1G"/>
        <w:rPr>
          <w:rFonts w:eastAsia="SimSun"/>
        </w:rPr>
      </w:pPr>
      <w:r w:rsidRPr="00A47024">
        <w:rPr>
          <w:rFonts w:eastAsia="SimSun"/>
        </w:rPr>
        <w:t xml:space="preserve">In packing instructions LP01 and LP02, packing groups I and II are noted as </w:t>
      </w:r>
      <w:r w:rsidR="00C76597">
        <w:rPr>
          <w:rFonts w:eastAsia="SimSun"/>
        </w:rPr>
        <w:t>“</w:t>
      </w:r>
      <w:r w:rsidRPr="00A47024">
        <w:rPr>
          <w:rFonts w:eastAsia="SimSun"/>
        </w:rPr>
        <w:t>Not allowed</w:t>
      </w:r>
      <w:r w:rsidR="00C76597">
        <w:rPr>
          <w:rFonts w:eastAsia="SimSun"/>
        </w:rPr>
        <w:t>”</w:t>
      </w:r>
      <w:r w:rsidRPr="00A47024">
        <w:rPr>
          <w:rFonts w:eastAsia="SimSun"/>
        </w:rPr>
        <w:t>.</w:t>
      </w:r>
    </w:p>
    <w:p w:rsidR="00A47024" w:rsidRPr="00A47024" w:rsidRDefault="00A47024" w:rsidP="00446D70">
      <w:pPr>
        <w:pStyle w:val="HChG"/>
        <w:rPr>
          <w:rFonts w:eastAsia="SimSun"/>
        </w:rPr>
      </w:pPr>
      <w:r w:rsidRPr="00A47024">
        <w:rPr>
          <w:rFonts w:eastAsia="SimSun"/>
        </w:rPr>
        <w:tab/>
      </w:r>
      <w:r w:rsidRPr="00A47024">
        <w:rPr>
          <w:rFonts w:eastAsia="SimSun"/>
        </w:rPr>
        <w:tab/>
        <w:t>Proposals</w:t>
      </w:r>
    </w:p>
    <w:p w:rsidR="00A47024" w:rsidRPr="00A47024" w:rsidRDefault="00A47024" w:rsidP="00A47024">
      <w:pPr>
        <w:pStyle w:val="SingleTxtG"/>
      </w:pPr>
      <w:r w:rsidRPr="00A47024">
        <w:t>4.</w:t>
      </w:r>
      <w:r w:rsidRPr="00A47024">
        <w:tab/>
        <w:t>Since Chapter 6.6 is common to all modes of transport, Italy asks the Joint Meeting whether the following proposals should be submitted to the UN Sub-Committee of Experts on the Transport of Dangerous Goods:</w:t>
      </w:r>
    </w:p>
    <w:p w:rsidR="00A47024" w:rsidRPr="00A47024" w:rsidRDefault="00A47024" w:rsidP="00A47024">
      <w:pPr>
        <w:pStyle w:val="SingleTxtG"/>
      </w:pPr>
      <w:r w:rsidRPr="00A47024">
        <w:tab/>
        <w:t>(a)</w:t>
      </w:r>
      <w:r w:rsidRPr="00A47024">
        <w:tab/>
        <w:t xml:space="preserve">Under 6.6.3.1 (c), delete </w:t>
      </w:r>
      <w:r w:rsidR="00C76597">
        <w:t>“</w:t>
      </w:r>
      <w:r w:rsidRPr="00A47024">
        <w:t>X for packing groups I, II and III</w:t>
      </w:r>
      <w:r w:rsidR="00C76597">
        <w:t>”</w:t>
      </w:r>
      <w:r w:rsidRPr="00A47024">
        <w:t>;</w:t>
      </w:r>
    </w:p>
    <w:p w:rsidR="00A47024" w:rsidRPr="00A47024" w:rsidRDefault="00A47024" w:rsidP="00A47024">
      <w:pPr>
        <w:pStyle w:val="SingleTxtG"/>
      </w:pPr>
      <w:r w:rsidRPr="00A47024">
        <w:tab/>
        <w:t>(b)</w:t>
      </w:r>
      <w:r w:rsidRPr="00A47024">
        <w:tab/>
        <w:t xml:space="preserve">Amend the first example of markings to read </w:t>
      </w:r>
      <w:r w:rsidR="00C76597">
        <w:t>“</w:t>
      </w:r>
      <w:r w:rsidRPr="00A47024">
        <w:t>50A/Y/05 01/N/PQRS 2500/1000</w:t>
      </w:r>
      <w:r w:rsidR="00C76597">
        <w:t>”</w:t>
      </w:r>
      <w:r w:rsidRPr="00A47024">
        <w:t>;</w:t>
      </w:r>
    </w:p>
    <w:p w:rsidR="007268F9" w:rsidRDefault="00A47024" w:rsidP="00A47024">
      <w:pPr>
        <w:pStyle w:val="SingleTxtG"/>
      </w:pPr>
      <w:r w:rsidRPr="00A47024">
        <w:tab/>
        <w:t>(c)</w:t>
      </w:r>
      <w:r w:rsidRPr="00A47024">
        <w:tab/>
        <w:t xml:space="preserve">In the tables under 6.6.5.3.4.1 and 6.6.5.3.4.2, delete the column </w:t>
      </w:r>
      <w:r w:rsidR="00C76597">
        <w:t>“</w:t>
      </w:r>
      <w:r w:rsidRPr="00A47024">
        <w:t>Packing group I</w:t>
      </w:r>
      <w:r w:rsidR="00C76597">
        <w:t>”</w:t>
      </w:r>
      <w:r w:rsidRPr="00A47024">
        <w:t>.</w:t>
      </w:r>
    </w:p>
    <w:p w:rsidR="008F70F0" w:rsidRPr="00D50150" w:rsidRDefault="008F70F0" w:rsidP="008F70F0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70F0" w:rsidRPr="00D50150" w:rsidSect="00A4702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08" w:rsidRPr="00FB1744" w:rsidRDefault="00AD6608" w:rsidP="00FB1744">
      <w:pPr>
        <w:pStyle w:val="Pieddepage"/>
      </w:pPr>
    </w:p>
  </w:endnote>
  <w:endnote w:type="continuationSeparator" w:id="0">
    <w:p w:rsidR="00AD6608" w:rsidRPr="00FB1744" w:rsidRDefault="00AD6608" w:rsidP="00FB1744">
      <w:pPr>
        <w:pStyle w:val="Pieddepa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24" w:rsidRPr="00A47024" w:rsidRDefault="00A47024" w:rsidP="00A47024">
    <w:pPr>
      <w:pStyle w:val="Pieddepage"/>
      <w:tabs>
        <w:tab w:val="right" w:pos="9598"/>
      </w:tabs>
    </w:pPr>
    <w:r w:rsidRPr="00A47024">
      <w:rPr>
        <w:b/>
        <w:sz w:val="18"/>
      </w:rPr>
      <w:fldChar w:fldCharType="begin"/>
    </w:r>
    <w:r w:rsidRPr="00A47024">
      <w:rPr>
        <w:b/>
        <w:sz w:val="18"/>
      </w:rPr>
      <w:instrText xml:space="preserve"> PAGE  \* MERGEFORMAT </w:instrText>
    </w:r>
    <w:r w:rsidRPr="00A47024">
      <w:rPr>
        <w:b/>
        <w:sz w:val="18"/>
      </w:rPr>
      <w:fldChar w:fldCharType="separate"/>
    </w:r>
    <w:r w:rsidR="001739AB">
      <w:rPr>
        <w:b/>
        <w:noProof/>
        <w:sz w:val="18"/>
      </w:rPr>
      <w:t>2</w:t>
    </w:r>
    <w:r w:rsidRPr="00A47024">
      <w:rPr>
        <w:b/>
        <w:sz w:val="18"/>
      </w:rPr>
      <w:fldChar w:fldCharType="end"/>
    </w:r>
    <w:r>
      <w:rPr>
        <w:sz w:val="18"/>
      </w:rPr>
      <w:tab/>
    </w:r>
    <w:r>
      <w:t>GE.16-22425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24" w:rsidRPr="00A47024" w:rsidRDefault="00A47024" w:rsidP="00A47024">
    <w:pPr>
      <w:pStyle w:val="Pieddepage"/>
      <w:tabs>
        <w:tab w:val="right" w:pos="9598"/>
      </w:tabs>
      <w:rPr>
        <w:b/>
        <w:sz w:val="18"/>
      </w:rPr>
    </w:pPr>
    <w:r>
      <w:t>GE.16-22425</w:t>
    </w:r>
    <w:r>
      <w:tab/>
    </w:r>
    <w:r w:rsidRPr="00A47024">
      <w:rPr>
        <w:b/>
        <w:sz w:val="18"/>
      </w:rPr>
      <w:fldChar w:fldCharType="begin"/>
    </w:r>
    <w:r w:rsidRPr="00A47024">
      <w:rPr>
        <w:b/>
        <w:sz w:val="18"/>
      </w:rPr>
      <w:instrText xml:space="preserve"> PAGE  \* MERGEFORMAT </w:instrText>
    </w:r>
    <w:r w:rsidRPr="00A470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470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37B1EEA" wp14:editId="655DE1D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024" w:rsidRDefault="00A47024" w:rsidP="00A47024">
    <w:r>
      <w:t>GE.16-</w:t>
    </w:r>
    <w:proofErr w:type="gramStart"/>
    <w:r>
      <w:t>22425  (</w:t>
    </w:r>
    <w:proofErr w:type="gramEnd"/>
    <w:r>
      <w:t>E)</w:t>
    </w:r>
    <w:r w:rsidR="00C76597">
      <w:t xml:space="preserve">    030117    040117</w:t>
    </w:r>
  </w:p>
  <w:p w:rsidR="00A47024" w:rsidRPr="00A47024" w:rsidRDefault="00A47024" w:rsidP="00A47024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DAE6925" wp14:editId="0704A170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1/2017/8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8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08" w:rsidRPr="00FB1744" w:rsidRDefault="00AD660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D6608" w:rsidRPr="00FB1744" w:rsidRDefault="00AD660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50150" w:rsidRPr="00D50150" w:rsidRDefault="00D50150" w:rsidP="00D50150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D5015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D50150">
        <w:t>In accordance with the programme of work of the Inland Transport Committee for 2016-2017, (ECE/TRANS/2016/28/Add.1 (9.2)).</w:t>
      </w:r>
    </w:p>
  </w:footnote>
  <w:footnote w:id="2">
    <w:p w:rsidR="00D50150" w:rsidRPr="00D50150" w:rsidRDefault="00D50150" w:rsidP="00D50150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D50150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D50150">
        <w:t>Circulated by the Intergovernmental Organisation for International Carriage by Rail (OTIF) under the symbol OTIF/RID/RC/2017/8.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24" w:rsidRPr="00A47024" w:rsidRDefault="00A47024" w:rsidP="00A47024">
    <w:pPr>
      <w:pStyle w:val="En-tte"/>
    </w:pPr>
    <w:r w:rsidRPr="00A47024">
      <w:t>ECE/TRANS/WP.15/AC.1/2017/8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24" w:rsidRPr="00A47024" w:rsidRDefault="00A47024" w:rsidP="00A47024">
    <w:pPr>
      <w:pStyle w:val="En-tte"/>
      <w:jc w:val="right"/>
    </w:pPr>
    <w:r w:rsidRPr="00A47024">
      <w:t>ECE/TRANS/WP.15/AC.1/2017/8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27BD4"/>
    <w:multiLevelType w:val="hybridMultilevel"/>
    <w:tmpl w:val="80442D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F37FA"/>
    <w:multiLevelType w:val="hybridMultilevel"/>
    <w:tmpl w:val="E5929394"/>
    <w:lvl w:ilvl="0" w:tplc="45D8C7FE">
      <w:numFmt w:val="bullet"/>
      <w:lvlText w:val="-"/>
      <w:lvlJc w:val="left"/>
      <w:pPr>
        <w:ind w:left="1689" w:hanging="55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608"/>
    <w:rsid w:val="00046E92"/>
    <w:rsid w:val="001170DC"/>
    <w:rsid w:val="001739AB"/>
    <w:rsid w:val="001B2E24"/>
    <w:rsid w:val="00247E2C"/>
    <w:rsid w:val="002D6C53"/>
    <w:rsid w:val="002F5595"/>
    <w:rsid w:val="00334F6A"/>
    <w:rsid w:val="00342AC8"/>
    <w:rsid w:val="003B4550"/>
    <w:rsid w:val="00446D70"/>
    <w:rsid w:val="00461253"/>
    <w:rsid w:val="005042C2"/>
    <w:rsid w:val="0056599A"/>
    <w:rsid w:val="00671529"/>
    <w:rsid w:val="00717266"/>
    <w:rsid w:val="007268F9"/>
    <w:rsid w:val="007C52B0"/>
    <w:rsid w:val="008F70F0"/>
    <w:rsid w:val="009411B4"/>
    <w:rsid w:val="009D0139"/>
    <w:rsid w:val="009F5CDC"/>
    <w:rsid w:val="00A47024"/>
    <w:rsid w:val="00A775CF"/>
    <w:rsid w:val="00AB3C7E"/>
    <w:rsid w:val="00AD6608"/>
    <w:rsid w:val="00B02BB7"/>
    <w:rsid w:val="00B06045"/>
    <w:rsid w:val="00C35A27"/>
    <w:rsid w:val="00C76597"/>
    <w:rsid w:val="00D50150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DB61-55C4-4848-9D8A-64EDD8CB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1622425</vt:lpstr>
      <vt:lpstr>1622425</vt:lpstr>
    </vt:vector>
  </TitlesOfParts>
  <Company>DCM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1622425</dc:title>
  <dc:subject>ECE/TRANS/WP.15/AC.1/2017/8</dc:subject>
  <dc:creator>Moses Okello</dc:creator>
  <cp:lastModifiedBy>barrio-champeau</cp:lastModifiedBy>
  <cp:revision>2</cp:revision>
  <cp:lastPrinted>2017-01-04T07:41:00Z</cp:lastPrinted>
  <dcterms:created xsi:type="dcterms:W3CDTF">2017-01-06T12:12:00Z</dcterms:created>
  <dcterms:modified xsi:type="dcterms:W3CDTF">2017-01-06T12:12:00Z</dcterms:modified>
</cp:coreProperties>
</file>