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17EA50BC" w14:textId="77777777" w:rsidTr="00B11BB4">
        <w:trPr>
          <w:cantSplit/>
          <w:trHeight w:hRule="exact" w:val="851"/>
        </w:trPr>
        <w:tc>
          <w:tcPr>
            <w:tcW w:w="1276" w:type="dxa"/>
            <w:tcBorders>
              <w:bottom w:val="single" w:sz="4" w:space="0" w:color="auto"/>
            </w:tcBorders>
            <w:shd w:val="clear" w:color="auto" w:fill="auto"/>
            <w:vAlign w:val="bottom"/>
          </w:tcPr>
          <w:p w14:paraId="405C2FD3" w14:textId="77777777" w:rsidR="00B56E9C" w:rsidRDefault="00B56E9C" w:rsidP="00B11BB4">
            <w:pPr>
              <w:spacing w:after="80"/>
            </w:pPr>
          </w:p>
        </w:tc>
        <w:tc>
          <w:tcPr>
            <w:tcW w:w="2268" w:type="dxa"/>
            <w:tcBorders>
              <w:bottom w:val="single" w:sz="4" w:space="0" w:color="auto"/>
            </w:tcBorders>
            <w:shd w:val="clear" w:color="auto" w:fill="auto"/>
            <w:vAlign w:val="bottom"/>
          </w:tcPr>
          <w:p w14:paraId="2BA3759D"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38E3D836" w14:textId="3A36A655" w:rsidR="00B56E9C" w:rsidRPr="00507993" w:rsidRDefault="00CD57D2" w:rsidP="00DC2858">
            <w:pPr>
              <w:suppressAutoHyphens w:val="0"/>
              <w:spacing w:after="20"/>
              <w:jc w:val="right"/>
              <w:rPr>
                <w:b/>
                <w:sz w:val="24"/>
                <w:szCs w:val="24"/>
              </w:rPr>
            </w:pPr>
            <w:r w:rsidRPr="00507993">
              <w:rPr>
                <w:b/>
                <w:sz w:val="24"/>
                <w:szCs w:val="24"/>
              </w:rPr>
              <w:t>INF.</w:t>
            </w:r>
            <w:r w:rsidR="00DC2858">
              <w:rPr>
                <w:b/>
                <w:sz w:val="24"/>
                <w:szCs w:val="24"/>
              </w:rPr>
              <w:t>26</w:t>
            </w:r>
          </w:p>
        </w:tc>
      </w:tr>
    </w:tbl>
    <w:p w14:paraId="1327E9DB" w14:textId="77777777" w:rsidR="00EC106A" w:rsidRDefault="00EC106A">
      <w:pPr>
        <w:spacing w:before="120"/>
        <w:rPr>
          <w:b/>
          <w:sz w:val="28"/>
          <w:szCs w:val="28"/>
        </w:rPr>
      </w:pPr>
      <w:r>
        <w:rPr>
          <w:b/>
          <w:sz w:val="28"/>
          <w:szCs w:val="28"/>
        </w:rPr>
        <w:t>Economic Commission for Europe</w:t>
      </w:r>
    </w:p>
    <w:p w14:paraId="7D433AD1" w14:textId="77777777" w:rsidR="00EC106A" w:rsidRDefault="00EC106A">
      <w:pPr>
        <w:spacing w:before="120"/>
        <w:rPr>
          <w:sz w:val="28"/>
          <w:szCs w:val="28"/>
        </w:rPr>
      </w:pPr>
      <w:r>
        <w:rPr>
          <w:sz w:val="28"/>
          <w:szCs w:val="28"/>
        </w:rPr>
        <w:t>Inland Transport Committee</w:t>
      </w:r>
    </w:p>
    <w:p w14:paraId="17344FFA" w14:textId="77777777" w:rsidR="00EC106A" w:rsidRDefault="00EC106A" w:rsidP="00EC106A">
      <w:pPr>
        <w:spacing w:before="120" w:after="120"/>
        <w:rPr>
          <w:b/>
          <w:sz w:val="24"/>
          <w:szCs w:val="24"/>
        </w:rPr>
      </w:pPr>
      <w:r>
        <w:rPr>
          <w:b/>
          <w:sz w:val="24"/>
          <w:szCs w:val="24"/>
        </w:rPr>
        <w:t>Working Party on the Transport of Dangerous Goods</w:t>
      </w:r>
    </w:p>
    <w:p w14:paraId="4CECDA99" w14:textId="77777777" w:rsidR="009D2A5B" w:rsidRDefault="009D2A5B" w:rsidP="009D2A5B">
      <w:pPr>
        <w:rPr>
          <w:b/>
        </w:rPr>
      </w:pPr>
      <w:r>
        <w:rPr>
          <w:b/>
        </w:rPr>
        <w:t>Joint Meeting of the RID Committee of Experts and the</w:t>
      </w:r>
    </w:p>
    <w:p w14:paraId="358B02F0" w14:textId="6B89604F"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DC2858">
        <w:rPr>
          <w:b/>
        </w:rPr>
        <w:t>13 September</w:t>
      </w:r>
      <w:r w:rsidR="00CE4B11">
        <w:rPr>
          <w:b/>
        </w:rPr>
        <w:t xml:space="preserve"> 2017</w:t>
      </w:r>
    </w:p>
    <w:p w14:paraId="30FC857C" w14:textId="77777777" w:rsidR="009D2A5B" w:rsidRDefault="005501AB" w:rsidP="00BB7CD1">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14:paraId="6299A6C8" w14:textId="16117537" w:rsidR="00AE4840" w:rsidRPr="00A55B4D" w:rsidRDefault="00AE4840" w:rsidP="00AE4840">
      <w:r w:rsidRPr="00A55B4D">
        <w:t xml:space="preserve">Item </w:t>
      </w:r>
      <w:r w:rsidR="000A24D2">
        <w:t>2</w:t>
      </w:r>
      <w:r w:rsidR="005501AB">
        <w:t xml:space="preserve"> </w:t>
      </w:r>
      <w:r w:rsidRPr="00A55B4D">
        <w:t>of the provisional agenda</w:t>
      </w:r>
    </w:p>
    <w:p w14:paraId="3BA04476" w14:textId="70C7205B" w:rsidR="00BB7CD1" w:rsidRPr="00BB7CD1" w:rsidRDefault="001F2705" w:rsidP="00AE4840">
      <w:pPr>
        <w:rPr>
          <w:b/>
        </w:rPr>
      </w:pPr>
      <w:r>
        <w:rPr>
          <w:b/>
        </w:rPr>
        <w:t>Tanks</w:t>
      </w:r>
      <w:bookmarkStart w:id="0" w:name="_GoBack"/>
      <w:bookmarkEnd w:id="0"/>
    </w:p>
    <w:p w14:paraId="0E6F3BBC" w14:textId="77777777" w:rsidR="00FD49F1" w:rsidRDefault="009B1518" w:rsidP="00FD49F1">
      <w:pPr>
        <w:pStyle w:val="HChG"/>
      </w:pPr>
      <w:r>
        <w:tab/>
      </w:r>
      <w:r>
        <w:tab/>
      </w:r>
      <w:r w:rsidR="00CA56B7">
        <w:rPr>
          <w:lang w:val="en-GB"/>
        </w:rPr>
        <w:t>Comments on the report of the informal working group on the inspection and certification of tanks</w:t>
      </w:r>
      <w:r w:rsidR="00FD49F1" w:rsidRPr="00F5634F">
        <w:t xml:space="preserve"> </w:t>
      </w:r>
    </w:p>
    <w:p w14:paraId="591105B4" w14:textId="0903721A" w:rsidR="00DC2858" w:rsidRPr="00F5634F" w:rsidRDefault="00E01D68" w:rsidP="00DC2858">
      <w:pPr>
        <w:pStyle w:val="H1G"/>
      </w:pPr>
      <w:r>
        <w:rPr>
          <w:lang w:val="x-none"/>
        </w:rPr>
        <w:tab/>
      </w:r>
      <w:r>
        <w:rPr>
          <w:lang w:val="x-none"/>
        </w:rPr>
        <w:tab/>
      </w:r>
      <w:r w:rsidR="00DC2858">
        <w:tab/>
        <w:t>Transmitted by the European Union Agency for Railways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894B0D" w:rsidRPr="00835C1F" w14:paraId="28C9BC6F" w14:textId="77777777" w:rsidTr="00AC7205">
        <w:trPr>
          <w:jc w:val="center"/>
        </w:trPr>
        <w:tc>
          <w:tcPr>
            <w:tcW w:w="9629" w:type="dxa"/>
            <w:tcBorders>
              <w:bottom w:val="nil"/>
            </w:tcBorders>
            <w:shd w:val="clear" w:color="auto" w:fill="auto"/>
          </w:tcPr>
          <w:p w14:paraId="79AE24E1" w14:textId="77777777" w:rsidR="00894B0D" w:rsidRPr="00E62341" w:rsidRDefault="00894B0D" w:rsidP="00AC7205">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894B0D" w:rsidRPr="00E62341" w14:paraId="0AB5FABC" w14:textId="77777777" w:rsidTr="00AC7205">
        <w:trPr>
          <w:jc w:val="center"/>
        </w:trPr>
        <w:tc>
          <w:tcPr>
            <w:tcW w:w="9629" w:type="dxa"/>
            <w:tcBorders>
              <w:top w:val="nil"/>
              <w:bottom w:val="nil"/>
            </w:tcBorders>
            <w:shd w:val="clear" w:color="auto" w:fill="auto"/>
          </w:tcPr>
          <w:p w14:paraId="5E4EA8FE" w14:textId="7BD44C86" w:rsidR="00894B0D" w:rsidRPr="00D35469" w:rsidRDefault="00894B0D" w:rsidP="00DC2858">
            <w:pPr>
              <w:pStyle w:val="SingleTxtG"/>
              <w:ind w:left="3402" w:hanging="2268"/>
              <w:rPr>
                <w:b/>
                <w:szCs w:val="22"/>
                <w:lang w:val="en-GB"/>
              </w:rPr>
            </w:pPr>
            <w:r w:rsidRPr="00835C1F">
              <w:rPr>
                <w:b/>
                <w:szCs w:val="22"/>
                <w:lang w:val="en-GB"/>
              </w:rPr>
              <w:t>Executive</w:t>
            </w:r>
            <w:r w:rsidRPr="00E62341">
              <w:rPr>
                <w:b/>
                <w:szCs w:val="22"/>
              </w:rPr>
              <w:t xml:space="preserve"> summary</w:t>
            </w:r>
            <w:r w:rsidRPr="00E62341">
              <w:rPr>
                <w:szCs w:val="22"/>
              </w:rPr>
              <w:t>:</w:t>
            </w:r>
            <w:r w:rsidRPr="00E62341">
              <w:rPr>
                <w:szCs w:val="22"/>
              </w:rPr>
              <w:tab/>
            </w:r>
            <w:r w:rsidRPr="00D467F3">
              <w:rPr>
                <w:szCs w:val="22"/>
                <w:lang w:val="en-GB"/>
              </w:rPr>
              <w:t>This document propose</w:t>
            </w:r>
            <w:r w:rsidR="000E2EBA" w:rsidRPr="00D467F3">
              <w:rPr>
                <w:szCs w:val="22"/>
                <w:lang w:val="en-GB"/>
              </w:rPr>
              <w:t>s</w:t>
            </w:r>
            <w:r w:rsidRPr="00D467F3">
              <w:rPr>
                <w:szCs w:val="22"/>
                <w:lang w:val="en-GB"/>
              </w:rPr>
              <w:t xml:space="preserve"> </w:t>
            </w:r>
            <w:r w:rsidR="00807E1D" w:rsidRPr="00D35469">
              <w:rPr>
                <w:lang w:val="en-GB"/>
              </w:rPr>
              <w:t>further</w:t>
            </w:r>
            <w:r w:rsidRPr="00D35469">
              <w:rPr>
                <w:lang w:val="en-GB"/>
              </w:rPr>
              <w:t xml:space="preserve"> amendments </w:t>
            </w:r>
            <w:r>
              <w:rPr>
                <w:lang w:val="en-GB"/>
              </w:rPr>
              <w:t>to the proposal made by the Working group on the inspection and certification of tanks for ensuring consistency of the proposal with the railway vehicle authorisation process within EU and for clarification.</w:t>
            </w:r>
          </w:p>
        </w:tc>
      </w:tr>
      <w:tr w:rsidR="00894B0D" w:rsidRPr="00E132FB" w14:paraId="7A238B45" w14:textId="77777777" w:rsidTr="00AC7205">
        <w:trPr>
          <w:jc w:val="center"/>
        </w:trPr>
        <w:tc>
          <w:tcPr>
            <w:tcW w:w="9629" w:type="dxa"/>
            <w:tcBorders>
              <w:top w:val="nil"/>
              <w:bottom w:val="nil"/>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9619"/>
            </w:tblGrid>
            <w:tr w:rsidR="00894B0D" w:rsidRPr="00D35469" w14:paraId="17A979D0" w14:textId="77777777" w:rsidTr="00AC7205">
              <w:trPr>
                <w:trHeight w:val="269"/>
              </w:trPr>
              <w:tc>
                <w:tcPr>
                  <w:tcW w:w="0" w:type="auto"/>
                </w:tcPr>
                <w:p w14:paraId="1610A57D" w14:textId="75DCA49E" w:rsidR="00894B0D" w:rsidRPr="00D35469" w:rsidRDefault="00894B0D" w:rsidP="002446AE">
                  <w:pPr>
                    <w:pStyle w:val="SingleTxtG"/>
                    <w:ind w:left="3402" w:hanging="2268"/>
                    <w:rPr>
                      <w:lang w:val="en-GB"/>
                    </w:rPr>
                  </w:pPr>
                  <w:r w:rsidRPr="00E62341">
                    <w:rPr>
                      <w:rFonts w:eastAsia="Arial"/>
                      <w:b/>
                    </w:rPr>
                    <w:t>Reference document</w:t>
                  </w:r>
                  <w:r w:rsidRPr="00D467F3">
                    <w:rPr>
                      <w:rFonts w:eastAsia="Arial"/>
                      <w:b/>
                      <w:lang w:val="en-GB"/>
                    </w:rPr>
                    <w:t>s</w:t>
                  </w:r>
                  <w:r w:rsidRPr="00E62341">
                    <w:rPr>
                      <w:rFonts w:eastAsia="Arial"/>
                    </w:rPr>
                    <w:t>:</w:t>
                  </w:r>
                  <w:r w:rsidRPr="00E62341">
                    <w:rPr>
                      <w:rFonts w:eastAsia="Arial"/>
                    </w:rPr>
                    <w:tab/>
                  </w:r>
                  <w:r w:rsidR="000E2EBA">
                    <w:rPr>
                      <w:lang w:val="en-GB"/>
                    </w:rPr>
                    <w:t>Annex I</w:t>
                  </w:r>
                  <w:r w:rsidR="000E2EBA" w:rsidRPr="00D35469">
                    <w:rPr>
                      <w:lang w:val="en-GB"/>
                    </w:rPr>
                    <w:t xml:space="preserve"> </w:t>
                  </w:r>
                  <w:r w:rsidR="000E2EBA">
                    <w:rPr>
                      <w:lang w:val="en-GB"/>
                    </w:rPr>
                    <w:t xml:space="preserve">of </w:t>
                  </w:r>
                  <w:r w:rsidRPr="00D35469">
                    <w:rPr>
                      <w:lang w:val="en-GB"/>
                    </w:rPr>
                    <w:t>ECE/TRANS/WP.15/AC.1/2017/3</w:t>
                  </w:r>
                  <w:r>
                    <w:rPr>
                      <w:lang w:val="en-GB"/>
                    </w:rPr>
                    <w:t xml:space="preserve">8, </w:t>
                  </w:r>
                  <w:r w:rsidR="000E2EBA">
                    <w:rPr>
                      <w:lang w:val="en-GB"/>
                    </w:rPr>
                    <w:t xml:space="preserve">Annex II of </w:t>
                  </w:r>
                  <w:r>
                    <w:rPr>
                      <w:lang w:val="en-GB"/>
                    </w:rPr>
                    <w:t xml:space="preserve">September 2017 </w:t>
                  </w:r>
                  <w:r w:rsidR="00C777D5">
                    <w:rPr>
                      <w:lang w:val="en-GB"/>
                    </w:rPr>
                    <w:t xml:space="preserve">informal document </w:t>
                  </w:r>
                  <w:r>
                    <w:rPr>
                      <w:lang w:val="en-GB"/>
                    </w:rPr>
                    <w:t>INF10</w:t>
                  </w:r>
                  <w:r w:rsidR="00C777D5">
                    <w:rPr>
                      <w:lang w:val="en-GB"/>
                    </w:rPr>
                    <w:t>.</w:t>
                  </w:r>
                </w:p>
              </w:tc>
            </w:tr>
          </w:tbl>
          <w:p w14:paraId="5BB2EC63" w14:textId="77777777" w:rsidR="00894B0D" w:rsidRPr="00E132FB" w:rsidRDefault="00894B0D" w:rsidP="00AC7205">
            <w:pPr>
              <w:pStyle w:val="SingleTxtG"/>
              <w:ind w:left="3402" w:hanging="2268"/>
              <w:jc w:val="left"/>
            </w:pPr>
          </w:p>
        </w:tc>
      </w:tr>
      <w:tr w:rsidR="00894B0D" w:rsidRPr="00E62341" w14:paraId="427301D8" w14:textId="77777777" w:rsidTr="00AC7205">
        <w:trPr>
          <w:jc w:val="center"/>
        </w:trPr>
        <w:tc>
          <w:tcPr>
            <w:tcW w:w="9629" w:type="dxa"/>
            <w:tcBorders>
              <w:top w:val="nil"/>
            </w:tcBorders>
            <w:shd w:val="clear" w:color="auto" w:fill="auto"/>
          </w:tcPr>
          <w:p w14:paraId="40A2D931" w14:textId="77777777" w:rsidR="00894B0D" w:rsidRPr="00E62341" w:rsidRDefault="00894B0D" w:rsidP="00AC7205">
            <w:pPr>
              <w:suppressAutoHyphens w:val="0"/>
              <w:rPr>
                <w:rFonts w:eastAsia="Arial"/>
              </w:rPr>
            </w:pPr>
          </w:p>
        </w:tc>
      </w:tr>
    </w:tbl>
    <w:p w14:paraId="0574776A" w14:textId="77777777" w:rsidR="00FD49F1" w:rsidRPr="00E746D9" w:rsidRDefault="00FD49F1" w:rsidP="00FD49F1">
      <w:pPr>
        <w:pStyle w:val="HChG"/>
        <w:rPr>
          <w:lang w:val="en-GB"/>
        </w:rPr>
      </w:pPr>
      <w:r>
        <w:tab/>
      </w:r>
      <w:r>
        <w:tab/>
      </w:r>
      <w:r w:rsidR="00E746D9" w:rsidRPr="00E746D9">
        <w:rPr>
          <w:lang w:val="en-GB"/>
        </w:rPr>
        <w:t>Introduction</w:t>
      </w:r>
    </w:p>
    <w:p w14:paraId="6015C07F" w14:textId="48D4B227" w:rsidR="00CA56B7" w:rsidRPr="00DC2858" w:rsidRDefault="00CA56B7" w:rsidP="00DC2858">
      <w:pPr>
        <w:pStyle w:val="SingleTxtG"/>
      </w:pPr>
      <w:r w:rsidRPr="00DC2858">
        <w:t xml:space="preserve">The Agency would like to thank the </w:t>
      </w:r>
      <w:r w:rsidR="00C777D5">
        <w:rPr>
          <w:lang w:val="fr-CH"/>
        </w:rPr>
        <w:t xml:space="preserve">United </w:t>
      </w:r>
      <w:proofErr w:type="spellStart"/>
      <w:r w:rsidR="00C777D5">
        <w:rPr>
          <w:lang w:val="fr-CH"/>
        </w:rPr>
        <w:t>Kingdom</w:t>
      </w:r>
      <w:proofErr w:type="spellEnd"/>
      <w:r w:rsidRPr="00DC2858">
        <w:t xml:space="preserve"> delegation for inviting it </w:t>
      </w:r>
      <w:r w:rsidR="00856952" w:rsidRPr="00DC2858">
        <w:t xml:space="preserve">to the meeting of the working group on inspection and certification of tanks and </w:t>
      </w:r>
      <w:r w:rsidRPr="00DC2858">
        <w:t xml:space="preserve">to give a presentation on the 4th railway package vehicle </w:t>
      </w:r>
      <w:proofErr w:type="spellStart"/>
      <w:r w:rsidRPr="00DC2858">
        <w:t>authorisation</w:t>
      </w:r>
      <w:proofErr w:type="spellEnd"/>
      <w:r w:rsidRPr="00DC2858">
        <w:t xml:space="preserve"> process applicable to all wagons, including tank-wagons and battery-wagon</w:t>
      </w:r>
      <w:r w:rsidR="00856952" w:rsidRPr="00DC2858">
        <w:t>. The 4th R</w:t>
      </w:r>
      <w:r w:rsidR="006D63B3" w:rsidRPr="00DC2858">
        <w:t xml:space="preserve">ailway </w:t>
      </w:r>
      <w:r w:rsidR="00856952" w:rsidRPr="00DC2858">
        <w:t>P</w:t>
      </w:r>
      <w:r w:rsidR="006D63B3" w:rsidRPr="00DC2858">
        <w:t>ackage (4th RP)</w:t>
      </w:r>
      <w:r w:rsidR="00856952" w:rsidRPr="00DC2858">
        <w:t xml:space="preserve"> vehicle </w:t>
      </w:r>
      <w:proofErr w:type="spellStart"/>
      <w:r w:rsidR="00856952" w:rsidRPr="00DC2858">
        <w:t>authorisation</w:t>
      </w:r>
      <w:proofErr w:type="spellEnd"/>
      <w:r w:rsidR="00856952" w:rsidRPr="00DC2858">
        <w:t xml:space="preserve"> process will enter into force </w:t>
      </w:r>
      <w:r w:rsidRPr="00DC2858">
        <w:t>from 16 June 2019 to 16 June 20</w:t>
      </w:r>
      <w:r w:rsidR="00886118" w:rsidRPr="00DC2858">
        <w:t>20</w:t>
      </w:r>
      <w:r w:rsidRPr="00DC2858">
        <w:t xml:space="preserve"> </w:t>
      </w:r>
      <w:r w:rsidR="00856952" w:rsidRPr="00DC2858">
        <w:t xml:space="preserve">in the EU Member States </w:t>
      </w:r>
      <w:r w:rsidRPr="00DC2858">
        <w:t xml:space="preserve">depending on the actual transposition </w:t>
      </w:r>
      <w:r w:rsidR="00856952" w:rsidRPr="00DC2858">
        <w:t>of the Directive (EU) 2016/797</w:t>
      </w:r>
      <w:r w:rsidR="001B053F" w:rsidRPr="00C777D5">
        <w:rPr>
          <w:rStyle w:val="FootnoteReference"/>
          <w:sz w:val="20"/>
        </w:rPr>
        <w:footnoteReference w:id="2"/>
      </w:r>
      <w:r w:rsidR="00856952" w:rsidRPr="00C777D5">
        <w:rPr>
          <w:vertAlign w:val="superscript"/>
        </w:rPr>
        <w:t xml:space="preserve"> </w:t>
      </w:r>
      <w:r w:rsidR="00856952" w:rsidRPr="00DC2858">
        <w:t>and the resulting entry into force in each Member States</w:t>
      </w:r>
      <w:r w:rsidRPr="00DC2858">
        <w:t>.</w:t>
      </w:r>
    </w:p>
    <w:p w14:paraId="3D86C1AC" w14:textId="77777777" w:rsidR="00856952" w:rsidRPr="00DC2858" w:rsidRDefault="00886118" w:rsidP="00DC2858">
      <w:pPr>
        <w:pStyle w:val="SingleTxtG"/>
      </w:pPr>
      <w:r w:rsidRPr="00DC2858">
        <w:t xml:space="preserve">Hereinafter the Agency would like to draw the attention on few amendments which might </w:t>
      </w:r>
      <w:r w:rsidR="00856952" w:rsidRPr="00DC2858">
        <w:t xml:space="preserve">still </w:t>
      </w:r>
      <w:r w:rsidRPr="00DC2858">
        <w:t xml:space="preserve">be necessary to </w:t>
      </w:r>
      <w:r w:rsidR="00856952" w:rsidRPr="00DC2858">
        <w:t xml:space="preserve">improve the consistency of the working group proposal with the 4th RP </w:t>
      </w:r>
      <w:proofErr w:type="spellStart"/>
      <w:r w:rsidR="00856952" w:rsidRPr="00DC2858">
        <w:t>authorisation</w:t>
      </w:r>
      <w:proofErr w:type="spellEnd"/>
      <w:r w:rsidR="00856952" w:rsidRPr="00DC2858">
        <w:t xml:space="preserve"> process for allowing a smooth implementation of the both legislations. </w:t>
      </w:r>
    </w:p>
    <w:p w14:paraId="75C0AEC9" w14:textId="77777777" w:rsidR="00886118" w:rsidRPr="00344BD8" w:rsidRDefault="00FD49F1" w:rsidP="00886118">
      <w:pPr>
        <w:pStyle w:val="HChG"/>
        <w:rPr>
          <w:lang w:val="en-GB"/>
        </w:rPr>
      </w:pPr>
      <w:r>
        <w:tab/>
      </w:r>
      <w:r>
        <w:tab/>
      </w:r>
      <w:r w:rsidR="00344BD8" w:rsidRPr="00344BD8">
        <w:rPr>
          <w:lang w:val="en-GB"/>
        </w:rPr>
        <w:t>Proposed amendments</w:t>
      </w:r>
    </w:p>
    <w:p w14:paraId="7BFE43E9" w14:textId="77777777" w:rsidR="00344BD8" w:rsidRDefault="00344BD8" w:rsidP="00344BD8">
      <w:pPr>
        <w:pStyle w:val="SingleTxtG"/>
        <w:rPr>
          <w:lang w:val="en-GB"/>
        </w:rPr>
      </w:pPr>
      <w:r>
        <w:rPr>
          <w:lang w:val="en-GB"/>
        </w:rPr>
        <w:t>First proposal</w:t>
      </w:r>
    </w:p>
    <w:p w14:paraId="64803B40" w14:textId="6D6B6786" w:rsidR="00344BD8" w:rsidRDefault="00DC2858" w:rsidP="00DC2858">
      <w:pPr>
        <w:pStyle w:val="SingleTxtG"/>
        <w:rPr>
          <w:lang w:val="en-GB"/>
        </w:rPr>
      </w:pPr>
      <w:r w:rsidRPr="00DC2858">
        <w:rPr>
          <w:lang w:val="en-GB"/>
        </w:rPr>
        <w:tab/>
        <w:t>1.</w:t>
      </w:r>
      <w:r w:rsidRPr="00DC2858">
        <w:rPr>
          <w:lang w:val="en-GB"/>
        </w:rPr>
        <w:tab/>
      </w:r>
      <w:r w:rsidR="002614B5" w:rsidRPr="000C7794">
        <w:rPr>
          <w:u w:val="single"/>
          <w:lang w:val="en-GB"/>
        </w:rPr>
        <w:t xml:space="preserve">Clarity of the </w:t>
      </w:r>
      <w:r w:rsidR="00E01D68" w:rsidRPr="000C7794">
        <w:rPr>
          <w:u w:val="single"/>
          <w:lang w:val="en-GB"/>
        </w:rPr>
        <w:t xml:space="preserve">scope of the </w:t>
      </w:r>
      <w:r w:rsidR="002614B5" w:rsidRPr="000C7794">
        <w:rPr>
          <w:u w:val="single"/>
          <w:lang w:val="en-GB"/>
        </w:rPr>
        <w:t>approval procedure</w:t>
      </w:r>
      <w:r w:rsidR="00C87FD7" w:rsidRPr="000C7794">
        <w:rPr>
          <w:u w:val="single"/>
          <w:lang w:val="en-GB"/>
        </w:rPr>
        <w:t xml:space="preserve"> and provisions</w:t>
      </w:r>
      <w:r w:rsidR="002446AE">
        <w:rPr>
          <w:lang w:val="en-GB"/>
        </w:rPr>
        <w:t>.</w:t>
      </w:r>
    </w:p>
    <w:p w14:paraId="4C6B0AD1" w14:textId="4ECDC8DB" w:rsidR="002446AE" w:rsidRPr="00DC2858" w:rsidRDefault="00C87FD7" w:rsidP="00DC2858">
      <w:pPr>
        <w:pStyle w:val="SingleTxtG"/>
        <w:ind w:left="1701"/>
      </w:pPr>
      <w:r w:rsidRPr="00DC2858">
        <w:lastRenderedPageBreak/>
        <w:t xml:space="preserve">Further </w:t>
      </w:r>
      <w:r w:rsidR="00144909" w:rsidRPr="00DC2858">
        <w:t xml:space="preserve">clarification </w:t>
      </w:r>
      <w:r w:rsidRPr="00DC2858">
        <w:t xml:space="preserve">may be </w:t>
      </w:r>
      <w:r w:rsidR="00144909" w:rsidRPr="00DC2858">
        <w:t xml:space="preserve">needed </w:t>
      </w:r>
      <w:r w:rsidRPr="00DC2858">
        <w:t>to the scope of application</w:t>
      </w:r>
      <w:r w:rsidR="00526AB3" w:rsidRPr="00DC2858">
        <w:t xml:space="preserve"> of the approval procedure (in annex I of document 2017/38 and to the provisions of chapter 6.8</w:t>
      </w:r>
      <w:r w:rsidR="00ED0BC6" w:rsidRPr="00DC2858">
        <w:t>)</w:t>
      </w:r>
      <w:r w:rsidR="00526AB3" w:rsidRPr="00DC2858">
        <w:t xml:space="preserve">. </w:t>
      </w:r>
      <w:r w:rsidR="00B3207A" w:rsidRPr="00DC2858">
        <w:t>According to the current proposal</w:t>
      </w:r>
      <w:r w:rsidR="00526AB3" w:rsidRPr="00DC2858">
        <w:t>s</w:t>
      </w:r>
      <w:r w:rsidR="000E2EBA" w:rsidRPr="00DC2858">
        <w:t xml:space="preserve">, </w:t>
      </w:r>
      <w:r w:rsidR="00B3207A" w:rsidRPr="00DC2858">
        <w:t>the approval procedure applies to “battery-vehicles”</w:t>
      </w:r>
      <w:r w:rsidR="008E187A" w:rsidRPr="00DC2858">
        <w:t xml:space="preserve"> however it </w:t>
      </w:r>
      <w:r w:rsidR="00144909" w:rsidRPr="00DC2858">
        <w:t>h</w:t>
      </w:r>
      <w:r w:rsidR="008E187A" w:rsidRPr="00DC2858">
        <w:t xml:space="preserve">as to be understood as </w:t>
      </w:r>
      <w:r w:rsidR="00526AB3" w:rsidRPr="00DC2858">
        <w:t xml:space="preserve">applying to the </w:t>
      </w:r>
      <w:r w:rsidR="008E187A" w:rsidRPr="00DC2858">
        <w:t>“battery part” of battery-vehicles</w:t>
      </w:r>
      <w:r w:rsidR="00B3207A" w:rsidRPr="00DC2858">
        <w:t xml:space="preserve">. </w:t>
      </w:r>
    </w:p>
    <w:p w14:paraId="3CC42923" w14:textId="418ACB5E" w:rsidR="002446AE" w:rsidRPr="00DC2858" w:rsidRDefault="002446AE" w:rsidP="00DC2858">
      <w:pPr>
        <w:pStyle w:val="SingleTxtG"/>
        <w:ind w:left="1701"/>
      </w:pPr>
      <w:r w:rsidRPr="00DC2858">
        <w:t>It is proposed to adopt a similar drafting approach for battery-vehicles provisions than for tank-vehicles provisions, for the same reasons.</w:t>
      </w:r>
    </w:p>
    <w:p w14:paraId="3E05E4E3" w14:textId="41B1BA68" w:rsidR="00344BD8" w:rsidRDefault="00DC2858" w:rsidP="00DC2858">
      <w:pPr>
        <w:pStyle w:val="SingleTxtG"/>
        <w:rPr>
          <w:lang w:val="en-GB"/>
        </w:rPr>
      </w:pPr>
      <w:r>
        <w:rPr>
          <w:lang w:val="en-GB"/>
        </w:rPr>
        <w:tab/>
        <w:t>2.</w:t>
      </w:r>
      <w:r>
        <w:rPr>
          <w:lang w:val="en-GB"/>
        </w:rPr>
        <w:tab/>
      </w:r>
      <w:r w:rsidR="00344BD8">
        <w:rPr>
          <w:lang w:val="en-GB"/>
        </w:rPr>
        <w:t xml:space="preserve">Proposed </w:t>
      </w:r>
      <w:r w:rsidR="00526AB3">
        <w:rPr>
          <w:lang w:val="en-GB"/>
        </w:rPr>
        <w:t>clarification</w:t>
      </w:r>
    </w:p>
    <w:p w14:paraId="2572D571" w14:textId="77777777" w:rsidR="008C7F9C" w:rsidRPr="00DC2858" w:rsidRDefault="000E2EBA" w:rsidP="00DC2858">
      <w:pPr>
        <w:pStyle w:val="SingleTxtG"/>
        <w:ind w:left="1701"/>
      </w:pPr>
      <w:r w:rsidRPr="00DC2858">
        <w:t xml:space="preserve">It is proposed to </w:t>
      </w:r>
      <w:r w:rsidR="00C87FD7" w:rsidRPr="00DC2858">
        <w:t>change</w:t>
      </w:r>
    </w:p>
    <w:p w14:paraId="79D41244" w14:textId="473AF71F" w:rsidR="00051F9B" w:rsidRPr="00DC2858" w:rsidRDefault="008C7F9C" w:rsidP="00DC2858">
      <w:pPr>
        <w:pStyle w:val="SingleTxtG"/>
        <w:ind w:left="1701"/>
      </w:pPr>
      <w:r w:rsidRPr="00DC2858">
        <w:t>[RID]</w:t>
      </w:r>
      <w:r w:rsidR="00C87FD7" w:rsidRPr="00DC2858">
        <w:t xml:space="preserve"> </w:t>
      </w:r>
      <w:r w:rsidR="00EF6DB8" w:rsidRPr="00DC2858">
        <w:t>“battery</w:t>
      </w:r>
      <w:r w:rsidR="00C87FD7" w:rsidRPr="00DC2858">
        <w:t>-vehicle” with “battery (battery-</w:t>
      </w:r>
      <w:r w:rsidRPr="00DC2858">
        <w:t>wagon</w:t>
      </w:r>
      <w:r w:rsidR="00C87FD7" w:rsidRPr="00DC2858">
        <w:t>)”</w:t>
      </w:r>
      <w:r w:rsidR="00EF6DB8" w:rsidRPr="00DC2858">
        <w:t xml:space="preserve"> </w:t>
      </w:r>
      <w:r w:rsidR="00C87FD7" w:rsidRPr="00DC2858">
        <w:t xml:space="preserve">throughout the </w:t>
      </w:r>
      <w:r w:rsidR="00526AB3" w:rsidRPr="00DC2858">
        <w:t>proposals</w:t>
      </w:r>
      <w:r w:rsidR="00C87FD7" w:rsidRPr="00DC2858">
        <w:t xml:space="preserve"> where the provisions are concerning </w:t>
      </w:r>
      <w:r w:rsidR="000E2EBA" w:rsidRPr="00DC2858">
        <w:t xml:space="preserve">only the </w:t>
      </w:r>
      <w:r w:rsidR="00C87FD7" w:rsidRPr="00DC2858">
        <w:t xml:space="preserve">battery part of the </w:t>
      </w:r>
      <w:r w:rsidR="002446AE" w:rsidRPr="00DC2858">
        <w:t>battery-</w:t>
      </w:r>
      <w:r w:rsidRPr="00DC2858">
        <w:t>wagon</w:t>
      </w:r>
      <w:r w:rsidR="00051F9B" w:rsidRPr="00DC2858">
        <w:t>,</w:t>
      </w:r>
    </w:p>
    <w:p w14:paraId="5B34221B" w14:textId="3C2740FF" w:rsidR="00EF6DB8" w:rsidRPr="00DC2858" w:rsidRDefault="00051F9B" w:rsidP="00DC2858">
      <w:pPr>
        <w:pStyle w:val="SingleTxtG"/>
        <w:ind w:left="1701"/>
      </w:pPr>
      <w:r w:rsidRPr="00DC2858">
        <w:t>and,</w:t>
      </w:r>
      <w:r w:rsidR="00EF6DB8" w:rsidRPr="00DC2858">
        <w:t xml:space="preserve"> </w:t>
      </w:r>
    </w:p>
    <w:p w14:paraId="264E4033" w14:textId="3CB91AD5" w:rsidR="008C7F9C" w:rsidRPr="00DC2858" w:rsidRDefault="008C7F9C" w:rsidP="00DC2858">
      <w:pPr>
        <w:pStyle w:val="SingleTxtG"/>
        <w:ind w:left="1701"/>
      </w:pPr>
      <w:r w:rsidRPr="00DC2858">
        <w:t xml:space="preserve">[ADR] “battery-vehicle” with “battery (battery-vehicle)” throughout the proposals where the provisions are concerning only the battery part of the battery-vehicle. </w:t>
      </w:r>
    </w:p>
    <w:p w14:paraId="166C1E81" w14:textId="3E53728A" w:rsidR="00344BD8" w:rsidRPr="00DC2858" w:rsidRDefault="00DC2858" w:rsidP="00DC2858">
      <w:pPr>
        <w:pStyle w:val="SingleTxtG"/>
      </w:pPr>
      <w:r w:rsidRPr="00DC2858">
        <w:tab/>
        <w:t>3.</w:t>
      </w:r>
      <w:r w:rsidRPr="00DC2858">
        <w:tab/>
      </w:r>
      <w:r w:rsidR="005B0833" w:rsidRPr="00DC2858">
        <w:t>Justification</w:t>
      </w:r>
    </w:p>
    <w:p w14:paraId="3EEB8F9F" w14:textId="78C3F978" w:rsidR="00051F9B" w:rsidRPr="00DC2858" w:rsidRDefault="00526AB3" w:rsidP="00DC2858">
      <w:pPr>
        <w:pStyle w:val="SingleTxtG"/>
        <w:ind w:left="1701"/>
      </w:pPr>
      <w:r w:rsidRPr="00DC2858">
        <w:t xml:space="preserve">Within </w:t>
      </w:r>
      <w:r w:rsidR="00292A77" w:rsidRPr="00DC2858">
        <w:t xml:space="preserve">the </w:t>
      </w:r>
      <w:r w:rsidRPr="00DC2858">
        <w:t>EU</w:t>
      </w:r>
      <w:r w:rsidR="000E2EBA" w:rsidRPr="00DC2858">
        <w:t>,</w:t>
      </w:r>
      <w:r w:rsidRPr="00DC2858">
        <w:t xml:space="preserve"> t</w:t>
      </w:r>
      <w:r w:rsidR="008E187A" w:rsidRPr="00DC2858">
        <w:t xml:space="preserve">he </w:t>
      </w:r>
      <w:proofErr w:type="spellStart"/>
      <w:r w:rsidR="008E187A" w:rsidRPr="00DC2858">
        <w:t>authorisation</w:t>
      </w:r>
      <w:proofErr w:type="spellEnd"/>
      <w:r w:rsidR="008E187A" w:rsidRPr="00DC2858">
        <w:t xml:space="preserve"> process of railway vehicles falls </w:t>
      </w:r>
      <w:r w:rsidR="00292A77" w:rsidRPr="00DC2858">
        <w:t>with</w:t>
      </w:r>
      <w:r w:rsidR="008E187A" w:rsidRPr="00DC2858">
        <w:t>in the scope of the Directive (EU) 2016/797 and the related Implementing Acts (</w:t>
      </w:r>
      <w:r w:rsidR="008C7F9C" w:rsidRPr="00DC2858">
        <w:t xml:space="preserve">these implementing acts namely Implementing Act on Vehicle </w:t>
      </w:r>
      <w:proofErr w:type="spellStart"/>
      <w:r w:rsidR="008C7F9C" w:rsidRPr="00DC2858">
        <w:t>Authorisation</w:t>
      </w:r>
      <w:proofErr w:type="spellEnd"/>
      <w:r w:rsidR="008C7F9C" w:rsidRPr="00DC2858">
        <w:t xml:space="preserve"> and Implementing Act on the EC verification procedure for subsystems are in the last stage of development for completing the 4th R</w:t>
      </w:r>
      <w:r w:rsidR="009A5F63" w:rsidRPr="00DC2858">
        <w:t>ailway Package</w:t>
      </w:r>
      <w:r w:rsidR="008E187A" w:rsidRPr="00DC2858">
        <w:t>)</w:t>
      </w:r>
      <w:r w:rsidR="00051F9B" w:rsidRPr="00DC2858">
        <w:t xml:space="preserve"> and from the</w:t>
      </w:r>
      <w:r w:rsidR="009A5F63" w:rsidRPr="00DC2858">
        <w:t xml:space="preserve"> </w:t>
      </w:r>
      <w:r w:rsidR="00051F9B" w:rsidRPr="00DC2858">
        <w:t>viewpoint of Directive (EU) 2016/797 a tank-wagon/battery-wagon is a railway vehicle.</w:t>
      </w:r>
    </w:p>
    <w:p w14:paraId="4E1B5843" w14:textId="626B2FB7" w:rsidR="00051F9B" w:rsidRPr="00DC2858" w:rsidRDefault="00526AB3" w:rsidP="00DC2858">
      <w:pPr>
        <w:pStyle w:val="SingleTxtG"/>
        <w:ind w:left="1701"/>
      </w:pPr>
      <w:r w:rsidRPr="00DC2858">
        <w:t>Th</w:t>
      </w:r>
      <w:r w:rsidR="00051F9B" w:rsidRPr="00DC2858">
        <w:t xml:space="preserve">e vehicle </w:t>
      </w:r>
      <w:proofErr w:type="spellStart"/>
      <w:r w:rsidR="00051F9B" w:rsidRPr="00DC2858">
        <w:t>authorisation</w:t>
      </w:r>
      <w:proofErr w:type="spellEnd"/>
      <w:r w:rsidR="00051F9B" w:rsidRPr="00DC2858">
        <w:t xml:space="preserve"> </w:t>
      </w:r>
      <w:r w:rsidRPr="00DC2858">
        <w:t xml:space="preserve">process </w:t>
      </w:r>
      <w:r w:rsidR="009A5F63" w:rsidRPr="00DC2858">
        <w:t>will use</w:t>
      </w:r>
      <w:r w:rsidRPr="00DC2858">
        <w:t xml:space="preserve">, as </w:t>
      </w:r>
      <w:r w:rsidR="00ED0BC6" w:rsidRPr="00DC2858">
        <w:t xml:space="preserve">a </w:t>
      </w:r>
      <w:r w:rsidR="00292A77" w:rsidRPr="00DC2858">
        <w:t xml:space="preserve">formal </w:t>
      </w:r>
      <w:r w:rsidRPr="00DC2858">
        <w:t>input, the approval delivered for the tank part/battery part of tank-</w:t>
      </w:r>
      <w:r w:rsidR="008C7F9C" w:rsidRPr="00DC2858">
        <w:t>wagons</w:t>
      </w:r>
      <w:r w:rsidRPr="00DC2858">
        <w:t>/battery-</w:t>
      </w:r>
      <w:r w:rsidR="008C7F9C" w:rsidRPr="00DC2858">
        <w:t>wagons</w:t>
      </w:r>
      <w:r w:rsidR="00144909" w:rsidRPr="00DC2858">
        <w:t>.</w:t>
      </w:r>
      <w:r w:rsidR="00051F9B" w:rsidRPr="00DC2858">
        <w:t xml:space="preserve"> </w:t>
      </w:r>
    </w:p>
    <w:p w14:paraId="4135C80D" w14:textId="554A34BE" w:rsidR="00051F9B" w:rsidRPr="00DC2858" w:rsidRDefault="00051F9B" w:rsidP="00DC2858">
      <w:pPr>
        <w:pStyle w:val="SingleTxtG"/>
        <w:ind w:left="1701"/>
      </w:pPr>
      <w:r w:rsidRPr="00DC2858">
        <w:t>The</w:t>
      </w:r>
      <w:r w:rsidR="00B3207A" w:rsidRPr="00DC2858">
        <w:t xml:space="preserve"> proposed </w:t>
      </w:r>
      <w:r w:rsidR="00EF6DB8" w:rsidRPr="00DC2858">
        <w:t>amendments</w:t>
      </w:r>
      <w:r w:rsidR="00B3207A" w:rsidRPr="00DC2858">
        <w:t xml:space="preserve"> </w:t>
      </w:r>
      <w:r w:rsidR="000E2EBA" w:rsidRPr="00DC2858">
        <w:t xml:space="preserve">will </w:t>
      </w:r>
      <w:r w:rsidR="00B3207A" w:rsidRPr="00DC2858">
        <w:t>bring further clarity</w:t>
      </w:r>
      <w:r w:rsidR="00526AB3" w:rsidRPr="00DC2858">
        <w:t xml:space="preserve"> and legal certainty</w:t>
      </w:r>
      <w:r w:rsidR="00B3207A" w:rsidRPr="00DC2858">
        <w:t xml:space="preserve"> on the scope </w:t>
      </w:r>
      <w:r w:rsidR="00526AB3" w:rsidRPr="00DC2858">
        <w:t>of application of the RID provisions and Directive (EU) 20</w:t>
      </w:r>
      <w:r w:rsidR="00144909" w:rsidRPr="00DC2858">
        <w:t>1</w:t>
      </w:r>
      <w:r w:rsidR="00526AB3" w:rsidRPr="00DC2858">
        <w:t xml:space="preserve">6/797 respectively. </w:t>
      </w:r>
    </w:p>
    <w:p w14:paraId="74476CE8" w14:textId="77777777" w:rsidR="00856952" w:rsidRPr="00DC2858" w:rsidRDefault="00856952" w:rsidP="00DC2858">
      <w:pPr>
        <w:pStyle w:val="SingleTxtG"/>
      </w:pPr>
      <w:r w:rsidRPr="00DC2858">
        <w:t>Second proposal</w:t>
      </w:r>
    </w:p>
    <w:p w14:paraId="27BC5215" w14:textId="14F4CE68" w:rsidR="00615757" w:rsidRPr="00DC2858" w:rsidRDefault="00DC2858" w:rsidP="00DC2858">
      <w:pPr>
        <w:pStyle w:val="SingleTxtG"/>
      </w:pPr>
      <w:r w:rsidRPr="00DC2858">
        <w:tab/>
        <w:t>4.</w:t>
      </w:r>
      <w:r w:rsidRPr="00DC2858">
        <w:tab/>
      </w:r>
      <w:r w:rsidR="00615757" w:rsidRPr="00DC2858">
        <w:t>Consistent timing between tank</w:t>
      </w:r>
      <w:r w:rsidR="001D0239" w:rsidRPr="00DC2858">
        <w:t>/battery</w:t>
      </w:r>
      <w:r w:rsidR="00615757" w:rsidRPr="00DC2858">
        <w:t xml:space="preserve"> certificate</w:t>
      </w:r>
      <w:r w:rsidR="001D0239" w:rsidRPr="00DC2858">
        <w:t>s</w:t>
      </w:r>
      <w:r w:rsidR="00615757" w:rsidRPr="00DC2858">
        <w:t xml:space="preserve"> and vehicle </w:t>
      </w:r>
      <w:proofErr w:type="spellStart"/>
      <w:r w:rsidR="00615757" w:rsidRPr="00DC2858">
        <w:t>authorisation</w:t>
      </w:r>
      <w:proofErr w:type="spellEnd"/>
      <w:r w:rsidR="00615757" w:rsidRPr="00DC2858">
        <w:t xml:space="preserve"> process</w:t>
      </w:r>
    </w:p>
    <w:p w14:paraId="2A50AA2D" w14:textId="7DE1E6FE" w:rsidR="00B3207A" w:rsidRDefault="00B3207A" w:rsidP="00DC2858">
      <w:pPr>
        <w:pStyle w:val="SingleTxtG"/>
        <w:ind w:left="1701"/>
        <w:rPr>
          <w:lang w:val="en-GB"/>
        </w:rPr>
      </w:pPr>
      <w:r w:rsidRPr="00DC2858">
        <w:t>The approval process of tanks</w:t>
      </w:r>
      <w:r w:rsidR="001D0239" w:rsidRPr="00DC2858">
        <w:t>/batteries</w:t>
      </w:r>
      <w:r w:rsidRPr="00DC2858">
        <w:t xml:space="preserve"> will not be </w:t>
      </w:r>
      <w:r w:rsidR="00340169" w:rsidRPr="00DC2858">
        <w:t>covered</w:t>
      </w:r>
      <w:r w:rsidRPr="00DC2858">
        <w:t xml:space="preserve"> by</w:t>
      </w:r>
      <w:r>
        <w:rPr>
          <w:lang w:val="en-GB"/>
        </w:rPr>
        <w:t xml:space="preserve"> the Implementing Act on Vehicle Authorisation nor the Implementing Act on the EC verification procedure. In the framework of the Directive (EU) 2016/797, the approval process of tanks is covered by RID, and will be treated as “other</w:t>
      </w:r>
      <w:r w:rsidR="00D77995">
        <w:rPr>
          <w:lang w:val="en-GB"/>
        </w:rPr>
        <w:t xml:space="preserve"> applicable legal acts of the Union</w:t>
      </w:r>
      <w:r>
        <w:rPr>
          <w:lang w:val="en-GB"/>
        </w:rPr>
        <w:t>” that the vehicle must comply with</w:t>
      </w:r>
      <w:r w:rsidR="00D77995">
        <w:rPr>
          <w:lang w:val="en-GB"/>
        </w:rPr>
        <w:t xml:space="preserve"> (pursuant to Annex IV </w:t>
      </w:r>
      <w:r w:rsidR="002736A6">
        <w:rPr>
          <w:lang w:val="en-GB"/>
        </w:rPr>
        <w:t xml:space="preserve">of </w:t>
      </w:r>
      <w:r w:rsidR="00D77995">
        <w:rPr>
          <w:lang w:val="en-GB"/>
        </w:rPr>
        <w:t>Directive (EU) 2016/797)</w:t>
      </w:r>
      <w:r>
        <w:rPr>
          <w:lang w:val="en-GB"/>
        </w:rPr>
        <w:t xml:space="preserve">. </w:t>
      </w:r>
    </w:p>
    <w:p w14:paraId="739D4DE5" w14:textId="39AF3A0E" w:rsidR="00D77995" w:rsidRPr="00DC2858" w:rsidRDefault="00B3207A" w:rsidP="00DC2858">
      <w:pPr>
        <w:pStyle w:val="SingleTxtG"/>
        <w:ind w:left="1701"/>
      </w:pPr>
      <w:r w:rsidRPr="00DC2858">
        <w:t xml:space="preserve">The applicant for the type </w:t>
      </w:r>
      <w:proofErr w:type="spellStart"/>
      <w:r w:rsidRPr="00DC2858">
        <w:t>authorisation</w:t>
      </w:r>
      <w:proofErr w:type="spellEnd"/>
      <w:r w:rsidRPr="00DC2858">
        <w:t xml:space="preserve"> and/or vehicle </w:t>
      </w:r>
      <w:proofErr w:type="spellStart"/>
      <w:r w:rsidRPr="00DC2858">
        <w:t>authorisation</w:t>
      </w:r>
      <w:proofErr w:type="spellEnd"/>
      <w:r w:rsidRPr="00DC2858">
        <w:t xml:space="preserve"> for placing on the market is </w:t>
      </w:r>
      <w:r w:rsidR="00292A77" w:rsidRPr="00DC2858">
        <w:t xml:space="preserve">the only </w:t>
      </w:r>
      <w:r w:rsidRPr="00DC2858">
        <w:t>responsible for ensuring that the vehicle meets all the applicable requirements (including essential requirements as described in article 3 of the Directive (EU) 2016/797</w:t>
      </w:r>
      <w:r w:rsidR="00D77995" w:rsidRPr="00DC2858">
        <w:t xml:space="preserve"> and other legal acts of the Union</w:t>
      </w:r>
      <w:r w:rsidRPr="00DC2858">
        <w:t>)</w:t>
      </w:r>
      <w:r w:rsidR="00D77995" w:rsidRPr="00DC2858">
        <w:t xml:space="preserve">. </w:t>
      </w:r>
      <w:r w:rsidR="00292A77" w:rsidRPr="00DC2858">
        <w:t>Whereas in the past, u</w:t>
      </w:r>
      <w:r w:rsidR="00D77995" w:rsidRPr="00DC2858">
        <w:t xml:space="preserve">nder the Directive (EU) 2008/57, this responsibility </w:t>
      </w:r>
      <w:r w:rsidR="00615757" w:rsidRPr="00DC2858">
        <w:t>was given to</w:t>
      </w:r>
      <w:r w:rsidR="00D77995" w:rsidRPr="00DC2858">
        <w:t xml:space="preserve"> the Notified Bodies </w:t>
      </w:r>
      <w:r w:rsidR="00292A77" w:rsidRPr="00DC2858">
        <w:t xml:space="preserve">in charge of </w:t>
      </w:r>
      <w:r w:rsidR="00D77995" w:rsidRPr="00DC2858">
        <w:t xml:space="preserve">the EC verification procedure for the subsystems, </w:t>
      </w:r>
      <w:r w:rsidR="00FE3ACA" w:rsidRPr="00DC2858">
        <w:t xml:space="preserve">under the 4th railway package it </w:t>
      </w:r>
      <w:r w:rsidR="00D77995" w:rsidRPr="00DC2858">
        <w:t>has been transferred to the applicant for the placing on the market of the mobile subsystems</w:t>
      </w:r>
      <w:r w:rsidRPr="00DC2858">
        <w:t>.</w:t>
      </w:r>
      <w:r w:rsidR="00340169" w:rsidRPr="00DC2858">
        <w:t xml:space="preserve"> </w:t>
      </w:r>
    </w:p>
    <w:p w14:paraId="74C24A51" w14:textId="483529DA" w:rsidR="00B3207A" w:rsidRPr="00DC2858" w:rsidRDefault="00340169" w:rsidP="00DC2858">
      <w:pPr>
        <w:pStyle w:val="SingleTxtG"/>
        <w:ind w:left="1701"/>
      </w:pPr>
      <w:r w:rsidRPr="00DC2858">
        <w:t>Th</w:t>
      </w:r>
      <w:r w:rsidR="00D77995" w:rsidRPr="00DC2858">
        <w:t>is means that th</w:t>
      </w:r>
      <w:r w:rsidRPr="00DC2858">
        <w:t>e application</w:t>
      </w:r>
      <w:r w:rsidR="00D77995" w:rsidRPr="00DC2858">
        <w:t xml:space="preserve"> for </w:t>
      </w:r>
      <w:proofErr w:type="spellStart"/>
      <w:r w:rsidR="00D77995" w:rsidRPr="00DC2858">
        <w:t>authorisation</w:t>
      </w:r>
      <w:proofErr w:type="spellEnd"/>
      <w:r w:rsidRPr="00DC2858">
        <w:t xml:space="preserve"> cannot be submitted to the </w:t>
      </w:r>
      <w:proofErr w:type="spellStart"/>
      <w:r w:rsidRPr="00DC2858">
        <w:t>authorising</w:t>
      </w:r>
      <w:proofErr w:type="spellEnd"/>
      <w:r w:rsidRPr="00DC2858">
        <w:t xml:space="preserve"> entity until all the evidence</w:t>
      </w:r>
      <w:r w:rsidR="00615757" w:rsidRPr="00DC2858">
        <w:t>s</w:t>
      </w:r>
      <w:r w:rsidRPr="00DC2858">
        <w:t xml:space="preserve"> needed to </w:t>
      </w:r>
      <w:r w:rsidR="00BA55A7" w:rsidRPr="00DC2858">
        <w:t>demonstrate</w:t>
      </w:r>
      <w:r w:rsidRPr="00DC2858">
        <w:t xml:space="preserve"> that the vehicle complies with all the applicable requirements </w:t>
      </w:r>
      <w:r w:rsidR="00615757" w:rsidRPr="00DC2858">
        <w:t>are</w:t>
      </w:r>
      <w:r w:rsidRPr="00DC2858">
        <w:t xml:space="preserve"> </w:t>
      </w:r>
      <w:r w:rsidR="00D77995" w:rsidRPr="00DC2858">
        <w:t>available</w:t>
      </w:r>
      <w:r w:rsidRPr="00DC2858">
        <w:t>.</w:t>
      </w:r>
      <w:r w:rsidR="00D77995" w:rsidRPr="00DC2858">
        <w:t xml:space="preserve"> T</w:t>
      </w:r>
      <w:r w:rsidR="00B3207A" w:rsidRPr="00DC2858">
        <w:t xml:space="preserve">herefore, the approval process described in </w:t>
      </w:r>
      <w:r w:rsidR="00615757" w:rsidRPr="00DC2858">
        <w:t>RID</w:t>
      </w:r>
      <w:r w:rsidR="005B0833" w:rsidRPr="00DC2858">
        <w:t xml:space="preserve"> for tanks</w:t>
      </w:r>
      <w:r w:rsidR="001D0239" w:rsidRPr="00DC2858">
        <w:t>/batteries</w:t>
      </w:r>
      <w:r w:rsidR="005B0833" w:rsidRPr="00DC2858">
        <w:t xml:space="preserve"> approval</w:t>
      </w:r>
      <w:r w:rsidR="00B3207A" w:rsidRPr="00DC2858">
        <w:t xml:space="preserve"> must </w:t>
      </w:r>
      <w:r w:rsidR="00FE3ACA" w:rsidRPr="00DC2858">
        <w:t xml:space="preserve">have </w:t>
      </w:r>
      <w:r w:rsidR="00B3207A" w:rsidRPr="00DC2858">
        <w:t>be</w:t>
      </w:r>
      <w:r w:rsidR="00FE3ACA" w:rsidRPr="00DC2858">
        <w:t>en</w:t>
      </w:r>
      <w:r w:rsidR="00B3207A" w:rsidRPr="00DC2858">
        <w:t xml:space="preserve"> completed before applying for a</w:t>
      </w:r>
      <w:r w:rsidR="005B0833" w:rsidRPr="00DC2858">
        <w:t xml:space="preserve"> vehicle</w:t>
      </w:r>
      <w:r w:rsidR="00B3207A" w:rsidRPr="00DC2858">
        <w:t xml:space="preserve"> </w:t>
      </w:r>
      <w:proofErr w:type="spellStart"/>
      <w:r w:rsidR="00B3207A" w:rsidRPr="00DC2858">
        <w:t>authorisation</w:t>
      </w:r>
      <w:proofErr w:type="spellEnd"/>
      <w:r w:rsidR="00FE3ACA" w:rsidRPr="00DC2858">
        <w:t xml:space="preserve"> foreseen under</w:t>
      </w:r>
      <w:r w:rsidR="005B0833" w:rsidRPr="00DC2858">
        <w:t xml:space="preserve"> Directive (EU) 2016/797</w:t>
      </w:r>
      <w:r w:rsidRPr="00DC2858">
        <w:t xml:space="preserve">. </w:t>
      </w:r>
      <w:r w:rsidRPr="00DC2858">
        <w:lastRenderedPageBreak/>
        <w:t>After the application, the timeframes defined in the Directive (EU) 2016/797 (1 month for completeness</w:t>
      </w:r>
      <w:r w:rsidR="00D77995" w:rsidRPr="00DC2858">
        <w:t xml:space="preserve"> check</w:t>
      </w:r>
      <w:r w:rsidRPr="00DC2858">
        <w:t xml:space="preserve">, 4 months for </w:t>
      </w:r>
      <w:r w:rsidR="00D77995" w:rsidRPr="00DC2858">
        <w:t xml:space="preserve">the </w:t>
      </w:r>
      <w:r w:rsidRPr="00DC2858">
        <w:t>assessment</w:t>
      </w:r>
      <w:r w:rsidR="00D77995" w:rsidRPr="00DC2858">
        <w:t xml:space="preserve"> of the application</w:t>
      </w:r>
      <w:r w:rsidRPr="00DC2858">
        <w:t>)</w:t>
      </w:r>
      <w:r w:rsidR="00D77995" w:rsidRPr="00DC2858">
        <w:t xml:space="preserve"> appl</w:t>
      </w:r>
      <w:r w:rsidR="00FE3ACA" w:rsidRPr="00DC2858">
        <w:t>y</w:t>
      </w:r>
      <w:r w:rsidRPr="00DC2858">
        <w:t>.</w:t>
      </w:r>
    </w:p>
    <w:p w14:paraId="5CA9F6A4" w14:textId="59EF05FA" w:rsidR="00340169" w:rsidRPr="00DC2858" w:rsidRDefault="00340169" w:rsidP="00DC2858">
      <w:pPr>
        <w:pStyle w:val="SingleTxtG"/>
        <w:ind w:left="1701"/>
      </w:pPr>
      <w:r w:rsidRPr="00DC2858">
        <w:t>There is the risk, in particular in the cases where an initial inspection for entry into service is required</w:t>
      </w:r>
      <w:r w:rsidR="00D77995" w:rsidRPr="00DC2858">
        <w:t xml:space="preserve">, that the </w:t>
      </w:r>
      <w:proofErr w:type="spellStart"/>
      <w:r w:rsidR="00D77995" w:rsidRPr="00DC2858">
        <w:t>authorisation</w:t>
      </w:r>
      <w:proofErr w:type="spellEnd"/>
      <w:r w:rsidR="00D77995" w:rsidRPr="00DC2858">
        <w:t xml:space="preserve"> process </w:t>
      </w:r>
      <w:r w:rsidR="00BA55A7" w:rsidRPr="00DC2858">
        <w:t xml:space="preserve">is delayed if the applicants for </w:t>
      </w:r>
      <w:proofErr w:type="spellStart"/>
      <w:r w:rsidR="00BA55A7" w:rsidRPr="00DC2858">
        <w:t>authorisation</w:t>
      </w:r>
      <w:proofErr w:type="spellEnd"/>
      <w:r w:rsidR="00BA55A7" w:rsidRPr="00DC2858">
        <w:t xml:space="preserve"> and/or for the subsystem(s) are not aware of th</w:t>
      </w:r>
      <w:r w:rsidR="00615757" w:rsidRPr="00DC2858">
        <w:t>e above</w:t>
      </w:r>
      <w:r w:rsidR="00BA55A7" w:rsidRPr="00DC2858">
        <w:t xml:space="preserve"> constraint</w:t>
      </w:r>
      <w:r w:rsidR="00615757" w:rsidRPr="00DC2858">
        <w:t>s</w:t>
      </w:r>
      <w:r w:rsidR="00BA55A7" w:rsidRPr="00DC2858">
        <w:t xml:space="preserve">. </w:t>
      </w:r>
      <w:r w:rsidR="00D77995" w:rsidRPr="00DC2858">
        <w:t xml:space="preserve"> </w:t>
      </w:r>
    </w:p>
    <w:p w14:paraId="7F67DD19" w14:textId="7B3F3E76" w:rsidR="00856952" w:rsidRDefault="00DC2858" w:rsidP="00DC2858">
      <w:pPr>
        <w:pStyle w:val="SingleTxtG"/>
        <w:rPr>
          <w:lang w:val="en-GB"/>
        </w:rPr>
      </w:pPr>
      <w:r>
        <w:rPr>
          <w:lang w:val="en-GB"/>
        </w:rPr>
        <w:t>5.</w:t>
      </w:r>
      <w:r>
        <w:rPr>
          <w:lang w:val="en-GB"/>
        </w:rPr>
        <w:tab/>
      </w:r>
      <w:r w:rsidR="00856952">
        <w:rPr>
          <w:lang w:val="en-GB"/>
        </w:rPr>
        <w:t>Proposed change</w:t>
      </w:r>
    </w:p>
    <w:p w14:paraId="4E99FB05" w14:textId="27ED6754" w:rsidR="00856952" w:rsidRDefault="005B0833" w:rsidP="00DC2858">
      <w:pPr>
        <w:pStyle w:val="SingleTxtG"/>
        <w:ind w:left="1701"/>
        <w:rPr>
          <w:lang w:val="en-GB"/>
        </w:rPr>
      </w:pPr>
      <w:r>
        <w:rPr>
          <w:lang w:val="en-GB"/>
        </w:rPr>
        <w:t>Add a foot</w:t>
      </w:r>
      <w:r w:rsidR="00D77995">
        <w:rPr>
          <w:lang w:val="en-GB"/>
        </w:rPr>
        <w:t>note in 1.8.7.</w:t>
      </w:r>
      <w:r w:rsidR="00BD6C9F">
        <w:rPr>
          <w:lang w:val="en-GB"/>
        </w:rPr>
        <w:t>8.4</w:t>
      </w:r>
      <w:r w:rsidR="001B053F">
        <w:rPr>
          <w:lang w:val="en-GB"/>
        </w:rPr>
        <w:t xml:space="preserve"> in RID</w:t>
      </w:r>
      <w:r w:rsidR="00BD6C9F">
        <w:rPr>
          <w:lang w:val="en-GB"/>
        </w:rPr>
        <w:t>:</w:t>
      </w:r>
    </w:p>
    <w:p w14:paraId="043FE13C" w14:textId="05E376C4" w:rsidR="00BD6C9F" w:rsidRPr="000C7794" w:rsidRDefault="002446AE" w:rsidP="00DC2858">
      <w:pPr>
        <w:pStyle w:val="SingleTxtG"/>
        <w:ind w:left="1701"/>
        <w:rPr>
          <w:i/>
          <w:lang w:val="en-GB"/>
        </w:rPr>
      </w:pPr>
      <w:r w:rsidRPr="000C7794">
        <w:rPr>
          <w:lang w:val="en-GB"/>
        </w:rPr>
        <w:t>“</w:t>
      </w:r>
      <w:r w:rsidR="00BD6C9F" w:rsidRPr="000C7794">
        <w:rPr>
          <w:i/>
          <w:lang w:val="en-GB"/>
        </w:rPr>
        <w:t xml:space="preserve">The documents referred to in this section shall be part of the technical file </w:t>
      </w:r>
      <w:r w:rsidR="004460EA" w:rsidRPr="000C7794">
        <w:rPr>
          <w:i/>
          <w:lang w:val="en-GB"/>
        </w:rPr>
        <w:t>accompanying</w:t>
      </w:r>
      <w:r w:rsidR="00BD6C9F" w:rsidRPr="000C7794">
        <w:rPr>
          <w:i/>
          <w:lang w:val="en-GB"/>
        </w:rPr>
        <w:t xml:space="preserve"> the “EC” declaration of verification </w:t>
      </w:r>
      <w:r w:rsidR="0098722E" w:rsidRPr="000C7794">
        <w:rPr>
          <w:i/>
          <w:lang w:val="en-GB"/>
        </w:rPr>
        <w:t xml:space="preserve">for the subsystem </w:t>
      </w:r>
      <w:r w:rsidR="00BD6C9F" w:rsidRPr="000C7794">
        <w:rPr>
          <w:i/>
          <w:lang w:val="en-GB"/>
        </w:rPr>
        <w:t>pursuant to article 15 of Direct</w:t>
      </w:r>
      <w:r w:rsidR="000E2B1D" w:rsidRPr="000C7794">
        <w:rPr>
          <w:i/>
          <w:lang w:val="en-GB"/>
        </w:rPr>
        <w:t>i</w:t>
      </w:r>
      <w:r w:rsidR="00BD6C9F" w:rsidRPr="000C7794">
        <w:rPr>
          <w:i/>
          <w:lang w:val="en-GB"/>
        </w:rPr>
        <w:t>ve (EU) 2016/797</w:t>
      </w:r>
      <w:r w:rsidR="000E2B1D" w:rsidRPr="000C7794">
        <w:rPr>
          <w:i/>
          <w:lang w:val="en-GB"/>
        </w:rPr>
        <w:t>.</w:t>
      </w:r>
      <w:r w:rsidR="0098722E" w:rsidRPr="000C7794">
        <w:rPr>
          <w:i/>
          <w:lang w:val="en-GB"/>
        </w:rPr>
        <w:t xml:space="preserve"> </w:t>
      </w:r>
    </w:p>
    <w:p w14:paraId="21B07C49" w14:textId="024FEFB5" w:rsidR="000E2B1D" w:rsidRPr="000C7794" w:rsidRDefault="000E2B1D" w:rsidP="00DC2858">
      <w:pPr>
        <w:pStyle w:val="SingleTxtG"/>
        <w:ind w:left="1701"/>
        <w:rPr>
          <w:i/>
          <w:lang w:val="en-GB"/>
        </w:rPr>
      </w:pPr>
      <w:r w:rsidRPr="000C7794">
        <w:rPr>
          <w:i/>
          <w:lang w:val="en-GB"/>
        </w:rPr>
        <w:t xml:space="preserve">In the same manner, the </w:t>
      </w:r>
      <w:r w:rsidR="004460EA" w:rsidRPr="000C7794">
        <w:rPr>
          <w:i/>
          <w:lang w:val="en-GB"/>
        </w:rPr>
        <w:t xml:space="preserve">file accompanying the </w:t>
      </w:r>
      <w:r w:rsidR="0098722E" w:rsidRPr="000C7794">
        <w:rPr>
          <w:i/>
          <w:lang w:val="en-GB"/>
        </w:rPr>
        <w:t>application for authorisation shall</w:t>
      </w:r>
      <w:r w:rsidR="004460EA" w:rsidRPr="000C7794">
        <w:rPr>
          <w:i/>
          <w:lang w:val="en-GB"/>
        </w:rPr>
        <w:t xml:space="preserve"> include the </w:t>
      </w:r>
      <w:r w:rsidR="0098722E" w:rsidRPr="000C7794">
        <w:rPr>
          <w:i/>
          <w:lang w:val="en-GB"/>
        </w:rPr>
        <w:t>“EC” declaration(s) of verification of the mobile subsystems of which a vehicle is composed.</w:t>
      </w:r>
    </w:p>
    <w:p w14:paraId="0A9CCCEC" w14:textId="3A935D5F" w:rsidR="0098722E" w:rsidRPr="000C7794" w:rsidRDefault="0098722E" w:rsidP="00DC2858">
      <w:pPr>
        <w:pStyle w:val="SingleTxtG"/>
        <w:ind w:left="1701"/>
        <w:rPr>
          <w:i/>
          <w:lang w:val="en-GB"/>
        </w:rPr>
      </w:pPr>
      <w:r w:rsidRPr="000C7794">
        <w:rPr>
          <w:i/>
          <w:lang w:val="en-GB"/>
        </w:rPr>
        <w:t xml:space="preserve">This means that an applicant can submit the application for authorisation only after having finalised the </w:t>
      </w:r>
      <w:r w:rsidR="005835AD" w:rsidRPr="000C7794">
        <w:rPr>
          <w:i/>
          <w:lang w:val="en-GB"/>
        </w:rPr>
        <w:t>tank</w:t>
      </w:r>
      <w:r w:rsidR="001D0239" w:rsidRPr="000C7794">
        <w:rPr>
          <w:i/>
          <w:lang w:val="en-GB"/>
        </w:rPr>
        <w:t>/battery</w:t>
      </w:r>
      <w:r w:rsidR="005835AD" w:rsidRPr="000C7794">
        <w:rPr>
          <w:i/>
          <w:lang w:val="en-GB"/>
        </w:rPr>
        <w:t xml:space="preserve"> </w:t>
      </w:r>
      <w:r w:rsidRPr="000C7794">
        <w:rPr>
          <w:i/>
          <w:lang w:val="en-GB"/>
        </w:rPr>
        <w:t xml:space="preserve">approval process described in </w:t>
      </w:r>
      <w:r w:rsidR="00615757" w:rsidRPr="000C7794">
        <w:rPr>
          <w:i/>
          <w:lang w:val="en-GB"/>
        </w:rPr>
        <w:t>RID</w:t>
      </w:r>
      <w:r w:rsidR="001D0239" w:rsidRPr="000C7794">
        <w:rPr>
          <w:i/>
          <w:lang w:val="en-GB"/>
        </w:rPr>
        <w:t xml:space="preserve"> with tangible evidence</w:t>
      </w:r>
      <w:r w:rsidRPr="000C7794">
        <w:rPr>
          <w:i/>
          <w:lang w:val="en-GB"/>
        </w:rPr>
        <w:t>.</w:t>
      </w:r>
      <w:r w:rsidR="002446AE" w:rsidRPr="000C7794">
        <w:rPr>
          <w:i/>
          <w:lang w:val="en-GB"/>
        </w:rPr>
        <w:t>”</w:t>
      </w:r>
    </w:p>
    <w:p w14:paraId="3C6E2964" w14:textId="761CF12E" w:rsidR="00856952" w:rsidRDefault="00C777D5" w:rsidP="00C777D5">
      <w:pPr>
        <w:pStyle w:val="SingleTxtG"/>
        <w:rPr>
          <w:lang w:val="en-GB"/>
        </w:rPr>
      </w:pPr>
      <w:r>
        <w:rPr>
          <w:lang w:val="en-GB"/>
        </w:rPr>
        <w:t>6.</w:t>
      </w:r>
      <w:r>
        <w:rPr>
          <w:lang w:val="en-GB"/>
        </w:rPr>
        <w:tab/>
      </w:r>
      <w:r w:rsidR="005835AD">
        <w:rPr>
          <w:lang w:val="en-GB"/>
        </w:rPr>
        <w:t>Justification</w:t>
      </w:r>
    </w:p>
    <w:p w14:paraId="6936A8E2" w14:textId="74222277" w:rsidR="00D77995" w:rsidRDefault="005835AD" w:rsidP="00C777D5">
      <w:pPr>
        <w:pStyle w:val="SingleTxtG"/>
        <w:ind w:left="1701"/>
        <w:rPr>
          <w:lang w:val="en-GB"/>
        </w:rPr>
      </w:pPr>
      <w:r>
        <w:rPr>
          <w:lang w:val="en-GB"/>
        </w:rPr>
        <w:t>The foot</w:t>
      </w:r>
      <w:r w:rsidR="00D77995">
        <w:rPr>
          <w:lang w:val="en-GB"/>
        </w:rPr>
        <w:t xml:space="preserve">note will </w:t>
      </w:r>
      <w:r w:rsidR="00615757">
        <w:rPr>
          <w:lang w:val="en-GB"/>
        </w:rPr>
        <w:t xml:space="preserve">help </w:t>
      </w:r>
      <w:r w:rsidR="005D7FB9">
        <w:rPr>
          <w:lang w:val="en-GB"/>
        </w:rPr>
        <w:t xml:space="preserve">mitigating </w:t>
      </w:r>
      <w:r w:rsidR="00615757">
        <w:rPr>
          <w:lang w:val="en-GB"/>
        </w:rPr>
        <w:t>the risk of unnecessary delays in vehicle authorisation processes</w:t>
      </w:r>
      <w:r w:rsidR="009A5F63">
        <w:rPr>
          <w:lang w:val="en-GB"/>
        </w:rPr>
        <w:t xml:space="preserve"> within the EU</w:t>
      </w:r>
      <w:r w:rsidR="00615757">
        <w:rPr>
          <w:lang w:val="en-GB"/>
        </w:rPr>
        <w:t xml:space="preserve">. </w:t>
      </w:r>
    </w:p>
    <w:p w14:paraId="1FBD54D9" w14:textId="023D93DD" w:rsidR="00917AC0" w:rsidRDefault="009E1DAC" w:rsidP="00917AC0">
      <w:pPr>
        <w:pStyle w:val="SingleTxtG"/>
        <w:rPr>
          <w:lang w:val="en-GB"/>
        </w:rPr>
      </w:pPr>
      <w:r>
        <w:rPr>
          <w:lang w:val="en-GB"/>
        </w:rPr>
        <w:t xml:space="preserve">Third </w:t>
      </w:r>
      <w:r w:rsidR="00917AC0">
        <w:rPr>
          <w:lang w:val="en-GB"/>
        </w:rPr>
        <w:t>proposal</w:t>
      </w:r>
    </w:p>
    <w:p w14:paraId="3D6CC9F2" w14:textId="4EC68FD0" w:rsidR="00917AC0" w:rsidRPr="004861B3" w:rsidRDefault="00C777D5" w:rsidP="00C777D5">
      <w:pPr>
        <w:pStyle w:val="SingleTxtG"/>
        <w:rPr>
          <w:u w:val="single"/>
          <w:lang w:val="en-GB"/>
        </w:rPr>
      </w:pPr>
      <w:r w:rsidRPr="00C777D5">
        <w:rPr>
          <w:lang w:val="en-GB"/>
        </w:rPr>
        <w:t>7.</w:t>
      </w:r>
      <w:r w:rsidRPr="00C777D5">
        <w:rPr>
          <w:lang w:val="en-GB"/>
        </w:rPr>
        <w:tab/>
      </w:r>
      <w:r w:rsidR="002446AE" w:rsidRPr="004861B3">
        <w:rPr>
          <w:u w:val="single"/>
          <w:lang w:val="en-GB"/>
        </w:rPr>
        <w:t>A</w:t>
      </w:r>
      <w:r w:rsidR="002736A6" w:rsidRPr="004861B3">
        <w:rPr>
          <w:u w:val="single"/>
          <w:lang w:val="en-GB"/>
        </w:rPr>
        <w:t xml:space="preserve">rea of </w:t>
      </w:r>
      <w:r w:rsidR="002446AE" w:rsidRPr="004861B3">
        <w:rPr>
          <w:u w:val="single"/>
          <w:lang w:val="en-GB"/>
        </w:rPr>
        <w:t>validity of tank/battery approvals</w:t>
      </w:r>
      <w:r w:rsidR="002736A6" w:rsidRPr="004861B3">
        <w:rPr>
          <w:u w:val="single"/>
          <w:lang w:val="en-GB"/>
        </w:rPr>
        <w:t xml:space="preserve"> and are</w:t>
      </w:r>
      <w:r w:rsidR="001D0239" w:rsidRPr="004861B3">
        <w:rPr>
          <w:u w:val="single"/>
          <w:lang w:val="en-GB"/>
        </w:rPr>
        <w:t>a</w:t>
      </w:r>
      <w:r w:rsidR="002736A6" w:rsidRPr="004861B3">
        <w:rPr>
          <w:u w:val="single"/>
          <w:lang w:val="en-GB"/>
        </w:rPr>
        <w:t xml:space="preserve"> of use of a </w:t>
      </w:r>
      <w:r w:rsidR="002446AE" w:rsidRPr="004861B3">
        <w:rPr>
          <w:u w:val="single"/>
          <w:lang w:val="en-GB"/>
        </w:rPr>
        <w:t>tank/battery-</w:t>
      </w:r>
      <w:r w:rsidR="002736A6" w:rsidRPr="004861B3">
        <w:rPr>
          <w:u w:val="single"/>
          <w:lang w:val="en-GB"/>
        </w:rPr>
        <w:t>vehicle</w:t>
      </w:r>
      <w:r w:rsidR="002446AE" w:rsidRPr="004861B3">
        <w:rPr>
          <w:u w:val="single"/>
          <w:lang w:val="en-GB"/>
        </w:rPr>
        <w:t>s</w:t>
      </w:r>
    </w:p>
    <w:p w14:paraId="118C1CD6" w14:textId="4FD3C027" w:rsidR="00873798" w:rsidRDefault="006477AB" w:rsidP="00C777D5">
      <w:pPr>
        <w:pStyle w:val="SingleTxtG"/>
        <w:ind w:left="1701"/>
        <w:rPr>
          <w:lang w:val="en-GB"/>
        </w:rPr>
      </w:pPr>
      <w:r>
        <w:rPr>
          <w:lang w:val="en-GB"/>
        </w:rPr>
        <w:t>A</w:t>
      </w:r>
      <w:r w:rsidR="00873798">
        <w:rPr>
          <w:lang w:val="en-GB"/>
        </w:rPr>
        <w:t>ll the conditions and restrictions linked to the tank</w:t>
      </w:r>
      <w:r w:rsidR="001D0239">
        <w:rPr>
          <w:lang w:val="en-GB"/>
        </w:rPr>
        <w:t>/battery</w:t>
      </w:r>
      <w:r w:rsidR="00873798">
        <w:rPr>
          <w:lang w:val="en-GB"/>
        </w:rPr>
        <w:t xml:space="preserve"> approval process </w:t>
      </w:r>
      <w:r w:rsidR="002446AE">
        <w:rPr>
          <w:lang w:val="en-GB"/>
        </w:rPr>
        <w:t>have repercussion on the</w:t>
      </w:r>
      <w:r w:rsidR="00873798">
        <w:rPr>
          <w:lang w:val="en-GB"/>
        </w:rPr>
        <w:t xml:space="preserve"> conditions for use and other restrictions of the vehicle </w:t>
      </w:r>
      <w:r w:rsidR="001D0239">
        <w:rPr>
          <w:lang w:val="en-GB"/>
        </w:rPr>
        <w:t xml:space="preserve">on </w:t>
      </w:r>
      <w:r w:rsidR="00873798">
        <w:rPr>
          <w:lang w:val="en-GB"/>
        </w:rPr>
        <w:t>which the</w:t>
      </w:r>
      <w:r w:rsidR="002446AE">
        <w:rPr>
          <w:lang w:val="en-GB"/>
        </w:rPr>
        <w:t>se</w:t>
      </w:r>
      <w:r w:rsidR="00873798">
        <w:rPr>
          <w:lang w:val="en-GB"/>
        </w:rPr>
        <w:t xml:space="preserve"> tank</w:t>
      </w:r>
      <w:r w:rsidR="002446AE">
        <w:rPr>
          <w:lang w:val="en-GB"/>
        </w:rPr>
        <w:t>s</w:t>
      </w:r>
      <w:r w:rsidR="001D0239">
        <w:rPr>
          <w:lang w:val="en-GB"/>
        </w:rPr>
        <w:t>/batter</w:t>
      </w:r>
      <w:r w:rsidR="002446AE">
        <w:rPr>
          <w:lang w:val="en-GB"/>
        </w:rPr>
        <w:t>ies</w:t>
      </w:r>
      <w:r w:rsidR="00873798">
        <w:rPr>
          <w:lang w:val="en-GB"/>
        </w:rPr>
        <w:t xml:space="preserve"> will be </w:t>
      </w:r>
      <w:r w:rsidR="001D0239">
        <w:rPr>
          <w:lang w:val="en-GB"/>
        </w:rPr>
        <w:t>fixed</w:t>
      </w:r>
      <w:r w:rsidR="00873798">
        <w:rPr>
          <w:lang w:val="en-GB"/>
        </w:rPr>
        <w:t>.</w:t>
      </w:r>
      <w:r>
        <w:rPr>
          <w:lang w:val="en-GB"/>
        </w:rPr>
        <w:t xml:space="preserve"> </w:t>
      </w:r>
    </w:p>
    <w:p w14:paraId="473B0200" w14:textId="26168B6C" w:rsidR="00873798" w:rsidRDefault="00873798" w:rsidP="00C777D5">
      <w:pPr>
        <w:pStyle w:val="SingleTxtG"/>
        <w:ind w:left="1701"/>
        <w:rPr>
          <w:lang w:val="en-GB"/>
        </w:rPr>
      </w:pPr>
      <w:r>
        <w:rPr>
          <w:lang w:val="en-GB"/>
        </w:rPr>
        <w:t>Th</w:t>
      </w:r>
      <w:r w:rsidR="002446AE">
        <w:rPr>
          <w:lang w:val="en-GB"/>
        </w:rPr>
        <w:t>e repercussions have to be considered</w:t>
      </w:r>
      <w:r w:rsidR="007E7E99">
        <w:rPr>
          <w:lang w:val="en-GB"/>
        </w:rPr>
        <w:t xml:space="preserve"> a</w:t>
      </w:r>
      <w:r w:rsidR="00FE3ACA">
        <w:rPr>
          <w:lang w:val="en-GB"/>
        </w:rPr>
        <w:t>t</w:t>
      </w:r>
      <w:r w:rsidR="007E7E99">
        <w:rPr>
          <w:lang w:val="en-GB"/>
        </w:rPr>
        <w:t xml:space="preserve"> first stage</w:t>
      </w:r>
      <w:r>
        <w:rPr>
          <w:lang w:val="en-GB"/>
        </w:rPr>
        <w:t xml:space="preserve"> by the applicant for the vehicle type authorisation and/or vehicle authorisation for placing on the market, based on the “EC” Declaration(s) of verification established by the applicant for the subsystem(s) reflect</w:t>
      </w:r>
      <w:r w:rsidR="007E7E99">
        <w:rPr>
          <w:lang w:val="en-GB"/>
        </w:rPr>
        <w:t>ing</w:t>
      </w:r>
      <w:r>
        <w:rPr>
          <w:lang w:val="en-GB"/>
        </w:rPr>
        <w:t xml:space="preserve"> the conditions of the approval of the tank</w:t>
      </w:r>
      <w:r w:rsidR="002446AE">
        <w:rPr>
          <w:lang w:val="en-GB"/>
        </w:rPr>
        <w:t>/battery</w:t>
      </w:r>
      <w:r>
        <w:rPr>
          <w:lang w:val="en-GB"/>
        </w:rPr>
        <w:t xml:space="preserve"> (if any).</w:t>
      </w:r>
      <w:r w:rsidR="007E7E99">
        <w:rPr>
          <w:lang w:val="en-GB"/>
        </w:rPr>
        <w:t xml:space="preserve"> The application for authorisation must reflect the conditions</w:t>
      </w:r>
      <w:r w:rsidR="005835AD">
        <w:rPr>
          <w:lang w:val="en-GB"/>
        </w:rPr>
        <w:t xml:space="preserve"> (restrictions)</w:t>
      </w:r>
      <w:r w:rsidR="007E7E99">
        <w:rPr>
          <w:lang w:val="en-GB"/>
        </w:rPr>
        <w:t xml:space="preserve"> derived from the process of approval of the tank.</w:t>
      </w:r>
    </w:p>
    <w:p w14:paraId="5596F15A" w14:textId="465FC63C" w:rsidR="007E7E99" w:rsidRDefault="006477AB" w:rsidP="00C777D5">
      <w:pPr>
        <w:pStyle w:val="SingleTxtG"/>
        <w:ind w:left="1701"/>
        <w:rPr>
          <w:lang w:val="en-GB"/>
        </w:rPr>
      </w:pPr>
      <w:r>
        <w:rPr>
          <w:lang w:val="en-GB"/>
        </w:rPr>
        <w:t>A</w:t>
      </w:r>
      <w:r w:rsidR="007E7E99">
        <w:rPr>
          <w:lang w:val="en-GB"/>
        </w:rPr>
        <w:t xml:space="preserve">s a result of the assessment of the application file, the </w:t>
      </w:r>
      <w:r w:rsidR="00ED0BC6">
        <w:rPr>
          <w:lang w:val="en-GB"/>
        </w:rPr>
        <w:t xml:space="preserve">vehicle </w:t>
      </w:r>
      <w:r w:rsidR="007E7E99">
        <w:rPr>
          <w:lang w:val="en-GB"/>
        </w:rPr>
        <w:t>authorising entity can also impose additional conditions for use and other restrictions (which may be coming from the approval process of the tank</w:t>
      </w:r>
      <w:r w:rsidR="001D0239">
        <w:rPr>
          <w:lang w:val="en-GB"/>
        </w:rPr>
        <w:t>/battery</w:t>
      </w:r>
      <w:r w:rsidR="007E7E99">
        <w:rPr>
          <w:lang w:val="en-GB"/>
        </w:rPr>
        <w:t xml:space="preserve"> or not; the authorising entity will not repeat the assessments performed during the tank</w:t>
      </w:r>
      <w:r w:rsidR="001D0239">
        <w:rPr>
          <w:lang w:val="en-GB"/>
        </w:rPr>
        <w:t>/battery</w:t>
      </w:r>
      <w:r w:rsidR="007E7E99">
        <w:rPr>
          <w:lang w:val="en-GB"/>
        </w:rPr>
        <w:t xml:space="preserve"> approval process).</w:t>
      </w:r>
    </w:p>
    <w:p w14:paraId="2204539C" w14:textId="3C424A18" w:rsidR="001D0239" w:rsidRDefault="006477AB" w:rsidP="00C777D5">
      <w:pPr>
        <w:pStyle w:val="SingleTxtG"/>
        <w:ind w:left="1701"/>
        <w:rPr>
          <w:lang w:val="en-GB"/>
        </w:rPr>
      </w:pPr>
      <w:r>
        <w:rPr>
          <w:lang w:val="en-GB"/>
        </w:rPr>
        <w:t>From the reading of the</w:t>
      </w:r>
      <w:r w:rsidR="00FE3ACA">
        <w:rPr>
          <w:lang w:val="en-GB"/>
        </w:rPr>
        <w:t xml:space="preserve"> Working Group proposals</w:t>
      </w:r>
      <w:r>
        <w:rPr>
          <w:lang w:val="en-GB"/>
        </w:rPr>
        <w:t xml:space="preserve">, the Agency assumes that once a </w:t>
      </w:r>
      <w:r w:rsidR="00FE3ACA">
        <w:rPr>
          <w:lang w:val="en-GB"/>
        </w:rPr>
        <w:t xml:space="preserve">first </w:t>
      </w:r>
      <w:r>
        <w:rPr>
          <w:lang w:val="en-GB"/>
        </w:rPr>
        <w:t>competent authority grants an approval</w:t>
      </w:r>
      <w:r w:rsidR="001D0239">
        <w:rPr>
          <w:lang w:val="en-GB"/>
        </w:rPr>
        <w:t xml:space="preserve"> for a tank/battery</w:t>
      </w:r>
      <w:r>
        <w:rPr>
          <w:lang w:val="en-GB"/>
        </w:rPr>
        <w:t xml:space="preserve">, this </w:t>
      </w:r>
      <w:r w:rsidR="009E1DAC">
        <w:rPr>
          <w:lang w:val="en-GB"/>
        </w:rPr>
        <w:t xml:space="preserve">approval </w:t>
      </w:r>
      <w:r w:rsidR="002446AE">
        <w:rPr>
          <w:lang w:val="en-GB"/>
        </w:rPr>
        <w:t>is automatically</w:t>
      </w:r>
      <w:r>
        <w:rPr>
          <w:lang w:val="en-GB"/>
        </w:rPr>
        <w:t xml:space="preserve"> recognised by other competent authorities. </w:t>
      </w:r>
      <w:r w:rsidR="001D0239">
        <w:rPr>
          <w:lang w:val="en-GB"/>
        </w:rPr>
        <w:t xml:space="preserve">However, this is not </w:t>
      </w:r>
      <w:r w:rsidR="002446AE">
        <w:rPr>
          <w:lang w:val="en-GB"/>
        </w:rPr>
        <w:t>explicitly</w:t>
      </w:r>
      <w:r w:rsidR="001D0239">
        <w:rPr>
          <w:lang w:val="en-GB"/>
        </w:rPr>
        <w:t xml:space="preserve"> stated in the proposal. </w:t>
      </w:r>
    </w:p>
    <w:p w14:paraId="096DCB09" w14:textId="5936F24A" w:rsidR="006477AB" w:rsidRDefault="001D0239" w:rsidP="00C777D5">
      <w:pPr>
        <w:pStyle w:val="SingleTxtG"/>
        <w:ind w:left="1701"/>
        <w:rPr>
          <w:lang w:val="en-GB"/>
        </w:rPr>
      </w:pPr>
      <w:r w:rsidRPr="000C7794">
        <w:rPr>
          <w:u w:val="single"/>
          <w:lang w:val="en-GB"/>
        </w:rPr>
        <w:t>If this interpretation is correct</w:t>
      </w:r>
      <w:r>
        <w:rPr>
          <w:lang w:val="en-GB"/>
        </w:rPr>
        <w:t>, t</w:t>
      </w:r>
      <w:r w:rsidR="006477AB">
        <w:rPr>
          <w:lang w:val="en-GB"/>
        </w:rPr>
        <w:t>his</w:t>
      </w:r>
      <w:r w:rsidR="00FF3207">
        <w:rPr>
          <w:lang w:val="en-GB"/>
        </w:rPr>
        <w:t xml:space="preserve"> would </w:t>
      </w:r>
      <w:r w:rsidR="006477AB">
        <w:rPr>
          <w:lang w:val="en-GB"/>
        </w:rPr>
        <w:t xml:space="preserve">mean </w:t>
      </w:r>
      <w:r w:rsidR="00FF3207">
        <w:rPr>
          <w:lang w:val="en-GB"/>
        </w:rPr>
        <w:t xml:space="preserve">that </w:t>
      </w:r>
      <w:r w:rsidR="006477AB">
        <w:rPr>
          <w:lang w:val="en-GB"/>
        </w:rPr>
        <w:t>the approval granted by a competent authority is valid for all signatories of the RID</w:t>
      </w:r>
      <w:r w:rsidR="00247CC2">
        <w:rPr>
          <w:lang w:val="en-GB"/>
        </w:rPr>
        <w:t xml:space="preserve"> (and therefore, valid in the EU)</w:t>
      </w:r>
      <w:r w:rsidR="006477AB">
        <w:rPr>
          <w:lang w:val="en-GB"/>
        </w:rPr>
        <w:t>, and</w:t>
      </w:r>
      <w:r w:rsidR="00FF3207">
        <w:rPr>
          <w:lang w:val="en-GB"/>
        </w:rPr>
        <w:t xml:space="preserve"> that</w:t>
      </w:r>
      <w:r w:rsidR="006477AB">
        <w:rPr>
          <w:lang w:val="en-GB"/>
        </w:rPr>
        <w:t xml:space="preserve"> there are no </w:t>
      </w:r>
      <w:r w:rsidR="004861B3">
        <w:rPr>
          <w:lang w:val="en-GB"/>
        </w:rPr>
        <w:t xml:space="preserve">additional </w:t>
      </w:r>
      <w:r w:rsidR="006477AB">
        <w:rPr>
          <w:lang w:val="en-GB"/>
        </w:rPr>
        <w:t>conditions for use and restrictions related to the area of use of the tank</w:t>
      </w:r>
      <w:r>
        <w:rPr>
          <w:lang w:val="en-GB"/>
        </w:rPr>
        <w:t>/battery</w:t>
      </w:r>
      <w:r w:rsidR="009E1DAC">
        <w:rPr>
          <w:lang w:val="en-GB"/>
        </w:rPr>
        <w:t xml:space="preserve"> to be taken into account for the vehicle/vehicle type authorisation</w:t>
      </w:r>
      <w:r w:rsidR="00FE3ACA">
        <w:rPr>
          <w:lang w:val="en-GB"/>
        </w:rPr>
        <w:t xml:space="preserve"> (within the EU)</w:t>
      </w:r>
      <w:r w:rsidR="004861B3">
        <w:rPr>
          <w:lang w:val="en-GB"/>
        </w:rPr>
        <w:t xml:space="preserve"> than the one defined by the first approving competent authority</w:t>
      </w:r>
      <w:r w:rsidR="00ED0BC6">
        <w:rPr>
          <w:lang w:val="en-GB"/>
        </w:rPr>
        <w:t>, if any</w:t>
      </w:r>
      <w:r w:rsidR="006477AB">
        <w:rPr>
          <w:lang w:val="en-GB"/>
        </w:rPr>
        <w:t xml:space="preserve">. </w:t>
      </w:r>
    </w:p>
    <w:p w14:paraId="0A329CA2" w14:textId="2BF9F180" w:rsidR="005916BA" w:rsidRDefault="001D0239" w:rsidP="00C777D5">
      <w:pPr>
        <w:pStyle w:val="SingleTxtG"/>
        <w:ind w:left="1701"/>
        <w:rPr>
          <w:lang w:val="en-GB"/>
        </w:rPr>
      </w:pPr>
      <w:r>
        <w:rPr>
          <w:lang w:val="en-GB"/>
        </w:rPr>
        <w:lastRenderedPageBreak/>
        <w:t xml:space="preserve">It would mean also that </w:t>
      </w:r>
      <w:r w:rsidR="006477AB">
        <w:rPr>
          <w:lang w:val="en-GB"/>
        </w:rPr>
        <w:t>if the</w:t>
      </w:r>
      <w:r w:rsidR="009E1DAC">
        <w:rPr>
          <w:lang w:val="en-GB"/>
        </w:rPr>
        <w:t xml:space="preserve"> RID is aiming at </w:t>
      </w:r>
      <w:r w:rsidR="005916BA">
        <w:rPr>
          <w:lang w:val="en-GB"/>
        </w:rPr>
        <w:t xml:space="preserve">having the possibility to limit the </w:t>
      </w:r>
      <w:r w:rsidR="009E1DAC">
        <w:rPr>
          <w:lang w:val="en-GB"/>
        </w:rPr>
        <w:t>approval</w:t>
      </w:r>
      <w:r w:rsidR="005916BA">
        <w:rPr>
          <w:lang w:val="en-GB"/>
        </w:rPr>
        <w:t xml:space="preserve"> to</w:t>
      </w:r>
      <w:r w:rsidR="009E1DAC">
        <w:rPr>
          <w:lang w:val="en-GB"/>
        </w:rPr>
        <w:t xml:space="preserve"> </w:t>
      </w:r>
      <w:r w:rsidR="005916BA">
        <w:rPr>
          <w:lang w:val="en-GB"/>
        </w:rPr>
        <w:t>(a) given country(</w:t>
      </w:r>
      <w:proofErr w:type="spellStart"/>
      <w:r w:rsidR="005916BA">
        <w:rPr>
          <w:lang w:val="en-GB"/>
        </w:rPr>
        <w:t>ies</w:t>
      </w:r>
      <w:proofErr w:type="spellEnd"/>
      <w:r w:rsidR="005916BA">
        <w:rPr>
          <w:lang w:val="en-GB"/>
        </w:rPr>
        <w:t>)</w:t>
      </w:r>
      <w:r w:rsidR="009E1DAC">
        <w:rPr>
          <w:lang w:val="en-GB"/>
        </w:rPr>
        <w:t xml:space="preserve">, </w:t>
      </w:r>
      <w:r w:rsidR="006477AB">
        <w:rPr>
          <w:lang w:val="en-GB"/>
        </w:rPr>
        <w:t xml:space="preserve">this should be also clarified in the text. </w:t>
      </w:r>
    </w:p>
    <w:p w14:paraId="77EE3323" w14:textId="2813E7C1" w:rsidR="006477AB" w:rsidRDefault="005916BA" w:rsidP="00C777D5">
      <w:pPr>
        <w:pStyle w:val="SingleTxtG"/>
        <w:ind w:left="1701"/>
        <w:rPr>
          <w:lang w:val="en-GB"/>
        </w:rPr>
      </w:pPr>
      <w:r>
        <w:rPr>
          <w:lang w:val="en-GB"/>
        </w:rPr>
        <w:t xml:space="preserve">If applicable, the </w:t>
      </w:r>
      <w:r w:rsidR="006477AB">
        <w:rPr>
          <w:lang w:val="en-GB"/>
        </w:rPr>
        <w:t>restriction of the area of use of a tank</w:t>
      </w:r>
      <w:r>
        <w:rPr>
          <w:lang w:val="en-GB"/>
        </w:rPr>
        <w:t>-</w:t>
      </w:r>
      <w:r w:rsidR="006477AB">
        <w:rPr>
          <w:lang w:val="en-GB"/>
        </w:rPr>
        <w:t>wagon</w:t>
      </w:r>
      <w:r>
        <w:rPr>
          <w:lang w:val="en-GB"/>
        </w:rPr>
        <w:t>/battery-wagon will be based</w:t>
      </w:r>
      <w:r w:rsidR="006477AB">
        <w:rPr>
          <w:lang w:val="en-GB"/>
        </w:rPr>
        <w:t xml:space="preserve"> on the validity of the approval of the tank</w:t>
      </w:r>
      <w:r>
        <w:rPr>
          <w:lang w:val="en-GB"/>
        </w:rPr>
        <w:t>/battery which will</w:t>
      </w:r>
      <w:r w:rsidR="00FF3207">
        <w:rPr>
          <w:lang w:val="en-GB"/>
        </w:rPr>
        <w:t xml:space="preserve"> be transferred to a restriction in the area of use </w:t>
      </w:r>
      <w:r w:rsidR="002736A6">
        <w:rPr>
          <w:lang w:val="en-GB"/>
        </w:rPr>
        <w:t xml:space="preserve">of the </w:t>
      </w:r>
      <w:r w:rsidR="00FF3207">
        <w:rPr>
          <w:lang w:val="en-GB"/>
        </w:rPr>
        <w:t>tank</w:t>
      </w:r>
      <w:r>
        <w:rPr>
          <w:lang w:val="en-GB"/>
        </w:rPr>
        <w:t>-</w:t>
      </w:r>
      <w:r w:rsidR="00FF3207">
        <w:rPr>
          <w:lang w:val="en-GB"/>
        </w:rPr>
        <w:t>wagon</w:t>
      </w:r>
      <w:r>
        <w:rPr>
          <w:lang w:val="en-GB"/>
        </w:rPr>
        <w:t>/battery-wagon</w:t>
      </w:r>
      <w:r w:rsidR="002736A6">
        <w:rPr>
          <w:lang w:val="en-GB"/>
        </w:rPr>
        <w:t xml:space="preserve"> and </w:t>
      </w:r>
      <w:r w:rsidR="009E1DAC">
        <w:rPr>
          <w:lang w:val="en-GB"/>
        </w:rPr>
        <w:t>shall</w:t>
      </w:r>
      <w:r w:rsidR="002736A6">
        <w:rPr>
          <w:lang w:val="en-GB"/>
        </w:rPr>
        <w:t xml:space="preserve"> be included</w:t>
      </w:r>
      <w:r w:rsidR="00247CC2">
        <w:rPr>
          <w:lang w:val="en-GB"/>
        </w:rPr>
        <w:t xml:space="preserve"> by the applicant</w:t>
      </w:r>
      <w:r w:rsidR="002736A6">
        <w:rPr>
          <w:lang w:val="en-GB"/>
        </w:rPr>
        <w:t xml:space="preserve"> in the </w:t>
      </w:r>
      <w:r w:rsidR="00247CC2">
        <w:rPr>
          <w:lang w:val="en-GB"/>
        </w:rPr>
        <w:t xml:space="preserve">application for authorisation and by the authorising entity in the </w:t>
      </w:r>
      <w:r w:rsidR="002736A6">
        <w:rPr>
          <w:lang w:val="en-GB"/>
        </w:rPr>
        <w:t>issued vehicle/vehicle type authorisation</w:t>
      </w:r>
      <w:r w:rsidR="00FF3207">
        <w:rPr>
          <w:lang w:val="en-GB"/>
        </w:rPr>
        <w:t>.</w:t>
      </w:r>
    </w:p>
    <w:p w14:paraId="1AB5DF1E" w14:textId="31980FCD" w:rsidR="00917AC0" w:rsidRDefault="00C777D5" w:rsidP="00C777D5">
      <w:pPr>
        <w:pStyle w:val="SingleTxtG"/>
        <w:rPr>
          <w:lang w:val="en-GB"/>
        </w:rPr>
      </w:pPr>
      <w:r>
        <w:rPr>
          <w:lang w:val="en-GB"/>
        </w:rPr>
        <w:t>8.</w:t>
      </w:r>
      <w:r>
        <w:rPr>
          <w:lang w:val="en-GB"/>
        </w:rPr>
        <w:tab/>
      </w:r>
      <w:r w:rsidR="00917AC0">
        <w:rPr>
          <w:lang w:val="en-GB"/>
        </w:rPr>
        <w:t>Proposed change</w:t>
      </w:r>
    </w:p>
    <w:p w14:paraId="4E3D3812" w14:textId="2EB29591" w:rsidR="00917AC0" w:rsidRDefault="002736A6" w:rsidP="00C777D5">
      <w:pPr>
        <w:pStyle w:val="SingleTxtG"/>
        <w:ind w:left="1701"/>
        <w:rPr>
          <w:lang w:val="en-GB"/>
        </w:rPr>
      </w:pPr>
      <w:r>
        <w:rPr>
          <w:lang w:val="en-GB"/>
        </w:rPr>
        <w:t>Clearly state in the legal text the level of mutual recognition between signatories of RID regarding the approval granted by a competent authority.</w:t>
      </w:r>
    </w:p>
    <w:p w14:paraId="1D9CF0E5" w14:textId="01A1898B" w:rsidR="00917AC0" w:rsidRDefault="00C777D5" w:rsidP="00C777D5">
      <w:pPr>
        <w:pStyle w:val="SingleTxtG"/>
        <w:rPr>
          <w:lang w:val="en-GB"/>
        </w:rPr>
      </w:pPr>
      <w:r>
        <w:rPr>
          <w:lang w:val="en-GB"/>
        </w:rPr>
        <w:t>9.</w:t>
      </w:r>
      <w:r>
        <w:rPr>
          <w:lang w:val="en-GB"/>
        </w:rPr>
        <w:tab/>
      </w:r>
      <w:r w:rsidR="00917AC0">
        <w:rPr>
          <w:lang w:val="en-GB"/>
        </w:rPr>
        <w:t xml:space="preserve">Justification </w:t>
      </w:r>
    </w:p>
    <w:p w14:paraId="28D23950" w14:textId="420946DB" w:rsidR="00873798" w:rsidRDefault="00FF3207" w:rsidP="00C777D5">
      <w:pPr>
        <w:pStyle w:val="SingleTxtG"/>
        <w:ind w:left="1701"/>
        <w:rPr>
          <w:lang w:val="en-GB"/>
        </w:rPr>
      </w:pPr>
      <w:r>
        <w:rPr>
          <w:lang w:val="en-GB"/>
        </w:rPr>
        <w:t xml:space="preserve">Improved clarity on the relationship between the </w:t>
      </w:r>
      <w:r w:rsidR="004861B3">
        <w:rPr>
          <w:lang w:val="en-GB"/>
        </w:rPr>
        <w:t xml:space="preserve">validity scope of the </w:t>
      </w:r>
      <w:r>
        <w:rPr>
          <w:lang w:val="en-GB"/>
        </w:rPr>
        <w:t>RID approval process and the authorisation process foreseen by the Directive (EU) 2016/797 and the related Implementing Acts</w:t>
      </w:r>
      <w:r w:rsidR="004861B3">
        <w:rPr>
          <w:lang w:val="en-GB"/>
        </w:rPr>
        <w:t xml:space="preserve"> concerning the definition of the area of use</w:t>
      </w:r>
      <w:r>
        <w:rPr>
          <w:lang w:val="en-GB"/>
        </w:rPr>
        <w:t xml:space="preserve">. </w:t>
      </w:r>
    </w:p>
    <w:p w14:paraId="3410924F" w14:textId="0C87586E" w:rsidR="00FF3207" w:rsidRDefault="00FF3207" w:rsidP="00C777D5">
      <w:pPr>
        <w:pStyle w:val="SingleTxtG"/>
        <w:ind w:left="1701"/>
        <w:rPr>
          <w:lang w:val="en-GB"/>
        </w:rPr>
      </w:pPr>
      <w:r>
        <w:rPr>
          <w:lang w:val="en-GB"/>
        </w:rPr>
        <w:t>F</w:t>
      </w:r>
      <w:r w:rsidR="009E1DAC">
        <w:rPr>
          <w:lang w:val="en-GB"/>
        </w:rPr>
        <w:t>o</w:t>
      </w:r>
      <w:r w:rsidR="005916BA">
        <w:rPr>
          <w:lang w:val="en-GB"/>
        </w:rPr>
        <w:t xml:space="preserve">r information </w:t>
      </w:r>
      <w:r w:rsidR="007417F8">
        <w:rPr>
          <w:lang w:val="en-GB"/>
        </w:rPr>
        <w:t>on possible effect of initial and periodic inspection on vehicle authorisations</w:t>
      </w:r>
    </w:p>
    <w:p w14:paraId="48CE477B" w14:textId="4FE24A9F" w:rsidR="002736A6" w:rsidRPr="007417F8" w:rsidRDefault="00C777D5" w:rsidP="00C777D5">
      <w:pPr>
        <w:pStyle w:val="SingleTxtG"/>
        <w:rPr>
          <w:u w:val="single"/>
          <w:lang w:val="en-GB"/>
        </w:rPr>
      </w:pPr>
      <w:r>
        <w:rPr>
          <w:lang w:val="en-GB"/>
        </w:rPr>
        <w:t>10.</w:t>
      </w:r>
      <w:r>
        <w:rPr>
          <w:lang w:val="en-GB"/>
        </w:rPr>
        <w:tab/>
      </w:r>
      <w:r w:rsidR="002736A6" w:rsidRPr="007417F8">
        <w:rPr>
          <w:u w:val="single"/>
          <w:lang w:val="en-GB"/>
        </w:rPr>
        <w:t>Suspension, revocation and/or amendment of a vehicle/vehicle type authorisation</w:t>
      </w:r>
      <w:r w:rsidR="005916BA" w:rsidRPr="007417F8">
        <w:rPr>
          <w:u w:val="single"/>
          <w:lang w:val="en-GB"/>
        </w:rPr>
        <w:t xml:space="preserve"> within EU</w:t>
      </w:r>
    </w:p>
    <w:p w14:paraId="185C4FE4" w14:textId="06961390" w:rsidR="00FF3207" w:rsidRDefault="00FF3207" w:rsidP="00C777D5">
      <w:pPr>
        <w:pStyle w:val="SingleTxtG"/>
        <w:ind w:left="1701"/>
        <w:rPr>
          <w:lang w:val="en-GB"/>
        </w:rPr>
      </w:pPr>
      <w:r>
        <w:rPr>
          <w:lang w:val="en-GB"/>
        </w:rPr>
        <w:t>Article 26 of Directive (EU) 2016/797 deals with the non-compliance of vehicles or vehicle typ</w:t>
      </w:r>
      <w:r w:rsidR="00EA50D7">
        <w:rPr>
          <w:lang w:val="en-GB"/>
        </w:rPr>
        <w:t xml:space="preserve">es with essential requirements, and describes the process of suspension, revocation or amendment of a vehicle and/or vehicle type authorisation. </w:t>
      </w:r>
      <w:r w:rsidR="009269ED">
        <w:rPr>
          <w:lang w:val="en-GB"/>
        </w:rPr>
        <w:t>This is therefore a process foreseen by the Directive.</w:t>
      </w:r>
    </w:p>
    <w:p w14:paraId="5893503A" w14:textId="1AD64BD8" w:rsidR="00FF3207" w:rsidRDefault="00FF3207" w:rsidP="00C777D5">
      <w:pPr>
        <w:pStyle w:val="SingleTxtG"/>
        <w:numPr>
          <w:ilvl w:val="0"/>
          <w:numId w:val="25"/>
        </w:numPr>
        <w:ind w:left="2268" w:hanging="567"/>
        <w:rPr>
          <w:lang w:val="en-GB"/>
        </w:rPr>
      </w:pPr>
      <w:r>
        <w:rPr>
          <w:lang w:val="en-GB"/>
        </w:rPr>
        <w:t>Article 26(1) describes the obligations of railway undertakings when they find that a vehicle does not meet the essential requirements: take the corrective measures to bring the vehicle into conformity and inform the Agency and any national safety authority concerned of the measures taken. If the railway undertaking has evidence that the non-compliance was existing already at the time when the authorisation for placing on the market was issued, it shall also inform the Agency and the concerned national safety authorities.</w:t>
      </w:r>
    </w:p>
    <w:p w14:paraId="388AB4C5" w14:textId="77777777" w:rsidR="00FF3207" w:rsidRDefault="00FF3207" w:rsidP="00C777D5">
      <w:pPr>
        <w:pStyle w:val="SingleTxtG"/>
        <w:numPr>
          <w:ilvl w:val="0"/>
          <w:numId w:val="25"/>
        </w:numPr>
        <w:ind w:left="2268" w:hanging="567"/>
        <w:rPr>
          <w:lang w:val="en-GB"/>
        </w:rPr>
      </w:pPr>
      <w:r>
        <w:rPr>
          <w:lang w:val="en-GB"/>
        </w:rPr>
        <w:t xml:space="preserve">Article 26(2) describes the obligation for a national safety authority when it becomes aware that a vehicle or vehicle type, when used as intended, does not meet one of the essential requirements, it shall inform the railway undertaking and ask it to take the necessary corrective measures. The national safety authority shall inform the Agency and other national safety authorities concerned (including those in a territory where application for authorisation is ongoing). </w:t>
      </w:r>
    </w:p>
    <w:p w14:paraId="4B753D91" w14:textId="13C0689C" w:rsidR="00FF3207" w:rsidRDefault="00FF3207" w:rsidP="00C777D5">
      <w:pPr>
        <w:pStyle w:val="SingleTxtG"/>
        <w:numPr>
          <w:ilvl w:val="0"/>
          <w:numId w:val="25"/>
        </w:numPr>
        <w:ind w:left="2268" w:hanging="567"/>
        <w:rPr>
          <w:lang w:val="en-GB"/>
        </w:rPr>
      </w:pPr>
      <w:r>
        <w:rPr>
          <w:lang w:val="en-GB"/>
        </w:rPr>
        <w:t xml:space="preserve">Article 26(3) </w:t>
      </w:r>
      <w:r w:rsidR="00EA50D7">
        <w:rPr>
          <w:lang w:val="en-GB"/>
        </w:rPr>
        <w:t xml:space="preserve">gives the possibility to apply </w:t>
      </w:r>
      <w:r w:rsidR="00EA50D7" w:rsidRPr="009E1DAC">
        <w:rPr>
          <w:u w:val="single"/>
          <w:lang w:val="en-GB"/>
        </w:rPr>
        <w:t>temporary safety measures</w:t>
      </w:r>
      <w:r w:rsidR="00EA50D7">
        <w:rPr>
          <w:lang w:val="en-GB"/>
        </w:rPr>
        <w:t xml:space="preserve"> when the corrective measures applied by the railway undertaking do not ensure the conformity with the essential requirements and this leads to a serious safety risk. This includes the </w:t>
      </w:r>
      <w:r w:rsidR="00EA50D7" w:rsidRPr="009E1DAC">
        <w:rPr>
          <w:u w:val="single"/>
          <w:lang w:val="en-GB"/>
        </w:rPr>
        <w:t>suspension</w:t>
      </w:r>
      <w:r w:rsidR="00EA50D7">
        <w:rPr>
          <w:lang w:val="en-GB"/>
        </w:rPr>
        <w:t xml:space="preserve"> of an authorisation by the Agency or by the national safety authority (it may be applied in parallel).</w:t>
      </w:r>
    </w:p>
    <w:p w14:paraId="75A9F246" w14:textId="79D9E5A5" w:rsidR="00EA50D7" w:rsidRDefault="00EA50D7" w:rsidP="00C777D5">
      <w:pPr>
        <w:pStyle w:val="SingleTxtG"/>
        <w:numPr>
          <w:ilvl w:val="0"/>
          <w:numId w:val="25"/>
        </w:numPr>
        <w:ind w:left="2268" w:hanging="567"/>
        <w:rPr>
          <w:lang w:val="en-GB"/>
        </w:rPr>
      </w:pPr>
      <w:r>
        <w:rPr>
          <w:lang w:val="en-GB"/>
        </w:rPr>
        <w:t xml:space="preserve">Article 26(4) states that, in the cases described in Article 26(3), the Agency or the national safety authority that issued the authorisation may decide to </w:t>
      </w:r>
      <w:r w:rsidRPr="009E1DAC">
        <w:rPr>
          <w:u w:val="single"/>
          <w:lang w:val="en-GB"/>
        </w:rPr>
        <w:t>revoke or amend</w:t>
      </w:r>
      <w:r>
        <w:rPr>
          <w:lang w:val="en-GB"/>
        </w:rPr>
        <w:t xml:space="preserve"> the authorisation when it is proved that the essential requirement was not met at the time of authorisation.</w:t>
      </w:r>
    </w:p>
    <w:p w14:paraId="78C9ED1C" w14:textId="78F00EE8" w:rsidR="00EA50D7" w:rsidRDefault="00EA50D7" w:rsidP="00C777D5">
      <w:pPr>
        <w:pStyle w:val="SingleTxtG"/>
        <w:ind w:left="1701"/>
        <w:rPr>
          <w:lang w:val="en-GB"/>
        </w:rPr>
      </w:pPr>
      <w:r>
        <w:rPr>
          <w:lang w:val="en-GB"/>
        </w:rPr>
        <w:t xml:space="preserve">The </w:t>
      </w:r>
      <w:r w:rsidR="002736A6">
        <w:rPr>
          <w:lang w:val="en-GB"/>
        </w:rPr>
        <w:t xml:space="preserve">latest </w:t>
      </w:r>
      <w:r>
        <w:rPr>
          <w:lang w:val="en-GB"/>
        </w:rPr>
        <w:t>draft Implementing Act on Vehicle Authorisation, that will be</w:t>
      </w:r>
      <w:r w:rsidR="00ED0BC6">
        <w:rPr>
          <w:lang w:val="en-GB"/>
        </w:rPr>
        <w:t xml:space="preserve"> s</w:t>
      </w:r>
      <w:r w:rsidR="00FE3ACA">
        <w:rPr>
          <w:lang w:val="en-GB"/>
        </w:rPr>
        <w:t>ubmitted for voting to the</w:t>
      </w:r>
      <w:r>
        <w:rPr>
          <w:lang w:val="en-GB"/>
        </w:rPr>
        <w:t xml:space="preserve"> RISC Committee 80 (November </w:t>
      </w:r>
      <w:r w:rsidR="002736A6">
        <w:rPr>
          <w:lang w:val="en-GB"/>
        </w:rPr>
        <w:t xml:space="preserve">2017), also includes some provisions </w:t>
      </w:r>
      <w:r w:rsidR="002736A6">
        <w:rPr>
          <w:lang w:val="en-GB"/>
        </w:rPr>
        <w:lastRenderedPageBreak/>
        <w:t>related to suspension/revocation/amendment in its chapter 9, articles 56 and 57, which are aligned with the Directive.</w:t>
      </w:r>
    </w:p>
    <w:p w14:paraId="6ECBC3E5" w14:textId="30114DF3" w:rsidR="00EA50D7" w:rsidRDefault="00EA50D7" w:rsidP="00C777D5">
      <w:pPr>
        <w:pStyle w:val="SingleTxtG"/>
        <w:ind w:left="1701"/>
        <w:rPr>
          <w:lang w:val="en-GB"/>
        </w:rPr>
      </w:pPr>
      <w:r>
        <w:rPr>
          <w:lang w:val="en-GB"/>
        </w:rPr>
        <w:t xml:space="preserve">If, during the </w:t>
      </w:r>
      <w:r w:rsidR="009E1DAC">
        <w:rPr>
          <w:lang w:val="en-GB"/>
        </w:rPr>
        <w:t xml:space="preserve">periodical </w:t>
      </w:r>
      <w:r>
        <w:rPr>
          <w:lang w:val="en-GB"/>
        </w:rPr>
        <w:t xml:space="preserve">inspections to be carried out by the competent authority in the framework of RID, it </w:t>
      </w:r>
      <w:r w:rsidR="005916BA">
        <w:rPr>
          <w:lang w:val="en-GB"/>
        </w:rPr>
        <w:t xml:space="preserve">is necessary </w:t>
      </w:r>
      <w:r>
        <w:rPr>
          <w:lang w:val="en-GB"/>
        </w:rPr>
        <w:t>to revoke a type approval, this may result in a suspension/revocation</w:t>
      </w:r>
      <w:r w:rsidR="007417F8">
        <w:rPr>
          <w:lang w:val="en-GB"/>
        </w:rPr>
        <w:t xml:space="preserve">/amendment </w:t>
      </w:r>
      <w:r>
        <w:rPr>
          <w:lang w:val="en-GB"/>
        </w:rPr>
        <w:t xml:space="preserve">of the authorisation of a vehicle issued by a national safety authority or the </w:t>
      </w:r>
      <w:r w:rsidR="00FE3ACA">
        <w:rPr>
          <w:lang w:val="en-GB"/>
        </w:rPr>
        <w:t xml:space="preserve">European Union </w:t>
      </w:r>
      <w:r>
        <w:rPr>
          <w:lang w:val="en-GB"/>
        </w:rPr>
        <w:t>Agency</w:t>
      </w:r>
      <w:r w:rsidR="00FE3ACA">
        <w:rPr>
          <w:lang w:val="en-GB"/>
        </w:rPr>
        <w:t xml:space="preserve"> for Railways</w:t>
      </w:r>
      <w:r w:rsidR="009E1DAC">
        <w:rPr>
          <w:lang w:val="en-GB"/>
        </w:rPr>
        <w:t>, pursuant to article 26 of Directive (EU) 2016/797.</w:t>
      </w:r>
    </w:p>
    <w:p w14:paraId="26BB2BB4" w14:textId="205A3FAA" w:rsidR="00EA50D7" w:rsidRDefault="00EA50D7" w:rsidP="00C777D5">
      <w:pPr>
        <w:pStyle w:val="SingleTxtG"/>
        <w:ind w:left="1701"/>
        <w:rPr>
          <w:lang w:val="en-GB"/>
        </w:rPr>
      </w:pPr>
      <w:r>
        <w:rPr>
          <w:lang w:val="en-GB"/>
        </w:rPr>
        <w:t>However, the procedure must be triggered either by the railway undertaking or by a national safety authority (under its supervisory role)</w:t>
      </w:r>
      <w:r w:rsidR="00247CC2">
        <w:rPr>
          <w:lang w:val="en-GB"/>
        </w:rPr>
        <w:t>, following the provisions of the Directive (EU) 2016/797</w:t>
      </w:r>
      <w:r>
        <w:rPr>
          <w:lang w:val="en-GB"/>
        </w:rPr>
        <w:t>. A competent authority in the framework of RID cannot revoke the authorisation of a vehicle/vehicle type; it can however revoke the type approval</w:t>
      </w:r>
      <w:r w:rsidR="007417F8">
        <w:rPr>
          <w:lang w:val="en-GB"/>
        </w:rPr>
        <w:t xml:space="preserve"> of </w:t>
      </w:r>
      <w:r w:rsidR="00ED0BC6">
        <w:rPr>
          <w:lang w:val="en-GB"/>
        </w:rPr>
        <w:t xml:space="preserve">a </w:t>
      </w:r>
      <w:r w:rsidR="007417F8">
        <w:rPr>
          <w:lang w:val="en-GB"/>
        </w:rPr>
        <w:t>tank/battery</w:t>
      </w:r>
      <w:r w:rsidR="002736A6">
        <w:rPr>
          <w:lang w:val="en-GB"/>
        </w:rPr>
        <w:t xml:space="preserve">, and the impact of this revocation </w:t>
      </w:r>
      <w:r w:rsidR="009E1DAC">
        <w:rPr>
          <w:lang w:val="en-GB"/>
        </w:rPr>
        <w:t xml:space="preserve">may have an impact on the </w:t>
      </w:r>
      <w:r w:rsidR="002736A6">
        <w:rPr>
          <w:lang w:val="en-GB"/>
        </w:rPr>
        <w:t>vehicle</w:t>
      </w:r>
      <w:r w:rsidR="00ED0BC6">
        <w:rPr>
          <w:lang w:val="en-GB"/>
        </w:rPr>
        <w:t>/ve</w:t>
      </w:r>
      <w:r w:rsidR="002736A6">
        <w:rPr>
          <w:lang w:val="en-GB"/>
        </w:rPr>
        <w:t>hicle type au</w:t>
      </w:r>
      <w:r w:rsidR="009E1DAC">
        <w:rPr>
          <w:lang w:val="en-GB"/>
        </w:rPr>
        <w:t>thorisation</w:t>
      </w:r>
      <w:r w:rsidR="002736A6">
        <w:rPr>
          <w:lang w:val="en-GB"/>
        </w:rPr>
        <w:t>.</w:t>
      </w:r>
    </w:p>
    <w:p w14:paraId="41493267" w14:textId="5DE1428F" w:rsidR="00DC2858" w:rsidRPr="00DC2858" w:rsidRDefault="00DC2858" w:rsidP="00DC2858">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DC2858" w:rsidRPr="00DC2858"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D8F9" w14:textId="77777777" w:rsidR="001845AD" w:rsidRDefault="001845AD"/>
  </w:endnote>
  <w:endnote w:type="continuationSeparator" w:id="0">
    <w:p w14:paraId="107E3094" w14:textId="77777777" w:rsidR="001845AD" w:rsidRDefault="001845AD"/>
  </w:endnote>
  <w:endnote w:type="continuationNotice" w:id="1">
    <w:p w14:paraId="1423C13D" w14:textId="77777777" w:rsidR="001845AD" w:rsidRDefault="00184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E222" w14:textId="69C69B94"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1F2705">
      <w:rPr>
        <w:b/>
        <w:noProof/>
        <w:sz w:val="18"/>
        <w:szCs w:val="18"/>
      </w:rPr>
      <w:t>4</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400A" w14:textId="7DCA5885"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1F2705">
      <w:rPr>
        <w:b/>
        <w:noProof/>
        <w:sz w:val="18"/>
        <w:szCs w:val="18"/>
      </w:rPr>
      <w:t>5</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5461" w14:textId="77777777" w:rsidR="001845AD" w:rsidRPr="000B175B" w:rsidRDefault="001845AD" w:rsidP="000B175B">
      <w:pPr>
        <w:tabs>
          <w:tab w:val="right" w:pos="2155"/>
        </w:tabs>
        <w:spacing w:after="80"/>
        <w:ind w:left="680"/>
        <w:rPr>
          <w:u w:val="single"/>
        </w:rPr>
      </w:pPr>
      <w:r>
        <w:rPr>
          <w:u w:val="single"/>
        </w:rPr>
        <w:tab/>
      </w:r>
    </w:p>
  </w:footnote>
  <w:footnote w:type="continuationSeparator" w:id="0">
    <w:p w14:paraId="2D89DAFA" w14:textId="77777777" w:rsidR="001845AD" w:rsidRPr="00FC68B7" w:rsidRDefault="001845AD" w:rsidP="00FC68B7">
      <w:pPr>
        <w:tabs>
          <w:tab w:val="left" w:pos="2155"/>
        </w:tabs>
        <w:spacing w:after="80"/>
        <w:ind w:left="680"/>
        <w:rPr>
          <w:u w:val="single"/>
        </w:rPr>
      </w:pPr>
      <w:r>
        <w:rPr>
          <w:u w:val="single"/>
        </w:rPr>
        <w:tab/>
      </w:r>
    </w:p>
  </w:footnote>
  <w:footnote w:type="continuationNotice" w:id="1">
    <w:p w14:paraId="20282E54" w14:textId="77777777" w:rsidR="001845AD" w:rsidRDefault="001845AD"/>
  </w:footnote>
  <w:footnote w:id="2">
    <w:p w14:paraId="285F7870" w14:textId="68551802" w:rsidR="001B053F" w:rsidRPr="00D467F3" w:rsidRDefault="00DC2858" w:rsidP="00D467F3">
      <w:pPr>
        <w:pStyle w:val="FootnoteText"/>
        <w:tabs>
          <w:tab w:val="clear" w:pos="1021"/>
        </w:tabs>
        <w:ind w:left="0" w:firstLine="0"/>
        <w:rPr>
          <w:lang w:val="en-GB"/>
        </w:rPr>
      </w:pPr>
      <w:r>
        <w:tab/>
      </w:r>
      <w:r>
        <w:tab/>
      </w:r>
      <w:r w:rsidR="001B053F">
        <w:rPr>
          <w:rStyle w:val="FootnoteReference"/>
        </w:rPr>
        <w:footnoteRef/>
      </w:r>
      <w:r>
        <w:tab/>
      </w:r>
      <w:r w:rsidR="001B053F" w:rsidRPr="00D467F3">
        <w:rPr>
          <w:sz w:val="16"/>
          <w:szCs w:val="16"/>
          <w:lang w:val="en-GB"/>
        </w:rPr>
        <w:t xml:space="preserve">Directive (EU) 2016/797 of the European Parliament and of the Council of 11 May 2016 on the </w:t>
      </w:r>
      <w:r>
        <w:rPr>
          <w:sz w:val="16"/>
          <w:szCs w:val="16"/>
          <w:lang w:val="en-GB"/>
        </w:rPr>
        <w:tab/>
      </w:r>
      <w:r>
        <w:rPr>
          <w:sz w:val="16"/>
          <w:szCs w:val="16"/>
          <w:lang w:val="en-GB"/>
        </w:rPr>
        <w:tab/>
      </w:r>
      <w:r>
        <w:rPr>
          <w:sz w:val="16"/>
          <w:szCs w:val="16"/>
          <w:lang w:val="en-GB"/>
        </w:rPr>
        <w:tab/>
      </w:r>
      <w:r w:rsidR="001B053F" w:rsidRPr="00D467F3">
        <w:rPr>
          <w:sz w:val="16"/>
          <w:szCs w:val="16"/>
          <w:lang w:val="en-GB"/>
        </w:rPr>
        <w:t xml:space="preserve">interoperability of the rail system within the European Union, </w:t>
      </w:r>
      <w:r w:rsidR="001B053F" w:rsidRPr="00D467F3">
        <w:rPr>
          <w:i/>
          <w:iCs/>
          <w:color w:val="444444"/>
          <w:sz w:val="16"/>
          <w:szCs w:val="16"/>
          <w:lang w:val="en"/>
        </w:rPr>
        <w:t>OJ L 138, 26.5.2016, p. 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CE15" w14:textId="68E568DC" w:rsidR="00652CFC" w:rsidRPr="00652CFC" w:rsidRDefault="00652CFC">
    <w:pPr>
      <w:pStyle w:val="Header"/>
      <w:rPr>
        <w:lang w:val="fr-CH"/>
      </w:rPr>
    </w:pPr>
    <w:r>
      <w:rPr>
        <w:lang w:val="fr-CH"/>
      </w:rPr>
      <w:t>INF.</w:t>
    </w:r>
    <w:r w:rsidR="00DC2858">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72B8" w14:textId="44B93DE4" w:rsidR="00652CFC" w:rsidRPr="00652CFC" w:rsidRDefault="00652CFC" w:rsidP="00652CFC">
    <w:pPr>
      <w:pStyle w:val="Header"/>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5"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2"/>
  </w:num>
  <w:num w:numId="17">
    <w:abstractNumId w:val="22"/>
  </w:num>
  <w:num w:numId="18">
    <w:abstractNumId w:val="14"/>
  </w:num>
  <w:num w:numId="19">
    <w:abstractNumId w:val="23"/>
  </w:num>
  <w:num w:numId="20">
    <w:abstractNumId w:val="18"/>
  </w:num>
  <w:num w:numId="21">
    <w:abstractNumId w:val="21"/>
  </w:num>
  <w:num w:numId="22">
    <w:abstractNumId w:val="11"/>
  </w:num>
  <w:num w:numId="23">
    <w:abstractNumId w:val="17"/>
  </w:num>
  <w:num w:numId="24">
    <w:abstractNumId w:val="24"/>
  </w:num>
  <w:num w:numId="25">
    <w:abstractNumId w:val="19"/>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4DB3"/>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2705"/>
    <w:rsid w:val="001F7435"/>
    <w:rsid w:val="00202DA8"/>
    <w:rsid w:val="00203753"/>
    <w:rsid w:val="002102FF"/>
    <w:rsid w:val="0021114C"/>
    <w:rsid w:val="0021157B"/>
    <w:rsid w:val="00211E0B"/>
    <w:rsid w:val="002336E0"/>
    <w:rsid w:val="00237690"/>
    <w:rsid w:val="0024023A"/>
    <w:rsid w:val="00243217"/>
    <w:rsid w:val="002446AE"/>
    <w:rsid w:val="00247CC2"/>
    <w:rsid w:val="00252290"/>
    <w:rsid w:val="002614B5"/>
    <w:rsid w:val="0026532A"/>
    <w:rsid w:val="00267F5F"/>
    <w:rsid w:val="002736A6"/>
    <w:rsid w:val="002815A4"/>
    <w:rsid w:val="00286B4D"/>
    <w:rsid w:val="00292A77"/>
    <w:rsid w:val="00293582"/>
    <w:rsid w:val="002A3C85"/>
    <w:rsid w:val="002A603B"/>
    <w:rsid w:val="002C173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71178"/>
    <w:rsid w:val="003A6810"/>
    <w:rsid w:val="003B311A"/>
    <w:rsid w:val="003B36D1"/>
    <w:rsid w:val="003C2CC4"/>
    <w:rsid w:val="003C7C2C"/>
    <w:rsid w:val="003D4B23"/>
    <w:rsid w:val="003F6429"/>
    <w:rsid w:val="00400297"/>
    <w:rsid w:val="00410C89"/>
    <w:rsid w:val="00422E03"/>
    <w:rsid w:val="004266AC"/>
    <w:rsid w:val="00426B9B"/>
    <w:rsid w:val="004321F2"/>
    <w:rsid w:val="004325CB"/>
    <w:rsid w:val="004356D2"/>
    <w:rsid w:val="00442A83"/>
    <w:rsid w:val="004460EA"/>
    <w:rsid w:val="00453EF0"/>
    <w:rsid w:val="0045495B"/>
    <w:rsid w:val="00455F93"/>
    <w:rsid w:val="00464C81"/>
    <w:rsid w:val="0048397A"/>
    <w:rsid w:val="00483F1B"/>
    <w:rsid w:val="004861B3"/>
    <w:rsid w:val="00495210"/>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6AB3"/>
    <w:rsid w:val="0052775E"/>
    <w:rsid w:val="005420F2"/>
    <w:rsid w:val="00543B68"/>
    <w:rsid w:val="005463C7"/>
    <w:rsid w:val="00546993"/>
    <w:rsid w:val="005501AB"/>
    <w:rsid w:val="005628B6"/>
    <w:rsid w:val="0058164C"/>
    <w:rsid w:val="005835AD"/>
    <w:rsid w:val="005909B3"/>
    <w:rsid w:val="005916BA"/>
    <w:rsid w:val="0059363D"/>
    <w:rsid w:val="005B0833"/>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658A"/>
    <w:rsid w:val="00640B26"/>
    <w:rsid w:val="006477AB"/>
    <w:rsid w:val="00652CFC"/>
    <w:rsid w:val="00652D0A"/>
    <w:rsid w:val="00656145"/>
    <w:rsid w:val="006623D5"/>
    <w:rsid w:val="00662BB6"/>
    <w:rsid w:val="00667F8F"/>
    <w:rsid w:val="006741F1"/>
    <w:rsid w:val="00684C21"/>
    <w:rsid w:val="0069377E"/>
    <w:rsid w:val="006A2530"/>
    <w:rsid w:val="006B1C12"/>
    <w:rsid w:val="006C3589"/>
    <w:rsid w:val="006D37AF"/>
    <w:rsid w:val="006D51D0"/>
    <w:rsid w:val="006D63B3"/>
    <w:rsid w:val="006E564B"/>
    <w:rsid w:val="006E7191"/>
    <w:rsid w:val="00703577"/>
    <w:rsid w:val="00705894"/>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B22C2"/>
    <w:rsid w:val="007B6BA5"/>
    <w:rsid w:val="007C2E47"/>
    <w:rsid w:val="007C3390"/>
    <w:rsid w:val="007C4F4B"/>
    <w:rsid w:val="007E01E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63760"/>
    <w:rsid w:val="008679D9"/>
    <w:rsid w:val="00871389"/>
    <w:rsid w:val="00873798"/>
    <w:rsid w:val="00880848"/>
    <w:rsid w:val="00883999"/>
    <w:rsid w:val="008850EA"/>
    <w:rsid w:val="00886118"/>
    <w:rsid w:val="00887652"/>
    <w:rsid w:val="008878DE"/>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D"/>
    <w:rsid w:val="00933585"/>
    <w:rsid w:val="00940F93"/>
    <w:rsid w:val="0094558F"/>
    <w:rsid w:val="00961690"/>
    <w:rsid w:val="009760F3"/>
    <w:rsid w:val="0098203C"/>
    <w:rsid w:val="0098722E"/>
    <w:rsid w:val="009A0E8D"/>
    <w:rsid w:val="009A460C"/>
    <w:rsid w:val="009A5F63"/>
    <w:rsid w:val="009A6FEF"/>
    <w:rsid w:val="009B1518"/>
    <w:rsid w:val="009B26E7"/>
    <w:rsid w:val="009B7DC9"/>
    <w:rsid w:val="009C454F"/>
    <w:rsid w:val="009D2A5B"/>
    <w:rsid w:val="009E1D8E"/>
    <w:rsid w:val="009E1DAC"/>
    <w:rsid w:val="009E4A07"/>
    <w:rsid w:val="00A00A3F"/>
    <w:rsid w:val="00A01489"/>
    <w:rsid w:val="00A120E8"/>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207A"/>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4044"/>
    <w:rsid w:val="00BA55A7"/>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777D5"/>
    <w:rsid w:val="00C87367"/>
    <w:rsid w:val="00C87FD7"/>
    <w:rsid w:val="00CA56B7"/>
    <w:rsid w:val="00CB3E03"/>
    <w:rsid w:val="00CD57D2"/>
    <w:rsid w:val="00CE4A8F"/>
    <w:rsid w:val="00CE4B11"/>
    <w:rsid w:val="00CE69D8"/>
    <w:rsid w:val="00D00610"/>
    <w:rsid w:val="00D2031B"/>
    <w:rsid w:val="00D25FE2"/>
    <w:rsid w:val="00D263A7"/>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9255F"/>
    <w:rsid w:val="00D95303"/>
    <w:rsid w:val="00D978C6"/>
    <w:rsid w:val="00DA3C1C"/>
    <w:rsid w:val="00DB6CA5"/>
    <w:rsid w:val="00DC2362"/>
    <w:rsid w:val="00DC2858"/>
    <w:rsid w:val="00DC634C"/>
    <w:rsid w:val="00E01D68"/>
    <w:rsid w:val="00E046DF"/>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72D9"/>
    <w:rsid w:val="00EC106A"/>
    <w:rsid w:val="00EC32A0"/>
    <w:rsid w:val="00ED0BC6"/>
    <w:rsid w:val="00ED7A2A"/>
    <w:rsid w:val="00EE0102"/>
    <w:rsid w:val="00EE62ED"/>
    <w:rsid w:val="00EE6B3A"/>
    <w:rsid w:val="00EF1D7F"/>
    <w:rsid w:val="00EF6DB8"/>
    <w:rsid w:val="00F227A6"/>
    <w:rsid w:val="00F30EB7"/>
    <w:rsid w:val="00F31E5F"/>
    <w:rsid w:val="00F36F0D"/>
    <w:rsid w:val="00F4272A"/>
    <w:rsid w:val="00F4342B"/>
    <w:rsid w:val="00F54642"/>
    <w:rsid w:val="00F555FB"/>
    <w:rsid w:val="00F6100A"/>
    <w:rsid w:val="00F66565"/>
    <w:rsid w:val="00F93781"/>
    <w:rsid w:val="00FA3772"/>
    <w:rsid w:val="00FA79F4"/>
    <w:rsid w:val="00FB613B"/>
    <w:rsid w:val="00FC398D"/>
    <w:rsid w:val="00FC3C87"/>
    <w:rsid w:val="00FC68B7"/>
    <w:rsid w:val="00FD0251"/>
    <w:rsid w:val="00FD49F1"/>
    <w:rsid w:val="00FE0135"/>
    <w:rsid w:val="00FE106A"/>
    <w:rsid w:val="00FE3ACA"/>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F9E54"/>
  <w15:docId w15:val="{620D5EDC-9BD6-403F-9BB6-39C3D36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BA55A7"/>
    <w:pPr>
      <w:spacing w:line="240" w:lineRule="auto"/>
    </w:pPr>
    <w:rPr>
      <w:b/>
      <w:bCs/>
    </w:rPr>
  </w:style>
  <w:style w:type="character" w:customStyle="1" w:styleId="CommentTextChar">
    <w:name w:val="Comment Text Char"/>
    <w:basedOn w:val="DefaultParagraphFont"/>
    <w:link w:val="CommentText"/>
    <w:semiHidden/>
    <w:rsid w:val="00BA55A7"/>
    <w:rPr>
      <w:lang w:eastAsia="en-US"/>
    </w:rPr>
  </w:style>
  <w:style w:type="character" w:customStyle="1" w:styleId="CommentSubjectChar">
    <w:name w:val="Comment Subject Char"/>
    <w:basedOn w:val="CommentTextChar"/>
    <w:link w:val="CommentSubject"/>
    <w:semiHidden/>
    <w:rsid w:val="00BA55A7"/>
    <w:rPr>
      <w:b/>
      <w:bCs/>
      <w:lang w:eastAsia="en-US"/>
    </w:rPr>
  </w:style>
  <w:style w:type="paragraph" w:styleId="Re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A422-81F7-4A78-BC73-945E1000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1835</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2017-09-13T08:27:00Z</cp:lastPrinted>
  <dcterms:created xsi:type="dcterms:W3CDTF">2017-09-13T08:13:00Z</dcterms:created>
  <dcterms:modified xsi:type="dcterms:W3CDTF">2017-09-13T13:42:00Z</dcterms:modified>
</cp:coreProperties>
</file>