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F35BAF" w:rsidRPr="00DB58B5" w14:paraId="58E450BA" w14:textId="77777777" w:rsidTr="00C97039">
        <w:trPr>
          <w:trHeight w:hRule="exact" w:val="851"/>
        </w:trPr>
        <w:tc>
          <w:tcPr>
            <w:tcW w:w="1276" w:type="dxa"/>
            <w:tcBorders>
              <w:bottom w:val="single" w:sz="4" w:space="0" w:color="auto"/>
            </w:tcBorders>
          </w:tcPr>
          <w:p w14:paraId="6B498827" w14:textId="77777777" w:rsidR="00F35BAF" w:rsidRPr="00DB58B5" w:rsidRDefault="00F35BAF" w:rsidP="00832452"/>
        </w:tc>
        <w:tc>
          <w:tcPr>
            <w:tcW w:w="2268" w:type="dxa"/>
            <w:tcBorders>
              <w:bottom w:val="single" w:sz="4" w:space="0" w:color="auto"/>
            </w:tcBorders>
            <w:vAlign w:val="bottom"/>
          </w:tcPr>
          <w:p w14:paraId="7EF92791" w14:textId="3F03E17F" w:rsidR="00F35BAF" w:rsidRPr="00DB58B5" w:rsidRDefault="00F35BAF" w:rsidP="00C97039">
            <w:pPr>
              <w:spacing w:after="80" w:line="300" w:lineRule="exact"/>
              <w:rPr>
                <w:sz w:val="28"/>
              </w:rPr>
            </w:pPr>
          </w:p>
        </w:tc>
        <w:tc>
          <w:tcPr>
            <w:tcW w:w="6095" w:type="dxa"/>
            <w:tcBorders>
              <w:bottom w:val="single" w:sz="4" w:space="0" w:color="auto"/>
            </w:tcBorders>
            <w:vAlign w:val="bottom"/>
          </w:tcPr>
          <w:p w14:paraId="376FD8FE" w14:textId="5DA08AD0" w:rsidR="00F35BAF" w:rsidRPr="00DB58B5" w:rsidRDefault="002A7775" w:rsidP="003215AD">
            <w:pPr>
              <w:jc w:val="right"/>
            </w:pPr>
            <w:r>
              <w:rPr>
                <w:sz w:val="40"/>
              </w:rPr>
              <w:t>INF</w:t>
            </w:r>
            <w:r w:rsidR="003215AD">
              <w:rPr>
                <w:sz w:val="40"/>
              </w:rPr>
              <w:t>.55</w:t>
            </w:r>
            <w:r w:rsidR="003215AD">
              <w:rPr>
                <w:sz w:val="40"/>
              </w:rPr>
              <w:t xml:space="preserve"> </w:t>
            </w:r>
          </w:p>
        </w:tc>
      </w:tr>
    </w:tbl>
    <w:p w14:paraId="1359AF92" w14:textId="77777777" w:rsidR="007F20FA" w:rsidRPr="000312C0" w:rsidRDefault="007F20FA" w:rsidP="007F20FA">
      <w:pPr>
        <w:spacing w:before="120"/>
        <w:rPr>
          <w:b/>
          <w:sz w:val="28"/>
          <w:szCs w:val="28"/>
        </w:rPr>
      </w:pPr>
      <w:r w:rsidRPr="000312C0">
        <w:rPr>
          <w:b/>
          <w:sz w:val="28"/>
          <w:szCs w:val="28"/>
        </w:rPr>
        <w:t>Commission économique pour l’Europe</w:t>
      </w:r>
    </w:p>
    <w:p w14:paraId="72B1268A" w14:textId="77777777" w:rsidR="007F20FA" w:rsidRDefault="007F20FA" w:rsidP="007F20FA">
      <w:pPr>
        <w:spacing w:before="120"/>
        <w:rPr>
          <w:sz w:val="28"/>
          <w:szCs w:val="28"/>
        </w:rPr>
      </w:pPr>
      <w:r w:rsidRPr="00685843">
        <w:rPr>
          <w:sz w:val="28"/>
          <w:szCs w:val="28"/>
        </w:rPr>
        <w:t>Comité des transports intérieurs</w:t>
      </w:r>
    </w:p>
    <w:p w14:paraId="1120664F" w14:textId="77777777" w:rsidR="00794487" w:rsidRPr="00794487" w:rsidRDefault="00794487" w:rsidP="00794487">
      <w:pPr>
        <w:spacing w:before="120" w:after="120"/>
        <w:rPr>
          <w:b/>
          <w:sz w:val="24"/>
          <w:szCs w:val="24"/>
        </w:rPr>
      </w:pPr>
      <w:r w:rsidRPr="00794487">
        <w:rPr>
          <w:b/>
          <w:sz w:val="24"/>
          <w:szCs w:val="24"/>
        </w:rPr>
        <w:t xml:space="preserve">Groupe de travail des transports </w:t>
      </w:r>
      <w:r>
        <w:rPr>
          <w:b/>
          <w:sz w:val="24"/>
          <w:szCs w:val="24"/>
        </w:rPr>
        <w:br/>
      </w:r>
      <w:r w:rsidRPr="00794487">
        <w:rPr>
          <w:b/>
          <w:sz w:val="24"/>
          <w:szCs w:val="24"/>
        </w:rPr>
        <w:t>de marchandises dangereuses</w:t>
      </w:r>
    </w:p>
    <w:p w14:paraId="2301A703" w14:textId="77777777" w:rsidR="00794487" w:rsidRPr="000E75A7" w:rsidRDefault="00794487" w:rsidP="00794487">
      <w:pPr>
        <w:rPr>
          <w:b/>
        </w:rPr>
      </w:pPr>
      <w:r w:rsidRPr="00743459">
        <w:rPr>
          <w:b/>
        </w:rPr>
        <w:t>Réunion commune de la Commission d</w:t>
      </w:r>
      <w:r>
        <w:rPr>
          <w:b/>
        </w:rPr>
        <w:t>’</w:t>
      </w:r>
      <w:r w:rsidRPr="00743459">
        <w:rPr>
          <w:b/>
        </w:rPr>
        <w:t>experts du RID et</w:t>
      </w:r>
      <w:r>
        <w:rPr>
          <w:b/>
        </w:rPr>
        <w:t xml:space="preserve"> </w:t>
      </w:r>
      <w:r>
        <w:rPr>
          <w:b/>
        </w:rPr>
        <w:br/>
      </w:r>
      <w:r w:rsidRPr="00743459">
        <w:rPr>
          <w:b/>
        </w:rPr>
        <w:t>du Groupe de travail des transports de marchandises dangereuses</w:t>
      </w:r>
    </w:p>
    <w:p w14:paraId="1170EE6B" w14:textId="77777777" w:rsidR="00794487" w:rsidRDefault="00794487" w:rsidP="00794487">
      <w:r>
        <w:t>Genève, 19-29 septembre 2017</w:t>
      </w:r>
    </w:p>
    <w:p w14:paraId="3477278F" w14:textId="77777777" w:rsidR="00794487" w:rsidRPr="00617F6C" w:rsidRDefault="00794487" w:rsidP="00794487">
      <w:r>
        <w:t>Point 7 de l’ordre du jour provisoire</w:t>
      </w:r>
    </w:p>
    <w:p w14:paraId="5A3564A0" w14:textId="77777777" w:rsidR="00794487" w:rsidRPr="000E75A7" w:rsidRDefault="00794487" w:rsidP="00794487">
      <w:pPr>
        <w:rPr>
          <w:b/>
        </w:rPr>
      </w:pPr>
      <w:r w:rsidRPr="00743459">
        <w:rPr>
          <w:b/>
        </w:rPr>
        <w:t xml:space="preserve">Rapports des groupes de travail informels </w:t>
      </w:r>
    </w:p>
    <w:p w14:paraId="4D62397F" w14:textId="77777777" w:rsidR="00794487" w:rsidRPr="00617F6C" w:rsidRDefault="00794487" w:rsidP="00794487">
      <w:pPr>
        <w:pStyle w:val="HChG"/>
      </w:pPr>
      <w:r>
        <w:tab/>
      </w:r>
      <w:r>
        <w:tab/>
      </w:r>
      <w:r w:rsidR="000F636E">
        <w:t>Rapport du g</w:t>
      </w:r>
      <w:r>
        <w:t>roupe de travail informel sur les méthodes de substitution en matière de contrôle périodique</w:t>
      </w:r>
    </w:p>
    <w:p w14:paraId="4C44A224" w14:textId="77777777" w:rsidR="00794487" w:rsidRPr="00EE168C" w:rsidRDefault="00794487" w:rsidP="007F54DB">
      <w:pPr>
        <w:pStyle w:val="HChG"/>
      </w:pPr>
      <w:r>
        <w:tab/>
      </w:r>
      <w:r>
        <w:tab/>
        <w:t xml:space="preserve">Méthodes de substitution pour le contrôle périodique des récipients à pression rechargeables </w:t>
      </w:r>
    </w:p>
    <w:p w14:paraId="000D133A" w14:textId="2F813FB5" w:rsidR="00794487" w:rsidRDefault="00794487" w:rsidP="007F54DB">
      <w:pPr>
        <w:pStyle w:val="H1G"/>
      </w:pPr>
      <w:r>
        <w:tab/>
      </w:r>
      <w:r>
        <w:tab/>
        <w:t>Communication de l’Association européenne des gaz de pétrole liquéfiés (AEGPL) au nom du groupe de travail informel sur les méthodes de substitutions en matière de contrôle périodique</w:t>
      </w:r>
    </w:p>
    <w:p w14:paraId="10A74AE0" w14:textId="77777777" w:rsidR="00794487" w:rsidRPr="00B516CC" w:rsidRDefault="00794487" w:rsidP="00B16DD0">
      <w:pPr>
        <w:pStyle w:val="HChG"/>
      </w:pPr>
      <w:r>
        <w:br w:type="page"/>
      </w:r>
      <w:r>
        <w:lastRenderedPageBreak/>
        <w:tab/>
      </w:r>
      <w:r>
        <w:tab/>
      </w:r>
      <w:r w:rsidRPr="00B516CC">
        <w:t>Introduction</w:t>
      </w:r>
    </w:p>
    <w:p w14:paraId="7CF02CB1" w14:textId="337735B5" w:rsidR="00794487" w:rsidRDefault="002A7775" w:rsidP="00B16DD0">
      <w:pPr>
        <w:pStyle w:val="SingleTxtG"/>
        <w:rPr>
          <w:lang w:val="fr-FR"/>
        </w:rPr>
      </w:pPr>
      <w:r>
        <w:t>Suite aux discussion</w:t>
      </w:r>
      <w:r w:rsidR="006B3A40">
        <w:t>s</w:t>
      </w:r>
      <w:r>
        <w:t xml:space="preserve"> en plénière à propos du </w:t>
      </w:r>
      <w:r w:rsidRPr="006B3A40">
        <w:rPr>
          <w:lang w:val="fr-FR"/>
        </w:rPr>
        <w:t>ECE/TRANS/WP.15/AC.1/2017/33</w:t>
      </w:r>
      <w:r>
        <w:rPr>
          <w:lang w:val="fr-FR"/>
        </w:rPr>
        <w:t>, et comme convenu par la Réunion Commune, le groupe de travail suggère les modifications suivantes pour les 2 propositions relatives. Ce document informel fournit la traduction en français de la version anglaise révisée.</w:t>
      </w:r>
    </w:p>
    <w:p w14:paraId="7C800438" w14:textId="49DD03D4" w:rsidR="002A7775" w:rsidRDefault="002A7775" w:rsidP="00B16DD0">
      <w:pPr>
        <w:pStyle w:val="SingleTxtG"/>
        <w:rPr>
          <w:lang w:val="fr-FR"/>
        </w:rPr>
      </w:pPr>
    </w:p>
    <w:p w14:paraId="2C9741AE" w14:textId="3AEF22F5" w:rsidR="00794487" w:rsidRPr="006B3A40" w:rsidRDefault="002A7775" w:rsidP="006B3A40">
      <w:pPr>
        <w:pStyle w:val="SingleTxtG"/>
        <w:rPr>
          <w:lang w:val="fr-FR"/>
        </w:rPr>
      </w:pPr>
      <w:r w:rsidRPr="006B3A40">
        <w:rPr>
          <w:lang w:val="fr-FR"/>
        </w:rPr>
        <w:t xml:space="preserve">La numérotation du document initial est conservée </w:t>
      </w:r>
      <w:r w:rsidR="006B3A40" w:rsidRPr="006B3A40">
        <w:rPr>
          <w:lang w:val="fr-FR"/>
        </w:rPr>
        <w:t xml:space="preserve">à des fins de </w:t>
      </w:r>
      <w:r w:rsidR="006B3A40">
        <w:rPr>
          <w:lang w:val="fr-FR"/>
        </w:rPr>
        <w:t>bonne</w:t>
      </w:r>
      <w:r w:rsidR="006B3A40" w:rsidRPr="006B3A40">
        <w:rPr>
          <w:lang w:val="fr-FR"/>
        </w:rPr>
        <w:t xml:space="preserve"> comp</w:t>
      </w:r>
      <w:r w:rsidR="006B3A40">
        <w:rPr>
          <w:lang w:val="fr-FR"/>
        </w:rPr>
        <w:t>ar</w:t>
      </w:r>
      <w:r w:rsidR="00A556AB">
        <w:rPr>
          <w:lang w:val="fr-FR"/>
        </w:rPr>
        <w:t>a</w:t>
      </w:r>
      <w:r w:rsidR="006B3A40">
        <w:rPr>
          <w:lang w:val="fr-FR"/>
        </w:rPr>
        <w:t>ison</w:t>
      </w:r>
      <w:r w:rsidR="006B3A40" w:rsidRPr="006B3A40">
        <w:rPr>
          <w:lang w:val="fr-FR"/>
        </w:rPr>
        <w:t>.</w:t>
      </w:r>
      <w:r w:rsidRPr="006B3A40">
        <w:rPr>
          <w:lang w:val="fr-FR"/>
        </w:rPr>
        <w:t xml:space="preserve"> </w:t>
      </w:r>
    </w:p>
    <w:p w14:paraId="41BF888D" w14:textId="030CD619" w:rsidR="00794487" w:rsidRDefault="00794487" w:rsidP="006A097F">
      <w:pPr>
        <w:pStyle w:val="HChG"/>
      </w:pPr>
      <w:r>
        <w:tab/>
        <w:t>Propositions</w:t>
      </w:r>
    </w:p>
    <w:p w14:paraId="6BE668FB" w14:textId="77777777" w:rsidR="00794487" w:rsidRDefault="00794487" w:rsidP="006A097F">
      <w:pPr>
        <w:pStyle w:val="H1G"/>
      </w:pPr>
      <w:r>
        <w:tab/>
      </w:r>
      <w:r>
        <w:tab/>
        <w:t xml:space="preserve">Proposition 1 </w:t>
      </w:r>
      <w:r w:rsidR="006A097F">
        <w:t>− Dispositions générales</w:t>
      </w:r>
    </w:p>
    <w:p w14:paraId="01564446" w14:textId="77777777" w:rsidR="00794487" w:rsidRPr="001834C3" w:rsidRDefault="00794487" w:rsidP="006A097F">
      <w:pPr>
        <w:pStyle w:val="SingleTxtG"/>
      </w:pPr>
      <w:r>
        <w:t>14.</w:t>
      </w:r>
      <w:r>
        <w:tab/>
        <w:t>Ajouter un nouveau paragraphe 6.2.3.5.3 libellé comme suit</w:t>
      </w:r>
      <w:r w:rsidR="00B16DD0">
        <w:t> :</w:t>
      </w:r>
    </w:p>
    <w:p w14:paraId="6585D1DF" w14:textId="32ED8979" w:rsidR="00794487" w:rsidRPr="003D4D66" w:rsidRDefault="00794487" w:rsidP="00794487">
      <w:pPr>
        <w:pStyle w:val="SingleTxtG"/>
      </w:pPr>
      <w:r>
        <w:t>« 6.2.3.5.3</w:t>
      </w:r>
      <w:r>
        <w:tab/>
        <w:t xml:space="preserve">Dispositions générales </w:t>
      </w:r>
      <w:r w:rsidRPr="00A556AB">
        <w:t xml:space="preserve">applicables </w:t>
      </w:r>
      <w:r w:rsidR="00275D31" w:rsidRPr="00A556AB">
        <w:t>à la substitution d’un(des) contrôles(s) spécifique(s) requis pour les contrôles périodiques prescrits</w:t>
      </w:r>
      <w:r w:rsidR="00275D31">
        <w:t xml:space="preserve"> au paragraphe</w:t>
      </w:r>
      <w:r>
        <w:t xml:space="preserve"> 6.2.3.5.1.</w:t>
      </w:r>
    </w:p>
    <w:p w14:paraId="59D14ACD" w14:textId="77777777" w:rsidR="00794487" w:rsidRPr="003D4D66" w:rsidRDefault="00794487" w:rsidP="00794487">
      <w:pPr>
        <w:pStyle w:val="SingleTxtG"/>
        <w:rPr>
          <w:i/>
        </w:rPr>
      </w:pPr>
      <w:r>
        <w:t>Ce paragraphe ne s’applique</w:t>
      </w:r>
      <w:r w:rsidR="00B16DD0">
        <w:t xml:space="preserve"> </w:t>
      </w:r>
      <w:r>
        <w:t>qu’aux récipients à pression conçus et fabriqués selon les normes indiquées au paragraphe 6.2.4.1 ou selon un code technique conformément à la section 6.2.5, et dont les propriétés inhérentes à leur conception empêchent d’effectuer les contrôles</w:t>
      </w:r>
      <w:r w:rsidR="00B16DD0">
        <w:t xml:space="preserve"> </w:t>
      </w:r>
      <w:r w:rsidR="00970A2A">
        <w:t>b) et/ou d</w:t>
      </w:r>
      <w:r>
        <w:t>) prescrits au paragraphe 6.2.1.6.1 ou ne permettent pas d’interpréter les</w:t>
      </w:r>
      <w:r w:rsidR="002128D5">
        <w:t> </w:t>
      </w:r>
      <w:r>
        <w:t>résultats.</w:t>
      </w:r>
    </w:p>
    <w:p w14:paraId="4D2F8A44" w14:textId="2BFA3712" w:rsidR="00794487" w:rsidRPr="00C14C25" w:rsidRDefault="00794487" w:rsidP="002128D5">
      <w:pPr>
        <w:pStyle w:val="SingleTxtG"/>
        <w:keepLines/>
      </w:pPr>
      <w:r>
        <w:t>Pour</w:t>
      </w:r>
      <w:r w:rsidR="00B16DD0">
        <w:t xml:space="preserve"> </w:t>
      </w:r>
      <w:r>
        <w:t xml:space="preserve">de tels récipients à pression, </w:t>
      </w:r>
      <w:r w:rsidR="00275D31" w:rsidRPr="00C14C25">
        <w:t>le</w:t>
      </w:r>
      <w:r w:rsidR="00C37B48">
        <w:t>dit(lesdits)</w:t>
      </w:r>
      <w:r w:rsidRPr="00C14C25">
        <w:t xml:space="preserve"> contrôle</w:t>
      </w:r>
      <w:r w:rsidR="00275D31" w:rsidRPr="00C14C25">
        <w:t>(</w:t>
      </w:r>
      <w:r w:rsidRPr="00C14C25">
        <w:t>s</w:t>
      </w:r>
      <w:r w:rsidR="00275D31" w:rsidRPr="00C14C25">
        <w:t>)</w:t>
      </w:r>
      <w:r>
        <w:t xml:space="preserve"> doivent être remplacés </w:t>
      </w:r>
      <w:r w:rsidRPr="00C14C25">
        <w:t xml:space="preserve">par </w:t>
      </w:r>
      <w:r w:rsidR="00275D31" w:rsidRPr="00C14C25">
        <w:t xml:space="preserve">une(des) </w:t>
      </w:r>
      <w:r w:rsidRPr="00C14C25">
        <w:t>méthode</w:t>
      </w:r>
      <w:r w:rsidR="00275D31" w:rsidRPr="00C14C25">
        <w:t>(</w:t>
      </w:r>
      <w:r w:rsidRPr="00C14C25">
        <w:t>s</w:t>
      </w:r>
      <w:r w:rsidR="00275D31" w:rsidRPr="00C14C25">
        <w:t>)</w:t>
      </w:r>
      <w:r w:rsidRPr="00C14C25">
        <w:t xml:space="preserve"> </w:t>
      </w:r>
      <w:r w:rsidR="00275D31" w:rsidRPr="00C14C25">
        <w:t>alternative(s)</w:t>
      </w:r>
      <w:r w:rsidR="008E5C53">
        <w:t xml:space="preserve"> </w:t>
      </w:r>
      <w:r>
        <w:t>adaptée</w:t>
      </w:r>
      <w:r w:rsidR="00275D31">
        <w:t>(</w:t>
      </w:r>
      <w:r>
        <w:t>s</w:t>
      </w:r>
      <w:r w:rsidR="00275D31">
        <w:t>)</w:t>
      </w:r>
      <w:r>
        <w:t xml:space="preserve"> </w:t>
      </w:r>
      <w:r w:rsidRPr="00C14C25">
        <w:t xml:space="preserve">à </w:t>
      </w:r>
      <w:r w:rsidR="00275D31" w:rsidRPr="00C14C25">
        <w:t>leur</w:t>
      </w:r>
      <w:r w:rsidR="00C37B48">
        <w:t>s</w:t>
      </w:r>
      <w:r w:rsidR="00275D31" w:rsidRPr="00C14C25">
        <w:t xml:space="preserve"> </w:t>
      </w:r>
      <w:r w:rsidR="00C37B48">
        <w:t xml:space="preserve">caractéristiques particulières de </w:t>
      </w:r>
      <w:r w:rsidRPr="00C14C25">
        <w:t>conception, indiqué</w:t>
      </w:r>
      <w:r w:rsidR="00275D31" w:rsidRPr="00C14C25">
        <w:t>e(s)</w:t>
      </w:r>
      <w:r w:rsidRPr="00C14C25">
        <w:t xml:space="preserve"> </w:t>
      </w:r>
      <w:r w:rsidR="00A57BFB">
        <w:t>dans un</w:t>
      </w:r>
      <w:r w:rsidR="00A57BFB" w:rsidRPr="00C14C25">
        <w:t xml:space="preserve"> </w:t>
      </w:r>
      <w:r w:rsidRPr="00C14C25">
        <w:t>paragraphe</w:t>
      </w:r>
      <w:r w:rsidR="00A57BFB">
        <w:t xml:space="preserve"> de la section</w:t>
      </w:r>
      <w:r w:rsidRPr="00C14C25">
        <w:t xml:space="preserve"> 6.2.3.</w:t>
      </w:r>
      <w:r w:rsidR="00A57BFB">
        <w:t>5.4</w:t>
      </w:r>
      <w:r w:rsidRPr="00C14C25">
        <w:t xml:space="preserve"> et détaillé</w:t>
      </w:r>
      <w:r w:rsidR="00275D31" w:rsidRPr="00C14C25">
        <w:t>e(s)</w:t>
      </w:r>
      <w:r w:rsidRPr="00C14C25">
        <w:t xml:space="preserve"> dans une disposition spéciale </w:t>
      </w:r>
      <w:r w:rsidR="00A57BFB">
        <w:t>du paragraphe 3.3</w:t>
      </w:r>
      <w:r w:rsidR="00A57BFB" w:rsidRPr="00C14C25">
        <w:t xml:space="preserve"> </w:t>
      </w:r>
      <w:r w:rsidRPr="00C14C25">
        <w:t xml:space="preserve">ou une norme référencée dans </w:t>
      </w:r>
      <w:r w:rsidR="00A57BFB">
        <w:t>6.2.4.2</w:t>
      </w:r>
      <w:r w:rsidRPr="00C14C25">
        <w:t xml:space="preserve">. </w:t>
      </w:r>
    </w:p>
    <w:p w14:paraId="33D82CD8" w14:textId="1AB65887" w:rsidR="00794487" w:rsidRPr="00C14C25" w:rsidRDefault="00794487" w:rsidP="002128D5">
      <w:pPr>
        <w:pStyle w:val="SingleTxtG"/>
      </w:pPr>
      <w:r w:rsidRPr="00C14C25">
        <w:t>Ce</w:t>
      </w:r>
      <w:r w:rsidR="00A57BFB">
        <w:t>tte(</w:t>
      </w:r>
      <w:r w:rsidRPr="00C14C25">
        <w:t>s</w:t>
      </w:r>
      <w:r w:rsidR="00A57BFB">
        <w:t>)</w:t>
      </w:r>
      <w:r w:rsidRPr="00C14C25">
        <w:t xml:space="preserve"> méthode</w:t>
      </w:r>
      <w:r w:rsidR="00A57BFB">
        <w:t>(</w:t>
      </w:r>
      <w:r w:rsidRPr="00C14C25">
        <w:t>s</w:t>
      </w:r>
      <w:r w:rsidR="00A57BFB">
        <w:t>)</w:t>
      </w:r>
      <w:r w:rsidRPr="00C14C25">
        <w:t xml:space="preserve"> </w:t>
      </w:r>
      <w:r w:rsidR="00275D31" w:rsidRPr="00C14C25">
        <w:t>alternative</w:t>
      </w:r>
      <w:r w:rsidR="00A57BFB">
        <w:t>(</w:t>
      </w:r>
      <w:r w:rsidR="00275D31" w:rsidRPr="00C14C25">
        <w:t>s</w:t>
      </w:r>
      <w:r w:rsidR="00A57BFB">
        <w:t>)</w:t>
      </w:r>
      <w:r w:rsidRPr="00C14C25">
        <w:t xml:space="preserve"> doivent </w:t>
      </w:r>
      <w:r w:rsidR="00A57BFB">
        <w:t xml:space="preserve">être décrites dans un document spécifiant </w:t>
      </w:r>
      <w:r w:rsidRPr="00C14C25">
        <w:t>quel</w:t>
      </w:r>
      <w:r w:rsidR="004033E4" w:rsidRPr="00C14C25">
        <w:t>(</w:t>
      </w:r>
      <w:r w:rsidRPr="00C14C25">
        <w:t>s</w:t>
      </w:r>
      <w:r w:rsidR="004033E4" w:rsidRPr="00C14C25">
        <w:t>)</w:t>
      </w:r>
      <w:r w:rsidRPr="00C14C25">
        <w:t xml:space="preserve"> contrôle</w:t>
      </w:r>
      <w:r w:rsidR="004033E4" w:rsidRPr="00C14C25">
        <w:t>(s)</w:t>
      </w:r>
      <w:r w:rsidRPr="00C14C25">
        <w:t xml:space="preserve"> périodique</w:t>
      </w:r>
      <w:r w:rsidR="004033E4" w:rsidRPr="00C14C25">
        <w:t>(s)</w:t>
      </w:r>
      <w:r w:rsidRPr="00C14C25">
        <w:t xml:space="preserve"> visé</w:t>
      </w:r>
      <w:r w:rsidR="004033E4" w:rsidRPr="00C14C25">
        <w:t>(</w:t>
      </w:r>
      <w:r w:rsidRPr="00C14C25">
        <w:t>s</w:t>
      </w:r>
      <w:r w:rsidR="004033E4" w:rsidRPr="00C14C25">
        <w:t>)</w:t>
      </w:r>
      <w:r w:rsidRPr="00C14C25">
        <w:t xml:space="preserve"> aux alinéas b) et/ou d) du paragraphe 6.2.1.6.1 doivent être remplacés. </w:t>
      </w:r>
    </w:p>
    <w:p w14:paraId="073D21A8" w14:textId="10B26423" w:rsidR="00794487" w:rsidRPr="00C14C25" w:rsidRDefault="00794487" w:rsidP="002128D5">
      <w:pPr>
        <w:pStyle w:val="SingleTxtG"/>
      </w:pPr>
      <w:r w:rsidRPr="00C14C25">
        <w:t>Ces méthodes</w:t>
      </w:r>
      <w:r w:rsidR="008E5C53" w:rsidRPr="00C14C25">
        <w:t xml:space="preserve"> </w:t>
      </w:r>
      <w:r w:rsidR="00C14C25" w:rsidRPr="00C14C25">
        <w:t>alternatives</w:t>
      </w:r>
      <w:r w:rsidRPr="00C14C25">
        <w:t>, combinées aux</w:t>
      </w:r>
      <w:r w:rsidR="00B16DD0" w:rsidRPr="00C14C25">
        <w:t xml:space="preserve"> </w:t>
      </w:r>
      <w:r w:rsidR="007E40BD" w:rsidRPr="00C14C25">
        <w:t xml:space="preserve">contrôles restants </w:t>
      </w:r>
      <w:r w:rsidRPr="00C14C25">
        <w:t>a) à e) du paragraphe 6.2.1.6.1 doivent garantir un niveau de sécurité au moins équivalent à celui appliqué aux récipients à pression de taille et d’utilisation similaires inspectés périodiquement conformément au paragraphe 6.2.3.5.1.</w:t>
      </w:r>
    </w:p>
    <w:p w14:paraId="4F40CC93" w14:textId="2B2DF94A" w:rsidR="00794487" w:rsidRPr="003D4D66" w:rsidRDefault="00794487" w:rsidP="002128D5">
      <w:pPr>
        <w:pStyle w:val="SingleTxtG"/>
      </w:pPr>
      <w:r w:rsidRPr="00C14C25">
        <w:t>La ou les</w:t>
      </w:r>
      <w:r w:rsidR="00B16DD0" w:rsidRPr="00C14C25">
        <w:t xml:space="preserve"> </w:t>
      </w:r>
      <w:r w:rsidRPr="00C14C25">
        <w:t xml:space="preserve">méthodes </w:t>
      </w:r>
      <w:r w:rsidR="00C14C25" w:rsidRPr="00C14C25">
        <w:t>alternatives</w:t>
      </w:r>
      <w:r w:rsidR="00A57BFB">
        <w:t xml:space="preserve"> </w:t>
      </w:r>
      <w:r w:rsidRPr="00C14C25">
        <w:t>doivent en outre</w:t>
      </w:r>
      <w:r w:rsidR="00B16DD0" w:rsidRPr="00C14C25">
        <w:t xml:space="preserve"> </w:t>
      </w:r>
      <w:r w:rsidRPr="00C14C25">
        <w:t>préciser</w:t>
      </w:r>
      <w:r>
        <w:t xml:space="preserve"> tous les éléments suivants</w:t>
      </w:r>
      <w:r w:rsidR="00B16DD0">
        <w:t> :</w:t>
      </w:r>
    </w:p>
    <w:p w14:paraId="03F4F321" w14:textId="77777777" w:rsidR="00794487" w:rsidRPr="002128D5" w:rsidRDefault="00794487" w:rsidP="002128D5">
      <w:pPr>
        <w:pStyle w:val="Bullet1G"/>
      </w:pPr>
      <w:r w:rsidRPr="002128D5">
        <w:t>Une description des types de récipients à pression visés</w:t>
      </w:r>
      <w:r w:rsidR="00B16DD0" w:rsidRPr="002128D5">
        <w:t> ;</w:t>
      </w:r>
    </w:p>
    <w:p w14:paraId="671FF6A7" w14:textId="777BC00A" w:rsidR="00794487" w:rsidRPr="002128D5" w:rsidRDefault="00794487" w:rsidP="002128D5">
      <w:pPr>
        <w:pStyle w:val="Bullet1G"/>
      </w:pPr>
      <w:r w:rsidRPr="002128D5">
        <w:t xml:space="preserve">La procédure </w:t>
      </w:r>
      <w:r w:rsidR="00C14C25">
        <w:t>de test</w:t>
      </w:r>
      <w:r w:rsidRPr="002128D5">
        <w:t>(s)</w:t>
      </w:r>
      <w:r w:rsidR="00B16DD0" w:rsidRPr="002128D5">
        <w:t> ;</w:t>
      </w:r>
    </w:p>
    <w:p w14:paraId="50465150" w14:textId="77777777" w:rsidR="00794487" w:rsidRPr="002128D5" w:rsidRDefault="00794487" w:rsidP="002128D5">
      <w:pPr>
        <w:pStyle w:val="Bullet1G"/>
      </w:pPr>
      <w:r w:rsidRPr="002128D5">
        <w:t>Les spécifications des critères d’acceptation</w:t>
      </w:r>
      <w:r w:rsidR="00B16DD0" w:rsidRPr="002128D5">
        <w:t> ;</w:t>
      </w:r>
      <w:r w:rsidRPr="002128D5">
        <w:t xml:space="preserve"> </w:t>
      </w:r>
    </w:p>
    <w:p w14:paraId="34AA5270" w14:textId="0FDE5BFE" w:rsidR="00794487" w:rsidRPr="002128D5" w:rsidRDefault="00794487" w:rsidP="002128D5">
      <w:pPr>
        <w:pStyle w:val="Bullet1G"/>
      </w:pPr>
      <w:r w:rsidRPr="002128D5">
        <w:t xml:space="preserve">Une description des mesures à prendre en </w:t>
      </w:r>
      <w:r w:rsidR="00A57BFB">
        <w:t xml:space="preserve">cas de rejet de </w:t>
      </w:r>
      <w:r w:rsidRPr="002128D5">
        <w:t>récipients sous pression.</w:t>
      </w:r>
    </w:p>
    <w:p w14:paraId="05296D81" w14:textId="538B778C" w:rsidR="00794487" w:rsidRPr="003D4D66" w:rsidRDefault="00794487" w:rsidP="002128D5">
      <w:pPr>
        <w:pStyle w:val="SingleTxtG"/>
        <w:keepNext/>
      </w:pPr>
      <w:r>
        <w:t>6.2.3.5.3.1</w:t>
      </w:r>
      <w:r>
        <w:tab/>
      </w:r>
      <w:r w:rsidR="00C14C25">
        <w:t xml:space="preserve">Contrôle </w:t>
      </w:r>
      <w:r>
        <w:t xml:space="preserve">non </w:t>
      </w:r>
      <w:r w:rsidR="00C14C25">
        <w:t xml:space="preserve">destructif </w:t>
      </w:r>
      <w:r>
        <w:t xml:space="preserve">en tant que </w:t>
      </w:r>
      <w:r w:rsidRPr="00C14C25">
        <w:t xml:space="preserve">méthode </w:t>
      </w:r>
      <w:r w:rsidR="00C14C25" w:rsidRPr="00C14C25">
        <w:t>alternative</w:t>
      </w:r>
    </w:p>
    <w:p w14:paraId="215AA709" w14:textId="595B1F19" w:rsidR="00794487" w:rsidRPr="003D4D66" w:rsidRDefault="00794487" w:rsidP="002128D5">
      <w:pPr>
        <w:pStyle w:val="SingleTxtG"/>
      </w:pPr>
      <w:r>
        <w:t xml:space="preserve">Le ou les contrôles précisés au paragraphe 6.2.3.5.3 doivent être complétés ou remplacés par une ou plusieurs méthodes </w:t>
      </w:r>
      <w:r w:rsidR="00C14C25">
        <w:t xml:space="preserve">de contrôle </w:t>
      </w:r>
      <w:r>
        <w:t xml:space="preserve">non </w:t>
      </w:r>
      <w:r w:rsidR="00C14C25">
        <w:t xml:space="preserve">destructif </w:t>
      </w:r>
      <w:r>
        <w:t>effectués sur chaque récipient à pression.</w:t>
      </w:r>
    </w:p>
    <w:p w14:paraId="2DC6CE73" w14:textId="34831840" w:rsidR="00794487" w:rsidRPr="003D4D66" w:rsidRDefault="00794487" w:rsidP="00FA3179">
      <w:pPr>
        <w:pStyle w:val="SingleTxtG"/>
        <w:keepNext/>
      </w:pPr>
      <w:r>
        <w:t>6.2.3.5.3.2</w:t>
      </w:r>
      <w:r>
        <w:tab/>
      </w:r>
      <w:r w:rsidR="00C14C25">
        <w:t xml:space="preserve">Contrôle </w:t>
      </w:r>
      <w:r>
        <w:t>destructi</w:t>
      </w:r>
      <w:r w:rsidR="00C14C25">
        <w:t>f</w:t>
      </w:r>
      <w:r>
        <w:t xml:space="preserve"> en tant que méthode </w:t>
      </w:r>
      <w:r w:rsidR="00DC0E0B">
        <w:t>alternative</w:t>
      </w:r>
    </w:p>
    <w:p w14:paraId="3EEAE4E0" w14:textId="40C0000B" w:rsidR="00794487" w:rsidRPr="003D4D66" w:rsidRDefault="00794487" w:rsidP="00794487">
      <w:pPr>
        <w:pStyle w:val="SingleTxtG"/>
      </w:pPr>
      <w:r>
        <w:t xml:space="preserve">Si aucune méthode </w:t>
      </w:r>
      <w:r w:rsidR="00DC0E0B">
        <w:t xml:space="preserve">de contrôle </w:t>
      </w:r>
      <w:r>
        <w:t xml:space="preserve">non </w:t>
      </w:r>
      <w:r w:rsidR="00DC0E0B">
        <w:t xml:space="preserve">destructif </w:t>
      </w:r>
      <w:r>
        <w:t>n’assure un niveau de sécurité équivalent, le ou les contrôles identifiés au paragraphe 6.2.3.5.3</w:t>
      </w:r>
      <w:r w:rsidR="00A53875">
        <w:t>, à l’exception de l’inspection interne mentionnée au 6.2.1.6.1 b) dans ce cas,</w:t>
      </w:r>
      <w:r>
        <w:t xml:space="preserve"> doivent être complétés ou remplacés par une ou plusieurs méthodes </w:t>
      </w:r>
      <w:r w:rsidR="00DC0E0B">
        <w:t xml:space="preserve">de contrôle destructif </w:t>
      </w:r>
      <w:r>
        <w:t>en combinaison avec leur évaluation statistique.</w:t>
      </w:r>
      <w:bookmarkStart w:id="0" w:name="_GoBack"/>
      <w:bookmarkEnd w:id="0"/>
    </w:p>
    <w:p w14:paraId="545B29B5" w14:textId="79202C82" w:rsidR="00794487" w:rsidRPr="003D4D66" w:rsidRDefault="00794487" w:rsidP="00FA3179">
      <w:pPr>
        <w:pStyle w:val="SingleTxtG"/>
        <w:keepNext/>
      </w:pPr>
      <w:r>
        <w:lastRenderedPageBreak/>
        <w:t xml:space="preserve">Outre les éléments décrits </w:t>
      </w:r>
      <w:r w:rsidR="00A53875">
        <w:t>ci-dessus</w:t>
      </w:r>
      <w:r>
        <w:t xml:space="preserve">, la méthode </w:t>
      </w:r>
      <w:r w:rsidR="00057B6B">
        <w:t xml:space="preserve">de contrôle destructif </w:t>
      </w:r>
      <w:r>
        <w:t>détaillée doit</w:t>
      </w:r>
      <w:r w:rsidR="00B16DD0">
        <w:t xml:space="preserve"> </w:t>
      </w:r>
      <w:r w:rsidRPr="00F00677">
        <w:t xml:space="preserve">préciser </w:t>
      </w:r>
      <w:r>
        <w:t>les éléments suivants</w:t>
      </w:r>
      <w:r w:rsidR="00B16DD0">
        <w:t> :</w:t>
      </w:r>
    </w:p>
    <w:p w14:paraId="485BF7C5" w14:textId="3B34BEF8" w:rsidR="00794487" w:rsidRPr="00FA3179" w:rsidRDefault="00794487" w:rsidP="00FA3179">
      <w:pPr>
        <w:pStyle w:val="Bullet1G"/>
      </w:pPr>
      <w:r w:rsidRPr="00FA3179">
        <w:t xml:space="preserve">Une description de la population </w:t>
      </w:r>
      <w:r w:rsidR="00A53875">
        <w:t xml:space="preserve">de base </w:t>
      </w:r>
      <w:r w:rsidRPr="00FA3179">
        <w:t xml:space="preserve">de récipients à pression </w:t>
      </w:r>
      <w:r w:rsidR="00057B6B" w:rsidRPr="00FA3179">
        <w:t>visé</w:t>
      </w:r>
      <w:r w:rsidR="00057B6B">
        <w:t>e</w:t>
      </w:r>
      <w:r w:rsidR="00057B6B" w:rsidRPr="00FA3179">
        <w:t> </w:t>
      </w:r>
      <w:r w:rsidR="00B16DD0" w:rsidRPr="00FA3179">
        <w:t>;</w:t>
      </w:r>
    </w:p>
    <w:p w14:paraId="0B3D1371" w14:textId="1279A0CB" w:rsidR="00794487" w:rsidRPr="00FA3179" w:rsidRDefault="00794487" w:rsidP="00FA3179">
      <w:pPr>
        <w:pStyle w:val="Bullet1G"/>
      </w:pPr>
      <w:r w:rsidRPr="00FA3179">
        <w:t xml:space="preserve">Une procédure d’échantillonnage aléatoire des récipients à pression individuels devant être </w:t>
      </w:r>
      <w:r w:rsidR="00057B6B">
        <w:t>contrôlés</w:t>
      </w:r>
      <w:r w:rsidR="00057B6B" w:rsidRPr="00FA3179">
        <w:t> </w:t>
      </w:r>
      <w:r w:rsidR="00B16DD0" w:rsidRPr="00FA3179">
        <w:t>;</w:t>
      </w:r>
    </w:p>
    <w:p w14:paraId="411F857B" w14:textId="1D95A4C8" w:rsidR="00794487" w:rsidRPr="00FA3179" w:rsidRDefault="00794487" w:rsidP="00FA3179">
      <w:pPr>
        <w:pStyle w:val="Bullet1G"/>
      </w:pPr>
      <w:r w:rsidRPr="00FA3179">
        <w:t>Une procédure d’évaluation statisti</w:t>
      </w:r>
      <w:r w:rsidR="00FA3179">
        <w:t xml:space="preserve">que des résultats de </w:t>
      </w:r>
      <w:r w:rsidR="00A53875">
        <w:t>contrôle, intégrant des critères de rejet ;</w:t>
      </w:r>
    </w:p>
    <w:p w14:paraId="715098B2" w14:textId="18C829F1" w:rsidR="00794487" w:rsidRPr="00FA3179" w:rsidRDefault="00794487" w:rsidP="00FA3179">
      <w:pPr>
        <w:pStyle w:val="Bullet1G"/>
      </w:pPr>
      <w:r w:rsidRPr="00FA3179">
        <w:t xml:space="preserve">Une spécification de la périodicité des </w:t>
      </w:r>
      <w:r w:rsidR="00057B6B">
        <w:t>contrôles</w:t>
      </w:r>
      <w:r w:rsidR="00057B6B" w:rsidRPr="00FA3179">
        <w:t xml:space="preserve"> destructi</w:t>
      </w:r>
      <w:r w:rsidR="00057B6B">
        <w:t>f</w:t>
      </w:r>
      <w:r w:rsidR="00057B6B" w:rsidRPr="00FA3179">
        <w:t>s </w:t>
      </w:r>
      <w:r w:rsidR="00B16DD0" w:rsidRPr="00FA3179">
        <w:t>;</w:t>
      </w:r>
      <w:r w:rsidRPr="00FA3179">
        <w:t xml:space="preserve"> </w:t>
      </w:r>
    </w:p>
    <w:p w14:paraId="3BFEDCC6" w14:textId="3A5BD1D4" w:rsidR="00794487" w:rsidRPr="00FA3179" w:rsidRDefault="00794487" w:rsidP="00FA3179">
      <w:pPr>
        <w:pStyle w:val="Bullet1G"/>
      </w:pPr>
      <w:r w:rsidRPr="00FA3179">
        <w:t>Une description des mesures à prendre si les critères d’acceptation sont remplis mais qu’on observe une dégradation des propriétés des matériaux qui présente un danger</w:t>
      </w:r>
      <w:r w:rsidR="00A53875">
        <w:t>, qui pourrait être utiliser pour déterminer</w:t>
      </w:r>
      <w:r w:rsidR="00B16DD0" w:rsidRPr="00FA3179">
        <w:t xml:space="preserve"> </w:t>
      </w:r>
      <w:r w:rsidRPr="00FA3179">
        <w:t>la fin de la durée de service</w:t>
      </w:r>
      <w:r w:rsidR="00B16DD0" w:rsidRPr="00FA3179">
        <w:t> ;</w:t>
      </w:r>
    </w:p>
    <w:p w14:paraId="3B68785D" w14:textId="04F0D8E9" w:rsidR="00794487" w:rsidRPr="003D4D66" w:rsidRDefault="00794487" w:rsidP="00FA3179">
      <w:pPr>
        <w:pStyle w:val="Bullet1G"/>
      </w:pPr>
      <w:r w:rsidRPr="00FA3179">
        <w:t xml:space="preserve">Une évaluation statistique du niveau de sécurité atteint au moyen de la méthode </w:t>
      </w:r>
      <w:r w:rsidR="00057B6B">
        <w:t>alternative</w:t>
      </w:r>
      <w:r>
        <w:t>. ».</w:t>
      </w:r>
    </w:p>
    <w:p w14:paraId="31DE58DC" w14:textId="39F19292" w:rsidR="00794487" w:rsidRPr="001834C3" w:rsidRDefault="00794487" w:rsidP="00FA3179">
      <w:pPr>
        <w:pStyle w:val="H1G"/>
      </w:pPr>
      <w:r>
        <w:tab/>
      </w:r>
      <w:r>
        <w:tab/>
        <w:t xml:space="preserve">Proposition 2 </w:t>
      </w:r>
      <w:r w:rsidR="00FA3179">
        <w:t>−</w:t>
      </w:r>
      <w:r>
        <w:t xml:space="preserve"> Méthode </w:t>
      </w:r>
      <w:r w:rsidR="00716865">
        <w:t>alternative</w:t>
      </w:r>
      <w:r>
        <w:t xml:space="preserve"> pour le contrôle périodique des</w:t>
      </w:r>
      <w:r w:rsidR="00FA3179">
        <w:t> </w:t>
      </w:r>
      <w:r>
        <w:t>bouteilles surmoulées</w:t>
      </w:r>
    </w:p>
    <w:p w14:paraId="3A03B7EE" w14:textId="77777777" w:rsidR="00794487" w:rsidRPr="00D0202E" w:rsidRDefault="00794487" w:rsidP="00FA3179">
      <w:pPr>
        <w:pStyle w:val="SingleTxtG"/>
      </w:pPr>
      <w:r w:rsidRPr="00D0202E">
        <w:t>15.</w:t>
      </w:r>
      <w:r w:rsidRPr="00D0202E">
        <w:tab/>
        <w:t>Ajouter la définition suivante à la section 1.2.1</w:t>
      </w:r>
      <w:r w:rsidR="00B16DD0">
        <w:t> :</w:t>
      </w:r>
    </w:p>
    <w:p w14:paraId="3BB3EE4B" w14:textId="77777777" w:rsidR="00794487" w:rsidRPr="00D0202E" w:rsidRDefault="00794487" w:rsidP="00FA3179">
      <w:pPr>
        <w:pStyle w:val="SingleTxtG"/>
      </w:pPr>
      <w:r w:rsidRPr="00D0202E">
        <w:t>«</w:t>
      </w:r>
      <w:r w:rsidR="00FA3179">
        <w:t> </w:t>
      </w:r>
      <w:r w:rsidRPr="00D0202E">
        <w:t>“</w:t>
      </w:r>
      <w:r w:rsidRPr="00743459">
        <w:rPr>
          <w:i/>
        </w:rPr>
        <w:t>Bouteille surmoulée</w:t>
      </w:r>
      <w:r w:rsidRPr="00D0202E">
        <w:t>”, une bouteille destinée au transport de GPL d</w:t>
      </w:r>
      <w:r>
        <w:t>’</w:t>
      </w:r>
      <w:r w:rsidRPr="00D0202E">
        <w:t>une capa</w:t>
      </w:r>
      <w:r w:rsidR="00FA3179">
        <w:t>cité en eau ne dépassant pas 13 </w:t>
      </w:r>
      <w:r w:rsidRPr="00D0202E">
        <w:t>l constituée d</w:t>
      </w:r>
      <w:r>
        <w:t>’</w:t>
      </w:r>
      <w:r w:rsidRPr="00D0202E">
        <w:t xml:space="preserve">un récipient intérieur à pression en acier soudé </w:t>
      </w:r>
      <w:r w:rsidR="00FA3179">
        <w:t>revêtu,</w:t>
      </w:r>
      <w:r w:rsidRPr="00D0202E">
        <w:t xml:space="preserve"> protégé par une enveloppe surmoulée de matériau plastique cellulaire collée de manière indissociable à la paroi extérieure du récipient</w:t>
      </w:r>
      <w:r w:rsidR="00B16DD0">
        <w:t> ;</w:t>
      </w:r>
      <w:r w:rsidR="00FA3179">
        <w:t> </w:t>
      </w:r>
      <w:r w:rsidRPr="00D0202E">
        <w:t>».</w:t>
      </w:r>
    </w:p>
    <w:p w14:paraId="00C97C01" w14:textId="77777777" w:rsidR="00794487" w:rsidRDefault="00794487" w:rsidP="00FA3179">
      <w:pPr>
        <w:pStyle w:val="SingleTxtG"/>
      </w:pPr>
      <w:r w:rsidRPr="00D0202E">
        <w:t>16.</w:t>
      </w:r>
      <w:r w:rsidRPr="00D0202E">
        <w:tab/>
        <w:t>Ajouter la mention «</w:t>
      </w:r>
      <w:r w:rsidR="00FA3179">
        <w:t> </w:t>
      </w:r>
      <w:r w:rsidRPr="00D0202E">
        <w:t>6XY</w:t>
      </w:r>
      <w:r w:rsidR="00FA3179">
        <w:t> </w:t>
      </w:r>
      <w:r w:rsidRPr="00D0202E">
        <w:t xml:space="preserve">» dans la colonne (6) de la Liste des marchandises dangereuses, aux rubriques correspondant aux </w:t>
      </w:r>
      <w:r w:rsidR="00FA3179">
        <w:t>Nos </w:t>
      </w:r>
      <w:r w:rsidRPr="00D0202E">
        <w:t>ONU 1011, 1075, 1965, 1969 et 1978.</w:t>
      </w:r>
    </w:p>
    <w:p w14:paraId="4CA6F426" w14:textId="77777777" w:rsidR="00794487" w:rsidRPr="000072E9" w:rsidRDefault="00794487" w:rsidP="00FA3179">
      <w:pPr>
        <w:pStyle w:val="SingleTxtG"/>
      </w:pPr>
      <w:r>
        <w:t>17.</w:t>
      </w:r>
      <w:r>
        <w:tab/>
        <w:t>Ajouter les spécifications suivantes relatives au contrôle périodique des bouteilles surmoulées dans un nouveau paragraphe 6.2.3.5.4 ainsi conçu</w:t>
      </w:r>
      <w:r w:rsidR="00B16DD0">
        <w:t> :</w:t>
      </w:r>
    </w:p>
    <w:p w14:paraId="3BF14214" w14:textId="77777777" w:rsidR="00794487" w:rsidRPr="000072E9" w:rsidRDefault="00794487" w:rsidP="00391DFC">
      <w:pPr>
        <w:pStyle w:val="SingleTxtG"/>
      </w:pPr>
      <w:r>
        <w:t>«</w:t>
      </w:r>
      <w:r w:rsidR="00FA3179">
        <w:t> 6.2.3.5.4</w:t>
      </w:r>
      <w:r w:rsidR="00FA3179">
        <w:tab/>
      </w:r>
      <w:r>
        <w:t>Les bouteilles surmoulées doivent subir des contrôles et des épreuves périodiques conformément à la dispositi</w:t>
      </w:r>
      <w:r w:rsidR="00391DFC">
        <w:t>on spéciale 6XY du chapitre 3.3</w:t>
      </w:r>
      <w:r w:rsidR="000A57D6">
        <w:t>.</w:t>
      </w:r>
      <w:r w:rsidR="00391DFC">
        <w:t> </w:t>
      </w:r>
      <w:r>
        <w:t>».</w:t>
      </w:r>
    </w:p>
    <w:p w14:paraId="3180CA44" w14:textId="77777777" w:rsidR="00794487" w:rsidRPr="00B8339B" w:rsidRDefault="00794487" w:rsidP="00391DFC">
      <w:pPr>
        <w:pStyle w:val="SingleTxtG"/>
      </w:pPr>
      <w:r>
        <w:t>18.</w:t>
      </w:r>
      <w:r>
        <w:tab/>
        <w:t>Ajouter une nouvelle disposition spéciale</w:t>
      </w:r>
      <w:r w:rsidR="00B16DD0">
        <w:t xml:space="preserve"> </w:t>
      </w:r>
      <w:r>
        <w:t>à la section 3.3.1</w:t>
      </w:r>
      <w:r w:rsidR="00B16DD0">
        <w:t> :</w:t>
      </w:r>
    </w:p>
    <w:p w14:paraId="34DC53BE" w14:textId="77777777" w:rsidR="00794487" w:rsidRDefault="00391DFC" w:rsidP="00593A6D">
      <w:pPr>
        <w:pStyle w:val="SingleTxtG"/>
        <w:tabs>
          <w:tab w:val="left" w:pos="1985"/>
        </w:tabs>
      </w:pPr>
      <w:r>
        <w:t>« </w:t>
      </w:r>
      <w:r w:rsidR="00794487">
        <w:t>6XY</w:t>
      </w:r>
      <w:r w:rsidR="00593A6D">
        <w:tab/>
      </w:r>
      <w:r w:rsidR="00794487">
        <w:t xml:space="preserve">Cette rubrique s’applique aux bouteilles surmoulées telles qu’elles sont définies </w:t>
      </w:r>
      <w:r>
        <w:t>à la section 1.2.1</w:t>
      </w:r>
      <w:r w:rsidR="00794487">
        <w:t>.</w:t>
      </w:r>
    </w:p>
    <w:p w14:paraId="03856CFB" w14:textId="77777777" w:rsidR="00794487" w:rsidRDefault="00794487" w:rsidP="00794487">
      <w:pPr>
        <w:pStyle w:val="SingleTxtG"/>
      </w:pPr>
      <w:r>
        <w:t>Les bouteilles surmoulées doivent être soumises à des contrôles périodiques conformément aux prescriptions du paragraphe 6.2.1.6.1, modifié comme suit</w:t>
      </w:r>
      <w:r w:rsidR="00B16DD0">
        <w:t> :</w:t>
      </w:r>
    </w:p>
    <w:p w14:paraId="30B27B34" w14:textId="2B175312" w:rsidR="00794487" w:rsidRPr="00593A6D" w:rsidRDefault="00794487" w:rsidP="00593A6D">
      <w:pPr>
        <w:pStyle w:val="Bullet1G"/>
      </w:pPr>
      <w:r w:rsidRPr="00593A6D">
        <w:t xml:space="preserve">Remplacer le contrôle d) prescrit au paragraphe 6.2.1.6.1 par </w:t>
      </w:r>
      <w:r w:rsidR="00B923C2">
        <w:t>un contrôle</w:t>
      </w:r>
      <w:r w:rsidRPr="00593A6D">
        <w:t xml:space="preserve"> </w:t>
      </w:r>
      <w:r w:rsidR="00B923C2" w:rsidRPr="00593A6D">
        <w:t>destru</w:t>
      </w:r>
      <w:r w:rsidR="00B923C2">
        <w:t xml:space="preserve">ctif </w:t>
      </w:r>
      <w:r w:rsidR="00593A6D">
        <w:t>de substitution ;</w:t>
      </w:r>
    </w:p>
    <w:p w14:paraId="4A2D3F33" w14:textId="15690281" w:rsidR="00794487" w:rsidRDefault="00664D84" w:rsidP="00593A6D">
      <w:pPr>
        <w:pStyle w:val="Bullet1G"/>
      </w:pPr>
      <w:r>
        <w:t>P</w:t>
      </w:r>
      <w:r w:rsidR="00B923C2">
        <w:t>ratiquer des contrôles</w:t>
      </w:r>
      <w:r w:rsidR="00794487" w:rsidRPr="00593A6D">
        <w:t xml:space="preserve"> </w:t>
      </w:r>
      <w:r w:rsidR="00B923C2" w:rsidRPr="00593A6D">
        <w:t>destructi</w:t>
      </w:r>
      <w:r w:rsidR="00B923C2">
        <w:t>f</w:t>
      </w:r>
      <w:r w:rsidR="00B923C2" w:rsidRPr="00593A6D">
        <w:t xml:space="preserve">s </w:t>
      </w:r>
      <w:r w:rsidR="00794487" w:rsidRPr="00593A6D">
        <w:t xml:space="preserve">spécifiques supplémentaires </w:t>
      </w:r>
      <w:r w:rsidR="00B923C2" w:rsidRPr="00593A6D">
        <w:t>relati</w:t>
      </w:r>
      <w:r w:rsidR="00B923C2">
        <w:t>f</w:t>
      </w:r>
      <w:r w:rsidR="00B923C2" w:rsidRPr="00593A6D">
        <w:t xml:space="preserve">s </w:t>
      </w:r>
      <w:r w:rsidR="00936DC8">
        <w:t>aux caractéristiques</w:t>
      </w:r>
      <w:r w:rsidR="00794487" w:rsidRPr="00593A6D">
        <w:t xml:space="preserve"> des</w:t>
      </w:r>
      <w:r w:rsidR="00794487">
        <w:t xml:space="preserve"> bouteilles surmoulées. </w:t>
      </w:r>
    </w:p>
    <w:p w14:paraId="44DE620A" w14:textId="77777777" w:rsidR="00794487" w:rsidRDefault="00794487" w:rsidP="00794487">
      <w:pPr>
        <w:pStyle w:val="SingleTxtG"/>
      </w:pPr>
      <w:r>
        <w:t>Les procédures et les prescriptions relatives à cette méthode d</w:t>
      </w:r>
      <w:r w:rsidR="000A57D6">
        <w:t>e substitution sont décrites ci</w:t>
      </w:r>
      <w:r w:rsidR="000A57D6">
        <w:noBreakHyphen/>
      </w:r>
      <w:r>
        <w:t>après.</w:t>
      </w:r>
    </w:p>
    <w:p w14:paraId="226403A9" w14:textId="77777777" w:rsidR="00794487" w:rsidRPr="00B8339B" w:rsidRDefault="00794487" w:rsidP="007C3583">
      <w:pPr>
        <w:pStyle w:val="SingleTxtG"/>
        <w:keepNext/>
      </w:pPr>
      <w:r>
        <w:t>Méthode de substitution</w:t>
      </w:r>
      <w:r w:rsidR="00B16DD0">
        <w:t> :</w:t>
      </w:r>
    </w:p>
    <w:p w14:paraId="71ED1EB1" w14:textId="77777777" w:rsidR="00794487" w:rsidRPr="00B8339B" w:rsidRDefault="00794487" w:rsidP="007C3583">
      <w:pPr>
        <w:pStyle w:val="SingleTxtG"/>
        <w:keepNext/>
        <w:ind w:left="2268" w:hanging="567"/>
      </w:pPr>
      <w:r>
        <w:t>a)</w:t>
      </w:r>
      <w:r>
        <w:tab/>
        <w:t>Dispositions générales</w:t>
      </w:r>
    </w:p>
    <w:p w14:paraId="30BF6443" w14:textId="77777777" w:rsidR="00794487" w:rsidRDefault="00794487" w:rsidP="00F338F3">
      <w:pPr>
        <w:pStyle w:val="SingleTxtG"/>
        <w:ind w:left="2268"/>
      </w:pPr>
      <w:r>
        <w:t>Les dispositions suivantes s’appliquent aux bouteilles surmoulées construites en série à partir de bouteilles en acier soudées conformément aux normes prEN</w:t>
      </w:r>
      <w:r w:rsidR="00D32D33">
        <w:t> </w:t>
      </w:r>
      <w:r>
        <w:t>1442</w:t>
      </w:r>
      <w:r w:rsidR="00E627A6">
        <w:t>:20</w:t>
      </w:r>
      <w:r>
        <w:t>14, EN</w:t>
      </w:r>
      <w:r w:rsidR="00D32D33">
        <w:t> </w:t>
      </w:r>
      <w:r>
        <w:t>14140</w:t>
      </w:r>
      <w:r w:rsidR="00E627A6">
        <w:t>:20</w:t>
      </w:r>
      <w:r>
        <w:t>15 ou à l’annexe I, parties 1 à 3, de la Directive 84/527/CEE du Conseil. La conception de l’enveloppe surmoulée doit prévenir l’infiltration d’eau jusqu’au récipient intérieur en acier. Le procédé de transformation du récipient intérieur en acier en une bouteille surmoulée doit satisfaire aux dispositions applicables des normes prEN</w:t>
      </w:r>
      <w:r w:rsidR="00D32D33">
        <w:t> </w:t>
      </w:r>
      <w:r>
        <w:t>1442</w:t>
      </w:r>
      <w:r w:rsidR="00B16DD0">
        <w:t>:</w:t>
      </w:r>
      <w:r>
        <w:t>2014 et EN</w:t>
      </w:r>
      <w:r w:rsidR="00D32D33">
        <w:t> </w:t>
      </w:r>
      <w:r>
        <w:t>14140</w:t>
      </w:r>
      <w:r w:rsidR="00B16DD0">
        <w:t>:</w:t>
      </w:r>
      <w:r>
        <w:t>2015.</w:t>
      </w:r>
    </w:p>
    <w:p w14:paraId="397630D6" w14:textId="77777777" w:rsidR="00794487" w:rsidRDefault="00794487" w:rsidP="00C21489">
      <w:pPr>
        <w:pStyle w:val="SingleTxtG"/>
        <w:ind w:left="2268"/>
      </w:pPr>
      <w:r>
        <w:lastRenderedPageBreak/>
        <w:t>Les bouteilles surmoulées doivent être munies de dispositifs de fermeture automatique.</w:t>
      </w:r>
    </w:p>
    <w:p w14:paraId="063C5B10" w14:textId="77777777" w:rsidR="00794487" w:rsidRPr="00B8339B" w:rsidRDefault="00794487" w:rsidP="007C3583">
      <w:pPr>
        <w:pStyle w:val="SingleTxtG"/>
        <w:keepNext/>
        <w:ind w:left="2268" w:hanging="567"/>
      </w:pPr>
      <w:r>
        <w:t>b)</w:t>
      </w:r>
      <w:r>
        <w:tab/>
        <w:t>Population de base</w:t>
      </w:r>
    </w:p>
    <w:p w14:paraId="547E15B5" w14:textId="1B47A971" w:rsidR="00794487" w:rsidRDefault="00794487" w:rsidP="000D0440">
      <w:pPr>
        <w:pStyle w:val="SingleTxtG"/>
        <w:ind w:left="2268"/>
      </w:pPr>
      <w:r>
        <w:t>Une population de base de bouteilles surmoulées est définie comme étant la production des bouteilles provenant d’une même entreprise de surmoulage utilisant des récipients intérieurs fabriqués par un même fabricant au cours d’une même année civile, utilisant le même modèle type et les mêmes matériaux et procédés de production.</w:t>
      </w:r>
    </w:p>
    <w:p w14:paraId="041390A2" w14:textId="18F35A0F" w:rsidR="00794487" w:rsidRDefault="00794487" w:rsidP="007C3583">
      <w:pPr>
        <w:pStyle w:val="SingleTxtG"/>
        <w:keepNext/>
        <w:ind w:left="2268" w:hanging="567"/>
      </w:pPr>
      <w:r>
        <w:t>c)</w:t>
      </w:r>
      <w:r>
        <w:tab/>
      </w:r>
      <w:r w:rsidR="00924FF2">
        <w:t>Sous-</w:t>
      </w:r>
      <w:r>
        <w:t>Groupe de population</w:t>
      </w:r>
      <w:r w:rsidR="00924FF2">
        <w:t xml:space="preserve"> de base</w:t>
      </w:r>
    </w:p>
    <w:p w14:paraId="7DA03C16" w14:textId="1E10610A" w:rsidR="00794487" w:rsidRPr="00042A4E" w:rsidRDefault="00794487" w:rsidP="000D0440">
      <w:pPr>
        <w:pStyle w:val="SingleTxtG"/>
        <w:ind w:left="2268"/>
      </w:pPr>
      <w:r>
        <w:t xml:space="preserve">Au sein de la population de base définie ci-dessus, les bouteilles surmoulées utilisées par différents propriétaires peuvent être séparées en </w:t>
      </w:r>
      <w:r w:rsidR="00924FF2">
        <w:t>sous-</w:t>
      </w:r>
      <w:r>
        <w:t>groupes spécifiques.</w:t>
      </w:r>
    </w:p>
    <w:p w14:paraId="072E22C3" w14:textId="77777777" w:rsidR="00794487" w:rsidRPr="00B8339B" w:rsidRDefault="00794487" w:rsidP="007C3583">
      <w:pPr>
        <w:pStyle w:val="SingleTxtG"/>
        <w:keepNext/>
        <w:ind w:left="2268" w:hanging="567"/>
      </w:pPr>
      <w:r>
        <w:t>d)</w:t>
      </w:r>
      <w:r>
        <w:tab/>
        <w:t>Traçabilité</w:t>
      </w:r>
    </w:p>
    <w:p w14:paraId="0FF8559B" w14:textId="77777777" w:rsidR="00794487" w:rsidRPr="00B8339B" w:rsidRDefault="00794487" w:rsidP="000D0440">
      <w:pPr>
        <w:pStyle w:val="SingleTxtG"/>
        <w:ind w:left="2268"/>
      </w:pPr>
      <w:r>
        <w:t>Le marquage des bouteilles en acier conformément au paragraphe 6.2.3.9 doit être reproduit sur le surmoulage. En outre, chaque bouteille surmoulée doit être munie d’un robuste dispositif individuel d’identification électronique. Les caractéristiques détaillées des bouteilles surmoulées</w:t>
      </w:r>
      <w:r w:rsidR="00B16DD0">
        <w:t xml:space="preserve"> </w:t>
      </w:r>
      <w:r>
        <w:t>doivent être enregistrées par le propriétaire dans une base de données centrale. Cette base de données doit permettre</w:t>
      </w:r>
      <w:r w:rsidR="00B16DD0">
        <w:t> :</w:t>
      </w:r>
    </w:p>
    <w:p w14:paraId="44F8C8B7" w14:textId="5004E46B" w:rsidR="00794487" w:rsidRDefault="00794487" w:rsidP="00E627A6">
      <w:pPr>
        <w:pStyle w:val="Bullet2G"/>
      </w:pPr>
      <w:r>
        <w:t xml:space="preserve">D’identifier le </w:t>
      </w:r>
      <w:r w:rsidR="00924FF2">
        <w:t>sous-</w:t>
      </w:r>
      <w:r>
        <w:t>groupe particulier</w:t>
      </w:r>
      <w:r w:rsidR="00B16DD0">
        <w:t> ;</w:t>
      </w:r>
    </w:p>
    <w:p w14:paraId="1738F12B" w14:textId="595DC050" w:rsidR="00794487" w:rsidRPr="00B8339B" w:rsidRDefault="00794487" w:rsidP="00E627A6">
      <w:pPr>
        <w:pStyle w:val="Bullet2G"/>
      </w:pPr>
      <w:r>
        <w:t xml:space="preserve">Aux organismes de contrôle, aux centres </w:t>
      </w:r>
      <w:r w:rsidR="0011146F">
        <w:t>d’emplissage</w:t>
      </w:r>
      <w:r>
        <w:t xml:space="preserve"> ou aux autorités compétentes de retrouver les caractéristiques techniques spécifiques des bouteilles (notamment le numéro de série, le lot de production des bouteilles en acier et le lot de production des surmoulages, ainsi que la date du surmoulage)</w:t>
      </w:r>
      <w:r w:rsidR="00B16DD0">
        <w:t> ;</w:t>
      </w:r>
      <w:r>
        <w:t xml:space="preserve"> </w:t>
      </w:r>
    </w:p>
    <w:p w14:paraId="7E88CC8B" w14:textId="3AB49E4B" w:rsidR="00794487" w:rsidRPr="00B8339B" w:rsidRDefault="00794487" w:rsidP="00E627A6">
      <w:pPr>
        <w:pStyle w:val="Bullet2G"/>
      </w:pPr>
      <w:r>
        <w:t>D’identifier la bouteille en faisant le lien entre le dispositif électronique et la base de données</w:t>
      </w:r>
      <w:r w:rsidR="00924FF2">
        <w:t>, grâce au numéro de série</w:t>
      </w:r>
      <w:r w:rsidR="00B16DD0">
        <w:t> ;</w:t>
      </w:r>
    </w:p>
    <w:p w14:paraId="611BED1A" w14:textId="567B438B" w:rsidR="00794487" w:rsidRPr="00B8339B" w:rsidRDefault="00794487" w:rsidP="00E627A6">
      <w:pPr>
        <w:pStyle w:val="Bullet2G"/>
      </w:pPr>
      <w:r>
        <w:t>De vérifier l’historique de chaque bouteille et de déterminer les mesures à prendre (par exemple</w:t>
      </w:r>
      <w:r w:rsidR="00B16DD0">
        <w:t> :</w:t>
      </w:r>
      <w:r>
        <w:t xml:space="preserve"> emplissage, échantillonnage, nouveaux essais, retrait)</w:t>
      </w:r>
      <w:r w:rsidR="00B16DD0">
        <w:t> ;</w:t>
      </w:r>
    </w:p>
    <w:p w14:paraId="0763DAFC" w14:textId="77777777" w:rsidR="00794487" w:rsidRPr="00B8339B" w:rsidRDefault="00794487" w:rsidP="00E627A6">
      <w:pPr>
        <w:pStyle w:val="Bullet2G"/>
      </w:pPr>
      <w:r>
        <w:t>D’enregistrer les mesures prises, notamment la date et l’adresse du lieu de leur mise en œuvre.</w:t>
      </w:r>
    </w:p>
    <w:p w14:paraId="1CD4B58A" w14:textId="59A8BDED" w:rsidR="00794487" w:rsidRDefault="00794487" w:rsidP="000D0440">
      <w:pPr>
        <w:pStyle w:val="SingleTxtG"/>
        <w:ind w:left="2268"/>
      </w:pPr>
      <w:r>
        <w:t xml:space="preserve">Les données enregistrées doivent être conservées à disposition par le propriétaire des bouteilles surmoulées pendant toute la durée de vie du </w:t>
      </w:r>
      <w:r w:rsidR="00924FF2">
        <w:t>sous-</w:t>
      </w:r>
      <w:r>
        <w:t>groupe.</w:t>
      </w:r>
    </w:p>
    <w:p w14:paraId="27452742" w14:textId="77777777" w:rsidR="00794487" w:rsidRPr="00B8339B" w:rsidRDefault="00794487" w:rsidP="007C3583">
      <w:pPr>
        <w:pStyle w:val="SingleTxtG"/>
        <w:keepNext/>
        <w:ind w:left="2268" w:hanging="567"/>
      </w:pPr>
      <w:r>
        <w:t>e)</w:t>
      </w:r>
      <w:r>
        <w:tab/>
        <w:t>Échantillonnage pour évaluation statistique</w:t>
      </w:r>
    </w:p>
    <w:p w14:paraId="22FFC454" w14:textId="25DE42B5" w:rsidR="00794487" w:rsidRDefault="00794487" w:rsidP="000D0440">
      <w:pPr>
        <w:pStyle w:val="SingleTxtG"/>
        <w:ind w:left="2268"/>
      </w:pPr>
      <w:r>
        <w:t xml:space="preserve">L’échantillonnage doit être effectué de manière aléatoire parmi un </w:t>
      </w:r>
      <w:r w:rsidR="00CA3552">
        <w:t>sous-</w:t>
      </w:r>
      <w:r>
        <w:t xml:space="preserve">groupe tel qu’indiqué à l’alinéa c). La taille de chaque échantillon par </w:t>
      </w:r>
      <w:r w:rsidR="00CA3552">
        <w:t>sous-</w:t>
      </w:r>
      <w:r>
        <w:t>groupe doit être conforme au tableau de l’alinéa g).</w:t>
      </w:r>
    </w:p>
    <w:p w14:paraId="491B8A94" w14:textId="61C612A3" w:rsidR="00794487" w:rsidRDefault="00794487" w:rsidP="007C3583">
      <w:pPr>
        <w:pStyle w:val="SingleTxtG"/>
        <w:keepNext/>
        <w:ind w:left="2268" w:hanging="567"/>
      </w:pPr>
      <w:r>
        <w:t>f)</w:t>
      </w:r>
      <w:r>
        <w:tab/>
        <w:t xml:space="preserve">Procédure </w:t>
      </w:r>
      <w:r w:rsidR="0011146F">
        <w:t>de contrôle destructif </w:t>
      </w:r>
      <w:r w:rsidR="00B16DD0">
        <w:t>;</w:t>
      </w:r>
    </w:p>
    <w:p w14:paraId="40A03538" w14:textId="027D3788" w:rsidR="00794487" w:rsidRPr="00B8339B" w:rsidRDefault="00794487" w:rsidP="000D0440">
      <w:pPr>
        <w:pStyle w:val="SingleTxtG"/>
        <w:ind w:left="2268"/>
      </w:pPr>
      <w:r>
        <w:t xml:space="preserve">Les </w:t>
      </w:r>
      <w:r w:rsidR="002D653F">
        <w:t xml:space="preserve">contrôles </w:t>
      </w:r>
      <w:r>
        <w:t xml:space="preserve">prescrits au paragraphe 6.2.1.6.1 doivent être effectués, sauf </w:t>
      </w:r>
      <w:r w:rsidR="002D653F">
        <w:t xml:space="preserve">celui </w:t>
      </w:r>
      <w:r>
        <w:t>de l’alinéa d) qui doit être remplacé par la procédure suivante</w:t>
      </w:r>
      <w:r w:rsidR="00B16DD0">
        <w:t> :</w:t>
      </w:r>
    </w:p>
    <w:p w14:paraId="5D267CEF" w14:textId="7EAED980" w:rsidR="00794487" w:rsidRPr="000E7B07" w:rsidRDefault="002D653F" w:rsidP="00E627A6">
      <w:pPr>
        <w:pStyle w:val="Bullet2G"/>
      </w:pPr>
      <w:r>
        <w:t xml:space="preserve">Essai </w:t>
      </w:r>
      <w:r w:rsidR="00794487">
        <w:t>d’éclatem</w:t>
      </w:r>
      <w:r w:rsidR="00147DDC">
        <w:t>ent (conformément à la norme EN </w:t>
      </w:r>
      <w:r w:rsidR="00794487">
        <w:t>1442</w:t>
      </w:r>
      <w:r w:rsidR="00E627A6">
        <w:t>:20</w:t>
      </w:r>
      <w:r w:rsidR="00794487">
        <w:t>14 ou EN</w:t>
      </w:r>
      <w:r w:rsidR="007C3583">
        <w:t> </w:t>
      </w:r>
      <w:r w:rsidR="00794487">
        <w:t>14140</w:t>
      </w:r>
      <w:r w:rsidR="00E627A6">
        <w:t>:20</w:t>
      </w:r>
      <w:r w:rsidR="00794487">
        <w:t>15)</w:t>
      </w:r>
      <w:r w:rsidR="007C3583">
        <w:t>.</w:t>
      </w:r>
    </w:p>
    <w:p w14:paraId="2893C3A1" w14:textId="5D9CC4B5" w:rsidR="00794487" w:rsidRPr="00B8339B" w:rsidRDefault="00794487" w:rsidP="007C3583">
      <w:pPr>
        <w:pStyle w:val="SingleTxtG"/>
        <w:keepNext/>
        <w:ind w:left="2268"/>
      </w:pPr>
      <w:r>
        <w:t xml:space="preserve">En outre, les </w:t>
      </w:r>
      <w:r w:rsidR="002D653F">
        <w:t xml:space="preserve">essais </w:t>
      </w:r>
      <w:r>
        <w:t>suivants doivent être effectués</w:t>
      </w:r>
      <w:r w:rsidR="00B16DD0">
        <w:t> :</w:t>
      </w:r>
    </w:p>
    <w:p w14:paraId="47C4B30E" w14:textId="100A7FD2" w:rsidR="00794487" w:rsidRPr="000E7B07" w:rsidRDefault="002D653F" w:rsidP="00E627A6">
      <w:pPr>
        <w:pStyle w:val="Bullet2G"/>
      </w:pPr>
      <w:r>
        <w:t xml:space="preserve">Essai </w:t>
      </w:r>
      <w:r w:rsidR="00794487">
        <w:t xml:space="preserve">d’adhérence (conformément à la norme </w:t>
      </w:r>
      <w:r w:rsidR="00147DDC">
        <w:t>EN </w:t>
      </w:r>
      <w:r w:rsidR="00794487">
        <w:t>1442</w:t>
      </w:r>
      <w:r w:rsidR="00E627A6">
        <w:t>:20</w:t>
      </w:r>
      <w:r w:rsidR="007C3583">
        <w:t>14 ou EN </w:t>
      </w:r>
      <w:r w:rsidR="00794487">
        <w:t>14140</w:t>
      </w:r>
      <w:r w:rsidR="00E627A6">
        <w:t>:20</w:t>
      </w:r>
      <w:r w:rsidR="00794487">
        <w:t>15)</w:t>
      </w:r>
      <w:r w:rsidR="007C3583">
        <w:t> ;</w:t>
      </w:r>
    </w:p>
    <w:p w14:paraId="6016096F" w14:textId="634D8A75" w:rsidR="00794487" w:rsidRPr="000E7B07" w:rsidRDefault="002D653F" w:rsidP="00E627A6">
      <w:pPr>
        <w:pStyle w:val="Bullet2G"/>
      </w:pPr>
      <w:r>
        <w:t xml:space="preserve">Essai </w:t>
      </w:r>
      <w:r w:rsidR="00794487">
        <w:t xml:space="preserve">de pelage et de corrosion (conformément à la norme EN ISO </w:t>
      </w:r>
      <w:r w:rsidR="007C3583">
        <w:t>4628</w:t>
      </w:r>
      <w:r w:rsidR="007C3583">
        <w:noBreakHyphen/>
      </w:r>
      <w:r w:rsidR="00794487">
        <w:t>3</w:t>
      </w:r>
      <w:r w:rsidR="00E627A6">
        <w:t>:20</w:t>
      </w:r>
      <w:r w:rsidR="00794487">
        <w:t>04)</w:t>
      </w:r>
      <w:r w:rsidR="007C3583">
        <w:t>.</w:t>
      </w:r>
    </w:p>
    <w:p w14:paraId="4874D000" w14:textId="66F7938A" w:rsidR="00794487" w:rsidRPr="003D4D66" w:rsidRDefault="00794487" w:rsidP="00E627A6">
      <w:pPr>
        <w:pStyle w:val="SingleTxtG"/>
        <w:ind w:left="2268"/>
      </w:pPr>
      <w:r>
        <w:lastRenderedPageBreak/>
        <w:t xml:space="preserve">Les </w:t>
      </w:r>
      <w:r w:rsidR="002D653F">
        <w:t xml:space="preserve">essais </w:t>
      </w:r>
      <w:r>
        <w:t xml:space="preserve">d’adhérence, les </w:t>
      </w:r>
      <w:r w:rsidR="002D653F">
        <w:t xml:space="preserve">essais </w:t>
      </w:r>
      <w:r>
        <w:t xml:space="preserve">de pelage et de corrosion, et </w:t>
      </w:r>
      <w:r w:rsidR="002D653F">
        <w:t xml:space="preserve">l’essai </w:t>
      </w:r>
      <w:r>
        <w:t xml:space="preserve">d’éclatement doivent être effectués sur chaque échantillon correspondant, d’après le tableau du paragraphe g), et être effectués après </w:t>
      </w:r>
      <w:r w:rsidR="002D653F">
        <w:t xml:space="preserve">les </w:t>
      </w:r>
      <w:r>
        <w:t>trois</w:t>
      </w:r>
      <w:r w:rsidR="002D653F">
        <w:t xml:space="preserve"> premières </w:t>
      </w:r>
      <w:r>
        <w:t>an</w:t>
      </w:r>
      <w:r w:rsidR="002D653F">
        <w:t>née</w:t>
      </w:r>
      <w:r>
        <w:t>s de service puis tous les cinq ans.</w:t>
      </w:r>
    </w:p>
    <w:p w14:paraId="445C6053" w14:textId="25EC4ED0" w:rsidR="00794487" w:rsidRPr="003D4D66" w:rsidRDefault="00794487" w:rsidP="000D0440">
      <w:pPr>
        <w:pStyle w:val="SingleTxtG"/>
        <w:ind w:left="2268" w:hanging="567"/>
      </w:pPr>
      <w:r>
        <w:t>g)</w:t>
      </w:r>
      <w:r>
        <w:tab/>
        <w:t>Évaluation statisti</w:t>
      </w:r>
      <w:r w:rsidR="008F1E24">
        <w:t xml:space="preserve">que des résultats des </w:t>
      </w:r>
      <w:r w:rsidR="00E20C8B">
        <w:t xml:space="preserve">essais </w:t>
      </w:r>
      <w:r w:rsidR="008F1E24">
        <w:t>−</w:t>
      </w:r>
      <w:r>
        <w:t xml:space="preserve"> Méthode et prescriptions minimales</w:t>
      </w:r>
    </w:p>
    <w:p w14:paraId="26E81F34" w14:textId="60027824" w:rsidR="00794487" w:rsidRPr="008263FB" w:rsidRDefault="00794487" w:rsidP="000D0440">
      <w:pPr>
        <w:pStyle w:val="SingleTxtG"/>
        <w:ind w:left="2268"/>
      </w:pPr>
      <w:r>
        <w:t xml:space="preserve">La procédure d’évaluation statistique, tenant compte des critères de rejet correspondants, est décrite </w:t>
      </w:r>
      <w:r w:rsidR="007654CA">
        <w:t>ci-dessous</w:t>
      </w:r>
    </w:p>
    <w:p w14:paraId="3201D992" w14:textId="77777777" w:rsidR="00794487" w:rsidRPr="008263FB" w:rsidRDefault="00794487" w:rsidP="00D32D33">
      <w:pPr>
        <w:pStyle w:val="Heading1"/>
        <w:spacing w:after="120"/>
        <w:ind w:left="0"/>
        <w:rPr>
          <w:b/>
        </w:rPr>
      </w:pPr>
      <w:r>
        <w:br w:type="page"/>
      </w:r>
      <w:r>
        <w:lastRenderedPageBreak/>
        <w:t>Tableau 1</w:t>
      </w:r>
    </w:p>
    <w:tbl>
      <w:tblPr>
        <w:tblW w:w="9637" w:type="dxa"/>
        <w:tblLayout w:type="fixed"/>
        <w:tblCellMar>
          <w:left w:w="0" w:type="dxa"/>
          <w:right w:w="0" w:type="dxa"/>
        </w:tblCellMar>
        <w:tblLook w:val="04A0" w:firstRow="1" w:lastRow="0" w:firstColumn="1" w:lastColumn="0" w:noHBand="0" w:noVBand="1"/>
      </w:tblPr>
      <w:tblGrid>
        <w:gridCol w:w="1124"/>
        <w:gridCol w:w="1394"/>
        <w:gridCol w:w="1566"/>
        <w:gridCol w:w="3560"/>
        <w:gridCol w:w="1993"/>
      </w:tblGrid>
      <w:tr w:rsidR="00794487" w:rsidRPr="00803711" w14:paraId="241FBC51" w14:textId="77777777" w:rsidTr="00D14616">
        <w:trPr>
          <w:trHeight w:val="20"/>
          <w:tblHeader/>
        </w:trPr>
        <w:tc>
          <w:tcPr>
            <w:tcW w:w="1124" w:type="dxa"/>
            <w:tcBorders>
              <w:top w:val="single" w:sz="12" w:space="0" w:color="auto"/>
              <w:left w:val="single" w:sz="12" w:space="0" w:color="auto"/>
              <w:bottom w:val="single" w:sz="6" w:space="0" w:color="auto"/>
              <w:right w:val="single" w:sz="6" w:space="0" w:color="auto"/>
            </w:tcBorders>
            <w:vAlign w:val="center"/>
            <w:hideMark/>
          </w:tcPr>
          <w:p w14:paraId="0C047B0D" w14:textId="11769CFF" w:rsidR="00794487" w:rsidRPr="00803711" w:rsidRDefault="00794487" w:rsidP="00E20C8B">
            <w:pPr>
              <w:spacing w:before="40" w:after="80" w:line="200" w:lineRule="atLeast"/>
              <w:ind w:left="57" w:right="57"/>
              <w:jc w:val="center"/>
              <w:rPr>
                <w:b/>
                <w:bCs/>
                <w:sz w:val="18"/>
                <w:szCs w:val="18"/>
              </w:rPr>
            </w:pPr>
            <w:r w:rsidRPr="00803711">
              <w:rPr>
                <w:b/>
                <w:sz w:val="18"/>
                <w:szCs w:val="18"/>
              </w:rPr>
              <w:t xml:space="preserve">Intervalle entre les </w:t>
            </w:r>
            <w:r w:rsidR="00E20C8B">
              <w:rPr>
                <w:b/>
                <w:sz w:val="18"/>
                <w:szCs w:val="18"/>
              </w:rPr>
              <w:t>contrôles</w:t>
            </w:r>
            <w:r w:rsidR="00E20C8B" w:rsidRPr="00803711">
              <w:rPr>
                <w:b/>
                <w:sz w:val="18"/>
                <w:szCs w:val="18"/>
              </w:rPr>
              <w:t xml:space="preserve"> </w:t>
            </w:r>
            <w:r w:rsidR="00803711">
              <w:rPr>
                <w:sz w:val="18"/>
                <w:szCs w:val="18"/>
              </w:rPr>
              <w:t>(en </w:t>
            </w:r>
            <w:r w:rsidRPr="00803711">
              <w:rPr>
                <w:sz w:val="18"/>
                <w:szCs w:val="18"/>
              </w:rPr>
              <w:t>années)</w:t>
            </w:r>
          </w:p>
        </w:tc>
        <w:tc>
          <w:tcPr>
            <w:tcW w:w="1394" w:type="dxa"/>
            <w:tcBorders>
              <w:top w:val="single" w:sz="12" w:space="0" w:color="auto"/>
              <w:left w:val="single" w:sz="6" w:space="0" w:color="auto"/>
              <w:bottom w:val="single" w:sz="6" w:space="0" w:color="auto"/>
              <w:right w:val="single" w:sz="6" w:space="0" w:color="auto"/>
            </w:tcBorders>
            <w:vAlign w:val="center"/>
            <w:hideMark/>
          </w:tcPr>
          <w:p w14:paraId="22F1605D" w14:textId="16E98F87" w:rsidR="00794487" w:rsidRPr="00803711" w:rsidRDefault="00794487" w:rsidP="00E20C8B">
            <w:pPr>
              <w:spacing w:before="40" w:after="80" w:line="200" w:lineRule="atLeast"/>
              <w:ind w:left="57" w:right="57"/>
              <w:jc w:val="center"/>
              <w:rPr>
                <w:b/>
                <w:bCs/>
                <w:sz w:val="18"/>
                <w:szCs w:val="18"/>
              </w:rPr>
            </w:pPr>
            <w:r w:rsidRPr="00803711">
              <w:rPr>
                <w:b/>
                <w:sz w:val="18"/>
                <w:szCs w:val="18"/>
              </w:rPr>
              <w:t xml:space="preserve">Type </w:t>
            </w:r>
            <w:r w:rsidR="00E20C8B">
              <w:rPr>
                <w:b/>
                <w:sz w:val="18"/>
                <w:szCs w:val="18"/>
              </w:rPr>
              <w:t>d’essai</w:t>
            </w:r>
          </w:p>
        </w:tc>
        <w:tc>
          <w:tcPr>
            <w:tcW w:w="1566" w:type="dxa"/>
            <w:tcBorders>
              <w:top w:val="single" w:sz="12" w:space="0" w:color="auto"/>
              <w:left w:val="single" w:sz="6" w:space="0" w:color="auto"/>
              <w:bottom w:val="single" w:sz="6" w:space="0" w:color="auto"/>
              <w:right w:val="single" w:sz="6" w:space="0" w:color="auto"/>
            </w:tcBorders>
            <w:vAlign w:val="center"/>
            <w:hideMark/>
          </w:tcPr>
          <w:p w14:paraId="210AA3EF" w14:textId="77777777" w:rsidR="00794487" w:rsidRPr="00803711" w:rsidRDefault="00794487" w:rsidP="00BD5F9F">
            <w:pPr>
              <w:spacing w:before="40" w:after="80" w:line="200" w:lineRule="atLeast"/>
              <w:ind w:left="57" w:right="57"/>
              <w:jc w:val="center"/>
              <w:rPr>
                <w:b/>
                <w:bCs/>
                <w:sz w:val="18"/>
                <w:szCs w:val="18"/>
              </w:rPr>
            </w:pPr>
            <w:r w:rsidRPr="00803711">
              <w:rPr>
                <w:b/>
                <w:sz w:val="18"/>
                <w:szCs w:val="18"/>
              </w:rPr>
              <w:t>Norme</w:t>
            </w:r>
          </w:p>
        </w:tc>
        <w:tc>
          <w:tcPr>
            <w:tcW w:w="3560" w:type="dxa"/>
            <w:tcBorders>
              <w:top w:val="single" w:sz="12" w:space="0" w:color="auto"/>
              <w:left w:val="single" w:sz="6" w:space="0" w:color="auto"/>
              <w:bottom w:val="single" w:sz="6" w:space="0" w:color="auto"/>
              <w:right w:val="single" w:sz="6" w:space="0" w:color="auto"/>
            </w:tcBorders>
            <w:vAlign w:val="center"/>
            <w:hideMark/>
          </w:tcPr>
          <w:p w14:paraId="303FBAA0" w14:textId="77777777" w:rsidR="00794487" w:rsidRPr="00803711" w:rsidRDefault="00794487" w:rsidP="00BD5F9F">
            <w:pPr>
              <w:spacing w:before="40" w:after="80" w:line="200" w:lineRule="atLeast"/>
              <w:ind w:left="57" w:right="57"/>
              <w:jc w:val="center"/>
              <w:rPr>
                <w:b/>
                <w:bCs/>
                <w:sz w:val="18"/>
                <w:szCs w:val="18"/>
              </w:rPr>
            </w:pPr>
            <w:r w:rsidRPr="00803711">
              <w:rPr>
                <w:b/>
                <w:sz w:val="18"/>
                <w:szCs w:val="18"/>
              </w:rPr>
              <w:t>Critères de rejet</w:t>
            </w:r>
          </w:p>
        </w:tc>
        <w:tc>
          <w:tcPr>
            <w:tcW w:w="1993" w:type="dxa"/>
            <w:tcBorders>
              <w:top w:val="single" w:sz="12" w:space="0" w:color="auto"/>
              <w:left w:val="single" w:sz="6" w:space="0" w:color="auto"/>
              <w:bottom w:val="single" w:sz="6" w:space="0" w:color="auto"/>
              <w:right w:val="single" w:sz="6" w:space="0" w:color="auto"/>
            </w:tcBorders>
            <w:vAlign w:val="center"/>
            <w:hideMark/>
          </w:tcPr>
          <w:p w14:paraId="17E76BD0" w14:textId="43B224F9" w:rsidR="00794487" w:rsidRPr="00803711" w:rsidRDefault="00794487" w:rsidP="00E20C8B">
            <w:pPr>
              <w:spacing w:before="40" w:after="80" w:line="200" w:lineRule="atLeast"/>
              <w:ind w:left="57" w:right="57"/>
              <w:jc w:val="center"/>
              <w:rPr>
                <w:b/>
                <w:bCs/>
                <w:sz w:val="18"/>
                <w:szCs w:val="18"/>
              </w:rPr>
            </w:pPr>
            <w:r w:rsidRPr="00803711">
              <w:rPr>
                <w:b/>
                <w:sz w:val="18"/>
                <w:szCs w:val="18"/>
              </w:rPr>
              <w:t>Niveau d’échantillonnage du</w:t>
            </w:r>
            <w:r w:rsidR="00803711">
              <w:rPr>
                <w:b/>
                <w:sz w:val="18"/>
                <w:szCs w:val="18"/>
              </w:rPr>
              <w:t> </w:t>
            </w:r>
            <w:r w:rsidR="001F0489">
              <w:rPr>
                <w:b/>
                <w:sz w:val="18"/>
                <w:szCs w:val="18"/>
              </w:rPr>
              <w:t>Sous-</w:t>
            </w:r>
            <w:r w:rsidR="00803711">
              <w:rPr>
                <w:b/>
                <w:sz w:val="18"/>
                <w:szCs w:val="18"/>
              </w:rPr>
              <w:t xml:space="preserve">Groupe </w:t>
            </w:r>
          </w:p>
        </w:tc>
      </w:tr>
      <w:tr w:rsidR="00794487" w:rsidRPr="00803711" w14:paraId="28421414" w14:textId="77777777" w:rsidTr="008811A7">
        <w:trPr>
          <w:trHeight w:val="20"/>
        </w:trPr>
        <w:tc>
          <w:tcPr>
            <w:tcW w:w="1124" w:type="dxa"/>
            <w:vMerge w:val="restart"/>
            <w:tcBorders>
              <w:top w:val="single" w:sz="6" w:space="0" w:color="auto"/>
              <w:left w:val="single" w:sz="12" w:space="0" w:color="auto"/>
              <w:right w:val="single" w:sz="6" w:space="0" w:color="auto"/>
            </w:tcBorders>
            <w:hideMark/>
          </w:tcPr>
          <w:p w14:paraId="70883A47" w14:textId="77777777" w:rsidR="00794487" w:rsidRPr="00803711" w:rsidRDefault="00794487" w:rsidP="00BD5F9F">
            <w:pPr>
              <w:pStyle w:val="Tabletext9"/>
              <w:spacing w:before="40" w:after="80" w:line="200" w:lineRule="atLeast"/>
              <w:ind w:left="57" w:right="57"/>
              <w:jc w:val="left"/>
              <w:rPr>
                <w:rFonts w:ascii="Times New Roman" w:hAnsi="Times New Roman"/>
                <w:szCs w:val="18"/>
              </w:rPr>
            </w:pPr>
            <w:r w:rsidRPr="00803711">
              <w:rPr>
                <w:rFonts w:ascii="Times New Roman" w:hAnsi="Times New Roman"/>
                <w:szCs w:val="18"/>
                <w:lang w:val="fr-FR"/>
              </w:rPr>
              <w:t>Après 3 ans de service</w:t>
            </w:r>
          </w:p>
        </w:tc>
        <w:tc>
          <w:tcPr>
            <w:tcW w:w="1394" w:type="dxa"/>
            <w:tcBorders>
              <w:top w:val="single" w:sz="6" w:space="0" w:color="auto"/>
              <w:left w:val="single" w:sz="6" w:space="0" w:color="auto"/>
              <w:right w:val="single" w:sz="6" w:space="0" w:color="auto"/>
            </w:tcBorders>
            <w:hideMark/>
          </w:tcPr>
          <w:p w14:paraId="3530A13E" w14:textId="77777777" w:rsidR="00794487" w:rsidRPr="00803711" w:rsidRDefault="00794487" w:rsidP="00BD5F9F">
            <w:pPr>
              <w:pStyle w:val="Tabletext9"/>
              <w:spacing w:before="40" w:after="80" w:line="200" w:lineRule="atLeast"/>
              <w:ind w:left="57" w:right="57"/>
              <w:jc w:val="left"/>
              <w:rPr>
                <w:rFonts w:ascii="Times New Roman" w:hAnsi="Times New Roman"/>
                <w:szCs w:val="18"/>
              </w:rPr>
            </w:pPr>
            <w:r w:rsidRPr="00803711">
              <w:rPr>
                <w:rFonts w:ascii="Times New Roman" w:hAnsi="Times New Roman"/>
                <w:szCs w:val="18"/>
                <w:lang w:val="fr-FR"/>
              </w:rPr>
              <w:t>Éclatement</w:t>
            </w:r>
          </w:p>
        </w:tc>
        <w:tc>
          <w:tcPr>
            <w:tcW w:w="1566" w:type="dxa"/>
            <w:tcBorders>
              <w:top w:val="single" w:sz="6" w:space="0" w:color="auto"/>
              <w:left w:val="single" w:sz="6" w:space="0" w:color="auto"/>
              <w:right w:val="single" w:sz="6" w:space="0" w:color="auto"/>
            </w:tcBorders>
            <w:hideMark/>
          </w:tcPr>
          <w:p w14:paraId="25A68D49" w14:textId="77777777" w:rsidR="00794487" w:rsidRPr="00803711" w:rsidRDefault="00794487" w:rsidP="00BD5F9F">
            <w:pPr>
              <w:pStyle w:val="Tabletext9"/>
              <w:spacing w:before="40" w:after="80" w:line="200" w:lineRule="atLeast"/>
              <w:ind w:left="57" w:right="57"/>
              <w:jc w:val="left"/>
              <w:rPr>
                <w:rFonts w:ascii="Times New Roman" w:hAnsi="Times New Roman"/>
                <w:szCs w:val="18"/>
              </w:rPr>
            </w:pPr>
            <w:r w:rsidRPr="00803711">
              <w:rPr>
                <w:rFonts w:ascii="Times New Roman" w:hAnsi="Times New Roman"/>
                <w:szCs w:val="18"/>
                <w:lang w:val="fr-FR"/>
              </w:rPr>
              <w:t>EN 1442</w:t>
            </w:r>
            <w:r w:rsidR="00B16DD0" w:rsidRPr="00803711">
              <w:rPr>
                <w:rFonts w:ascii="Times New Roman" w:hAnsi="Times New Roman"/>
                <w:szCs w:val="18"/>
                <w:lang w:val="fr-FR"/>
              </w:rPr>
              <w:t>:</w:t>
            </w:r>
            <w:r w:rsidRPr="00803711">
              <w:rPr>
                <w:rFonts w:ascii="Times New Roman" w:hAnsi="Times New Roman"/>
                <w:szCs w:val="18"/>
                <w:lang w:val="fr-FR"/>
              </w:rPr>
              <w:t>2014</w:t>
            </w:r>
          </w:p>
        </w:tc>
        <w:tc>
          <w:tcPr>
            <w:tcW w:w="3560" w:type="dxa"/>
            <w:tcBorders>
              <w:top w:val="single" w:sz="6" w:space="0" w:color="auto"/>
              <w:left w:val="single" w:sz="6" w:space="0" w:color="auto"/>
              <w:right w:val="single" w:sz="6" w:space="0" w:color="auto"/>
            </w:tcBorders>
            <w:hideMark/>
          </w:tcPr>
          <w:p w14:paraId="2113F246" w14:textId="4EBAC655" w:rsidR="00E207BA" w:rsidRDefault="00EE3058" w:rsidP="00E207BA">
            <w:pPr>
              <w:pStyle w:val="Tabletext9"/>
              <w:spacing w:before="40" w:after="80" w:line="200" w:lineRule="atLeast"/>
              <w:ind w:left="57" w:right="57"/>
              <w:jc w:val="center"/>
              <w:rPr>
                <w:rFonts w:ascii="Times New Roman" w:hAnsi="Times New Roman"/>
                <w:szCs w:val="18"/>
                <w:lang w:val="fr-CH"/>
              </w:rPr>
            </w:pPr>
            <w:r>
              <w:rPr>
                <w:rFonts w:ascii="Times New Roman" w:hAnsi="Times New Roman"/>
                <w:szCs w:val="18"/>
                <w:lang w:val="fr-FR"/>
              </w:rPr>
              <w:t>Le point de pression d’éclatement de l’échantillon</w:t>
            </w:r>
            <w:r w:rsidR="00794487" w:rsidRPr="003527B7">
              <w:rPr>
                <w:rFonts w:ascii="Times New Roman" w:hAnsi="Times New Roman"/>
                <w:szCs w:val="18"/>
                <w:lang w:val="fr-CH"/>
              </w:rPr>
              <w:t xml:space="preserve"> </w:t>
            </w:r>
            <w:r w:rsidR="00E207BA">
              <w:rPr>
                <w:rFonts w:ascii="Times New Roman" w:hAnsi="Times New Roman"/>
                <w:szCs w:val="18"/>
                <w:lang w:val="fr-FR"/>
              </w:rPr>
              <w:t xml:space="preserve">représentatif </w:t>
            </w:r>
            <w:r w:rsidR="00794487" w:rsidRPr="003527B7">
              <w:rPr>
                <w:rFonts w:ascii="Times New Roman" w:hAnsi="Times New Roman"/>
                <w:szCs w:val="18"/>
                <w:lang w:val="fr-CH"/>
              </w:rPr>
              <w:t xml:space="preserve">doit être </w:t>
            </w:r>
            <w:r w:rsidR="00AD3737">
              <w:rPr>
                <w:rFonts w:ascii="Times New Roman" w:hAnsi="Times New Roman"/>
                <w:szCs w:val="18"/>
                <w:lang w:val="fr-CH"/>
              </w:rPr>
              <w:t>au</w:t>
            </w:r>
            <w:r w:rsidR="00E207BA">
              <w:rPr>
                <w:rFonts w:ascii="Times New Roman" w:hAnsi="Times New Roman"/>
                <w:szCs w:val="18"/>
                <w:lang w:val="fr-CH"/>
              </w:rPr>
              <w:t>-</w:t>
            </w:r>
            <w:r w:rsidR="00AD3737">
              <w:rPr>
                <w:rFonts w:ascii="Times New Roman" w:hAnsi="Times New Roman"/>
                <w:szCs w:val="18"/>
                <w:lang w:val="fr-CH"/>
              </w:rPr>
              <w:t>dessus</w:t>
            </w:r>
            <w:r w:rsidR="00AD3737" w:rsidRPr="003527B7">
              <w:rPr>
                <w:rFonts w:ascii="Times New Roman" w:hAnsi="Times New Roman"/>
                <w:szCs w:val="18"/>
                <w:lang w:val="fr-CH"/>
              </w:rPr>
              <w:t xml:space="preserve"> </w:t>
            </w:r>
            <w:r w:rsidR="00AD3737">
              <w:rPr>
                <w:rFonts w:ascii="Times New Roman" w:hAnsi="Times New Roman"/>
                <w:szCs w:val="18"/>
                <w:lang w:val="fr-CH"/>
              </w:rPr>
              <w:t>de</w:t>
            </w:r>
            <w:r w:rsidR="00794487" w:rsidRPr="003527B7">
              <w:rPr>
                <w:rFonts w:ascii="Times New Roman" w:hAnsi="Times New Roman"/>
                <w:szCs w:val="18"/>
                <w:lang w:val="fr-CH"/>
              </w:rPr>
              <w:t xml:space="preserve"> la limite inférieure de </w:t>
            </w:r>
            <w:r w:rsidR="00AD3737">
              <w:rPr>
                <w:rFonts w:ascii="Times New Roman" w:hAnsi="Times New Roman"/>
                <w:szCs w:val="18"/>
                <w:lang w:val="fr-CH"/>
              </w:rPr>
              <w:t>l’intervalle</w:t>
            </w:r>
            <w:r w:rsidR="00794487" w:rsidRPr="003527B7">
              <w:rPr>
                <w:rFonts w:ascii="Times New Roman" w:hAnsi="Times New Roman"/>
                <w:szCs w:val="18"/>
                <w:lang w:val="fr-CH"/>
              </w:rPr>
              <w:t xml:space="preserve"> de tolérance indiquée sur le </w:t>
            </w:r>
            <w:r w:rsidR="00AD3737">
              <w:rPr>
                <w:rFonts w:ascii="Times New Roman" w:hAnsi="Times New Roman"/>
                <w:szCs w:val="18"/>
                <w:lang w:val="fr-CH"/>
              </w:rPr>
              <w:t>T</w:t>
            </w:r>
            <w:r w:rsidR="00794487" w:rsidRPr="003527B7">
              <w:rPr>
                <w:rFonts w:ascii="Times New Roman" w:hAnsi="Times New Roman"/>
                <w:szCs w:val="18"/>
                <w:lang w:val="fr-CH"/>
              </w:rPr>
              <w:t xml:space="preserve">ableau de </w:t>
            </w:r>
            <w:r w:rsidR="00AD3737">
              <w:rPr>
                <w:rFonts w:ascii="Times New Roman" w:hAnsi="Times New Roman"/>
                <w:szCs w:val="18"/>
                <w:lang w:val="fr-CH"/>
              </w:rPr>
              <w:t>P</w:t>
            </w:r>
            <w:r w:rsidR="00794487" w:rsidRPr="003527B7">
              <w:rPr>
                <w:rFonts w:ascii="Times New Roman" w:hAnsi="Times New Roman"/>
                <w:szCs w:val="18"/>
                <w:lang w:val="fr-CH"/>
              </w:rPr>
              <w:t xml:space="preserve">erformance des </w:t>
            </w:r>
            <w:r w:rsidR="00AD3737">
              <w:rPr>
                <w:rFonts w:ascii="Times New Roman" w:hAnsi="Times New Roman"/>
                <w:szCs w:val="18"/>
                <w:lang w:val="fr-CH"/>
              </w:rPr>
              <w:t>E</w:t>
            </w:r>
            <w:r w:rsidR="00794487" w:rsidRPr="003527B7">
              <w:rPr>
                <w:rFonts w:ascii="Times New Roman" w:hAnsi="Times New Roman"/>
                <w:szCs w:val="18"/>
                <w:lang w:val="fr-CH"/>
              </w:rPr>
              <w:t>chantillons</w:t>
            </w:r>
          </w:p>
          <w:p w14:paraId="0186E11F" w14:textId="76E102FF" w:rsidR="00794487" w:rsidRPr="003527B7" w:rsidRDefault="003527B7" w:rsidP="00E207BA">
            <w:pPr>
              <w:pStyle w:val="Tabletext9"/>
              <w:spacing w:before="40" w:after="80" w:line="200" w:lineRule="atLeast"/>
              <w:ind w:left="57" w:right="57"/>
              <w:jc w:val="center"/>
              <w:rPr>
                <w:rFonts w:ascii="Times New Roman" w:hAnsi="Times New Roman"/>
                <w:szCs w:val="18"/>
                <w:lang w:val="fr-CH"/>
              </w:rPr>
            </w:pPr>
            <w:r w:rsidRPr="003527B7">
              <w:rPr>
                <w:rFonts w:ascii="Times New Roman" w:hAnsi="Times New Roman"/>
                <w:szCs w:val="18"/>
                <w:lang w:val="fr-CH"/>
              </w:rPr>
              <w:br/>
            </w:r>
            <w:r w:rsidR="00794487" w:rsidRPr="003527B7">
              <w:rPr>
                <w:rFonts w:ascii="Times New Roman" w:hAnsi="Times New Roman"/>
                <w:szCs w:val="18"/>
                <w:lang w:val="fr-CH"/>
              </w:rPr>
              <w:t>Ωm ≥ 1 + Ωs × k3 (n</w:t>
            </w:r>
            <w:r w:rsidR="00B16DD0" w:rsidRPr="003527B7">
              <w:rPr>
                <w:rFonts w:ascii="Times New Roman" w:hAnsi="Times New Roman"/>
                <w:szCs w:val="18"/>
                <w:lang w:val="fr-CH"/>
              </w:rPr>
              <w:t>;</w:t>
            </w:r>
            <w:r w:rsidR="00794487" w:rsidRPr="003527B7">
              <w:rPr>
                <w:rFonts w:ascii="Times New Roman" w:hAnsi="Times New Roman"/>
                <w:szCs w:val="18"/>
                <w:lang w:val="fr-CH"/>
              </w:rPr>
              <w:t xml:space="preserve"> p</w:t>
            </w:r>
            <w:r w:rsidR="00B16DD0" w:rsidRPr="003527B7">
              <w:rPr>
                <w:rFonts w:ascii="Times New Roman" w:hAnsi="Times New Roman"/>
                <w:szCs w:val="18"/>
                <w:lang w:val="fr-CH"/>
              </w:rPr>
              <w:t>;</w:t>
            </w:r>
            <w:r w:rsidR="00147DDC">
              <w:rPr>
                <w:rFonts w:ascii="Times New Roman" w:hAnsi="Times New Roman"/>
                <w:szCs w:val="18"/>
                <w:lang w:val="fr-CH"/>
              </w:rPr>
              <w:t>1-</w:t>
            </w:r>
            <w:r w:rsidR="00794487" w:rsidRPr="00803711">
              <w:rPr>
                <w:rFonts w:ascii="Times New Roman" w:hAnsi="Times New Roman"/>
                <w:szCs w:val="18"/>
              </w:rPr>
              <w:t>α</w:t>
            </w:r>
            <w:r w:rsidR="00BD5F9F">
              <w:rPr>
                <w:rFonts w:ascii="Times New Roman" w:hAnsi="Times New Roman"/>
                <w:szCs w:val="18"/>
                <w:lang w:val="fr-CH"/>
              </w:rPr>
              <w:t>)</w:t>
            </w:r>
            <w:r w:rsidR="00794487" w:rsidRPr="003527B7">
              <w:rPr>
                <w:rFonts w:ascii="Times New Roman" w:hAnsi="Times New Roman"/>
                <w:szCs w:val="18"/>
                <w:lang w:val="fr-CH"/>
              </w:rPr>
              <w:t>*</w:t>
            </w:r>
            <w:r w:rsidRPr="003527B7">
              <w:rPr>
                <w:rFonts w:ascii="Times New Roman" w:hAnsi="Times New Roman"/>
                <w:szCs w:val="18"/>
                <w:lang w:val="fr-CH"/>
              </w:rPr>
              <w:br/>
            </w:r>
            <w:r w:rsidR="00794487" w:rsidRPr="003527B7">
              <w:rPr>
                <w:rFonts w:ascii="Times New Roman" w:hAnsi="Times New Roman"/>
                <w:szCs w:val="18"/>
                <w:lang w:val="fr-CH"/>
              </w:rPr>
              <w:t>-</w:t>
            </w:r>
            <w:r>
              <w:rPr>
                <w:rFonts w:ascii="Times New Roman" w:hAnsi="Times New Roman"/>
                <w:szCs w:val="18"/>
                <w:lang w:val="fr-CH"/>
              </w:rPr>
              <w:br/>
            </w:r>
            <w:r w:rsidR="00794487" w:rsidRPr="00A40D60">
              <w:rPr>
                <w:rFonts w:ascii="Times New Roman" w:hAnsi="Times New Roman"/>
                <w:szCs w:val="18"/>
                <w:lang w:val="fr-FR"/>
              </w:rPr>
              <w:t>Aucun</w:t>
            </w:r>
            <w:r w:rsidR="00794487" w:rsidRPr="003527B7">
              <w:rPr>
                <w:rFonts w:ascii="Times New Roman" w:hAnsi="Times New Roman"/>
                <w:szCs w:val="18"/>
                <w:lang w:val="fr-CH"/>
              </w:rPr>
              <w:t xml:space="preserve"> </w:t>
            </w:r>
            <w:r w:rsidR="00E207BA">
              <w:rPr>
                <w:rFonts w:ascii="Times New Roman" w:hAnsi="Times New Roman"/>
                <w:szCs w:val="18"/>
                <w:lang w:val="fr-CH"/>
              </w:rPr>
              <w:t xml:space="preserve">résultat individuel de doit être </w:t>
            </w:r>
            <w:r w:rsidR="00794487" w:rsidRPr="003527B7">
              <w:rPr>
                <w:rFonts w:ascii="Times New Roman" w:hAnsi="Times New Roman"/>
                <w:szCs w:val="18"/>
                <w:lang w:val="fr-CH"/>
              </w:rPr>
              <w:t>inférieur à la pression d’épreuve</w:t>
            </w:r>
          </w:p>
        </w:tc>
        <w:tc>
          <w:tcPr>
            <w:tcW w:w="1993" w:type="dxa"/>
            <w:tcBorders>
              <w:top w:val="single" w:sz="6" w:space="0" w:color="auto"/>
              <w:left w:val="single" w:sz="6" w:space="0" w:color="auto"/>
              <w:right w:val="single" w:sz="6" w:space="0" w:color="auto"/>
            </w:tcBorders>
            <w:hideMark/>
          </w:tcPr>
          <w:p w14:paraId="2E770D32" w14:textId="7E7118F1" w:rsidR="00794487" w:rsidRPr="003527B7" w:rsidRDefault="0066316D" w:rsidP="00AD3737">
            <w:pPr>
              <w:pStyle w:val="Tabletext9"/>
              <w:spacing w:before="40" w:after="80" w:line="200" w:lineRule="atLeast"/>
              <w:ind w:left="57" w:right="57"/>
              <w:jc w:val="center"/>
              <w:rPr>
                <w:rFonts w:ascii="Times New Roman" w:hAnsi="Times New Roman"/>
                <w:szCs w:val="18"/>
                <w:lang w:val="fr-CH"/>
              </w:rPr>
            </w:pPr>
            <w:r w:rsidRPr="0066316D">
              <w:rPr>
                <w:rFonts w:ascii="Times New Roman" w:hAnsi="Times New Roman"/>
                <w:position w:val="-10"/>
                <w:szCs w:val="18"/>
              </w:rPr>
              <w:object w:dxaOrig="460" w:dyaOrig="360" w14:anchorId="00878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75pt" o:ole="">
                  <v:imagedata r:id="rId7" o:title=""/>
                </v:shape>
                <o:OLEObject Type="Embed" ProgID="Equation.3" ShapeID="_x0000_i1025" DrawAspect="Content" ObjectID="_1568012664" r:id="rId8"/>
              </w:object>
            </w:r>
            <w:r w:rsidR="00794487" w:rsidRPr="003527B7">
              <w:rPr>
                <w:rFonts w:ascii="Times New Roman" w:hAnsi="Times New Roman"/>
                <w:szCs w:val="18"/>
                <w:lang w:val="fr-CH"/>
              </w:rPr>
              <w:t xml:space="preserve"> ou </w:t>
            </w:r>
            <w:r w:rsidR="00C951D8">
              <w:rPr>
                <w:rFonts w:ascii="Times New Roman" w:hAnsi="Times New Roman"/>
                <w:szCs w:val="18"/>
                <w:lang w:val="fr-CH"/>
              </w:rPr>
              <w:t>Q/200</w:t>
            </w:r>
            <w:r w:rsidR="00B16DD0" w:rsidRPr="003527B7">
              <w:rPr>
                <w:rFonts w:ascii="Times New Roman" w:hAnsi="Times New Roman"/>
                <w:szCs w:val="18"/>
                <w:lang w:val="fr-CH"/>
              </w:rPr>
              <w:t xml:space="preserve"> </w:t>
            </w:r>
            <w:r w:rsidR="00BD5F9F">
              <w:rPr>
                <w:rFonts w:ascii="Times New Roman" w:hAnsi="Times New Roman"/>
                <w:szCs w:val="18"/>
                <w:lang w:val="fr-CH"/>
              </w:rPr>
              <w:t>la </w:t>
            </w:r>
            <w:r w:rsidR="00794487" w:rsidRPr="00A40D60">
              <w:rPr>
                <w:rFonts w:ascii="Times New Roman" w:hAnsi="Times New Roman"/>
                <w:szCs w:val="18"/>
                <w:lang w:val="fr-FR"/>
              </w:rPr>
              <w:t>valeur</w:t>
            </w:r>
            <w:r w:rsidR="00794487" w:rsidRPr="003527B7">
              <w:rPr>
                <w:rFonts w:ascii="Times New Roman" w:hAnsi="Times New Roman"/>
                <w:szCs w:val="18"/>
                <w:lang w:val="fr-CH"/>
              </w:rPr>
              <w:t xml:space="preserve"> la plus faible étant retenue</w:t>
            </w:r>
            <w:r w:rsidR="003527B7" w:rsidRPr="003527B7">
              <w:rPr>
                <w:rFonts w:ascii="Times New Roman" w:hAnsi="Times New Roman"/>
                <w:szCs w:val="18"/>
                <w:lang w:val="fr-CH"/>
              </w:rPr>
              <w:br/>
            </w:r>
            <w:r w:rsidR="00794487" w:rsidRPr="00A40D60">
              <w:rPr>
                <w:rFonts w:ascii="Times New Roman" w:hAnsi="Times New Roman"/>
                <w:szCs w:val="18"/>
                <w:lang w:val="fr-FR"/>
              </w:rPr>
              <w:t>et</w:t>
            </w:r>
            <w:r w:rsidR="00794487" w:rsidRPr="003527B7">
              <w:rPr>
                <w:rFonts w:ascii="Times New Roman" w:hAnsi="Times New Roman"/>
                <w:szCs w:val="18"/>
                <w:lang w:val="fr-CH"/>
              </w:rPr>
              <w:t xml:space="preserve"> </w:t>
            </w:r>
            <w:r w:rsidR="003527B7" w:rsidRPr="003527B7">
              <w:rPr>
                <w:rFonts w:ascii="Times New Roman" w:hAnsi="Times New Roman"/>
                <w:szCs w:val="18"/>
                <w:lang w:val="fr-CH"/>
              </w:rPr>
              <w:br/>
            </w:r>
            <w:r w:rsidR="00794487" w:rsidRPr="003527B7">
              <w:rPr>
                <w:rFonts w:ascii="Times New Roman" w:hAnsi="Times New Roman"/>
                <w:szCs w:val="18"/>
                <w:lang w:val="fr-CH"/>
              </w:rPr>
              <w:t xml:space="preserve">un minimum de 20 par </w:t>
            </w:r>
            <w:r w:rsidR="00E207BA">
              <w:rPr>
                <w:rFonts w:ascii="Times New Roman" w:hAnsi="Times New Roman"/>
                <w:szCs w:val="18"/>
                <w:lang w:val="fr-CH"/>
              </w:rPr>
              <w:t>sous-</w:t>
            </w:r>
            <w:r w:rsidR="00794487" w:rsidRPr="003527B7">
              <w:rPr>
                <w:rFonts w:ascii="Times New Roman" w:hAnsi="Times New Roman"/>
                <w:szCs w:val="18"/>
                <w:lang w:val="fr-CH"/>
              </w:rPr>
              <w:t>groupe (Q)</w:t>
            </w:r>
          </w:p>
        </w:tc>
      </w:tr>
      <w:tr w:rsidR="00794487" w:rsidRPr="00803711" w14:paraId="0941D5C1" w14:textId="77777777" w:rsidTr="008811A7">
        <w:trPr>
          <w:trHeight w:val="20"/>
        </w:trPr>
        <w:tc>
          <w:tcPr>
            <w:tcW w:w="1124" w:type="dxa"/>
            <w:vMerge/>
            <w:tcBorders>
              <w:left w:val="single" w:sz="12" w:space="0" w:color="auto"/>
              <w:right w:val="single" w:sz="6" w:space="0" w:color="auto"/>
            </w:tcBorders>
            <w:vAlign w:val="center"/>
            <w:hideMark/>
          </w:tcPr>
          <w:p w14:paraId="0A090B3D" w14:textId="77777777" w:rsidR="00794487" w:rsidRPr="00803711" w:rsidRDefault="00794487" w:rsidP="00BD5F9F">
            <w:pPr>
              <w:spacing w:before="40" w:after="80" w:line="200" w:lineRule="atLeast"/>
              <w:ind w:left="57" w:right="57"/>
              <w:rPr>
                <w:sz w:val="18"/>
                <w:szCs w:val="18"/>
              </w:rPr>
            </w:pPr>
          </w:p>
        </w:tc>
        <w:tc>
          <w:tcPr>
            <w:tcW w:w="13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800D554" w14:textId="77777777" w:rsidR="00794487" w:rsidRPr="00803711"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Pelage</w:t>
            </w:r>
            <w:r w:rsidR="004421BA">
              <w:rPr>
                <w:rFonts w:ascii="Times New Roman" w:hAnsi="Times New Roman"/>
                <w:szCs w:val="18"/>
                <w:lang w:val="fr-FR"/>
              </w:rPr>
              <w:br/>
            </w:r>
            <w:r w:rsidRPr="00803711">
              <w:rPr>
                <w:rFonts w:ascii="Times New Roman" w:hAnsi="Times New Roman"/>
                <w:szCs w:val="18"/>
                <w:lang w:val="fr-FR"/>
              </w:rPr>
              <w:t xml:space="preserve">et </w:t>
            </w:r>
            <w:r w:rsidR="004421BA">
              <w:rPr>
                <w:rFonts w:ascii="Times New Roman" w:hAnsi="Times New Roman"/>
                <w:szCs w:val="18"/>
                <w:lang w:val="fr-FR"/>
              </w:rPr>
              <w:br/>
            </w:r>
            <w:r w:rsidRPr="00803711">
              <w:rPr>
                <w:rFonts w:ascii="Times New Roman" w:hAnsi="Times New Roman"/>
                <w:szCs w:val="18"/>
                <w:lang w:val="fr-FR"/>
              </w:rPr>
              <w:t xml:space="preserve">corrosion </w:t>
            </w:r>
          </w:p>
        </w:tc>
        <w:tc>
          <w:tcPr>
            <w:tcW w:w="15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304AF26" w14:textId="77777777" w:rsidR="00794487" w:rsidRPr="00803711" w:rsidRDefault="007544B8" w:rsidP="00BD5F9F">
            <w:pPr>
              <w:pStyle w:val="Tabletext9"/>
              <w:spacing w:before="40" w:after="80" w:line="200" w:lineRule="atLeast"/>
              <w:ind w:left="57" w:right="57"/>
              <w:jc w:val="left"/>
              <w:rPr>
                <w:rFonts w:ascii="Times New Roman" w:hAnsi="Times New Roman"/>
                <w:szCs w:val="18"/>
              </w:rPr>
            </w:pPr>
            <w:r>
              <w:rPr>
                <w:rFonts w:ascii="Times New Roman" w:hAnsi="Times New Roman"/>
                <w:szCs w:val="18"/>
                <w:lang w:val="fr-FR"/>
              </w:rPr>
              <w:t>EN ISO 4628</w:t>
            </w:r>
            <w:r>
              <w:rPr>
                <w:rFonts w:ascii="Times New Roman" w:hAnsi="Times New Roman"/>
                <w:szCs w:val="18"/>
                <w:lang w:val="fr-FR"/>
              </w:rPr>
              <w:noBreakHyphen/>
            </w:r>
            <w:r w:rsidR="00794487" w:rsidRPr="00803711">
              <w:rPr>
                <w:rFonts w:ascii="Times New Roman" w:hAnsi="Times New Roman"/>
                <w:szCs w:val="18"/>
                <w:lang w:val="fr-FR"/>
              </w:rPr>
              <w:t>3</w:t>
            </w:r>
            <w:r w:rsidR="00E627A6" w:rsidRPr="00803711">
              <w:rPr>
                <w:rFonts w:ascii="Times New Roman" w:hAnsi="Times New Roman"/>
                <w:szCs w:val="18"/>
                <w:lang w:val="fr-FR"/>
              </w:rPr>
              <w:t>:20</w:t>
            </w:r>
            <w:r w:rsidR="00794487" w:rsidRPr="00803711">
              <w:rPr>
                <w:rFonts w:ascii="Times New Roman" w:hAnsi="Times New Roman"/>
                <w:szCs w:val="18"/>
                <w:lang w:val="fr-FR"/>
              </w:rPr>
              <w:t>04</w:t>
            </w:r>
          </w:p>
        </w:tc>
        <w:tc>
          <w:tcPr>
            <w:tcW w:w="3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5C02CC5" w14:textId="77777777" w:rsidR="00794487" w:rsidRPr="00803711" w:rsidRDefault="00794487" w:rsidP="00BD5F9F">
            <w:pPr>
              <w:spacing w:before="40" w:after="80" w:line="200" w:lineRule="atLeast"/>
              <w:ind w:left="57" w:right="57"/>
              <w:jc w:val="center"/>
              <w:rPr>
                <w:sz w:val="18"/>
                <w:szCs w:val="18"/>
              </w:rPr>
            </w:pPr>
            <w:r w:rsidRPr="00803711">
              <w:rPr>
                <w:sz w:val="18"/>
                <w:szCs w:val="18"/>
              </w:rPr>
              <w:t>Niveau de corrosion max</w:t>
            </w:r>
            <w:r w:rsidR="00B16DD0" w:rsidRPr="00803711">
              <w:rPr>
                <w:sz w:val="18"/>
                <w:szCs w:val="18"/>
              </w:rPr>
              <w:t> :</w:t>
            </w:r>
            <w:r w:rsidR="003527B7">
              <w:rPr>
                <w:sz w:val="18"/>
                <w:szCs w:val="18"/>
              </w:rPr>
              <w:br/>
            </w:r>
            <w:r w:rsidRPr="00803711">
              <w:rPr>
                <w:sz w:val="18"/>
                <w:szCs w:val="18"/>
              </w:rPr>
              <w:t>Ri2</w:t>
            </w:r>
          </w:p>
        </w:tc>
        <w:tc>
          <w:tcPr>
            <w:tcW w:w="1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8824947" w14:textId="77777777" w:rsidR="00794487" w:rsidRPr="00803711" w:rsidRDefault="00794487" w:rsidP="00BD5F9F">
            <w:pPr>
              <w:spacing w:before="40" w:after="80" w:line="200" w:lineRule="atLeast"/>
              <w:ind w:left="57" w:right="57"/>
              <w:jc w:val="center"/>
              <w:rPr>
                <w:sz w:val="18"/>
                <w:szCs w:val="18"/>
              </w:rPr>
            </w:pPr>
            <w:r w:rsidRPr="00803711">
              <w:rPr>
                <w:sz w:val="18"/>
                <w:szCs w:val="18"/>
              </w:rPr>
              <w:t>Q/1 000</w:t>
            </w:r>
          </w:p>
        </w:tc>
      </w:tr>
      <w:tr w:rsidR="00794487" w:rsidRPr="00803711" w14:paraId="1C4BB770" w14:textId="77777777" w:rsidTr="008811A7">
        <w:trPr>
          <w:trHeight w:val="20"/>
        </w:trPr>
        <w:tc>
          <w:tcPr>
            <w:tcW w:w="1124" w:type="dxa"/>
            <w:vMerge/>
            <w:tcBorders>
              <w:left w:val="single" w:sz="12" w:space="0" w:color="auto"/>
              <w:right w:val="single" w:sz="6" w:space="0" w:color="auto"/>
            </w:tcBorders>
            <w:tcMar>
              <w:top w:w="0" w:type="dxa"/>
              <w:left w:w="108" w:type="dxa"/>
              <w:bottom w:w="0" w:type="dxa"/>
              <w:right w:w="108" w:type="dxa"/>
            </w:tcMar>
          </w:tcPr>
          <w:p w14:paraId="3DB1FFFD" w14:textId="77777777" w:rsidR="00794487" w:rsidRPr="00803711" w:rsidRDefault="00794487" w:rsidP="00BD5F9F">
            <w:pPr>
              <w:pStyle w:val="Tabletext9"/>
              <w:spacing w:before="40" w:after="80" w:line="200" w:lineRule="atLeast"/>
              <w:ind w:left="57" w:right="57"/>
              <w:rPr>
                <w:rFonts w:ascii="Times New Roman" w:hAnsi="Times New Roman"/>
                <w:szCs w:val="18"/>
                <w:lang w:val="en-IE"/>
              </w:rPr>
            </w:pPr>
          </w:p>
        </w:tc>
        <w:tc>
          <w:tcPr>
            <w:tcW w:w="1394" w:type="dxa"/>
            <w:tcBorders>
              <w:top w:val="single" w:sz="6" w:space="0" w:color="auto"/>
              <w:left w:val="single" w:sz="6" w:space="0" w:color="auto"/>
              <w:right w:val="single" w:sz="6" w:space="0" w:color="auto"/>
            </w:tcBorders>
            <w:tcMar>
              <w:top w:w="0" w:type="dxa"/>
              <w:left w:w="0" w:type="dxa"/>
              <w:bottom w:w="0" w:type="dxa"/>
              <w:right w:w="0" w:type="dxa"/>
            </w:tcMar>
          </w:tcPr>
          <w:p w14:paraId="70B6738F" w14:textId="77777777" w:rsidR="00794487" w:rsidRPr="00803711" w:rsidRDefault="00794487" w:rsidP="00BD5F9F">
            <w:pPr>
              <w:pStyle w:val="Tabletext9"/>
              <w:spacing w:before="40" w:after="80" w:line="200" w:lineRule="atLeast"/>
              <w:ind w:left="57" w:right="57"/>
              <w:jc w:val="left"/>
              <w:rPr>
                <w:rFonts w:ascii="Times New Roman" w:hAnsi="Times New Roman"/>
                <w:szCs w:val="18"/>
              </w:rPr>
            </w:pPr>
            <w:r w:rsidRPr="00803711">
              <w:rPr>
                <w:rFonts w:ascii="Times New Roman" w:hAnsi="Times New Roman"/>
                <w:szCs w:val="18"/>
                <w:lang w:val="fr-FR"/>
              </w:rPr>
              <w:t>Adhérence du polyuréthane</w:t>
            </w:r>
          </w:p>
        </w:tc>
        <w:tc>
          <w:tcPr>
            <w:tcW w:w="1566" w:type="dxa"/>
            <w:tcBorders>
              <w:top w:val="single" w:sz="6" w:space="0" w:color="auto"/>
              <w:left w:val="single" w:sz="6" w:space="0" w:color="auto"/>
              <w:right w:val="single" w:sz="6" w:space="0" w:color="auto"/>
            </w:tcBorders>
            <w:tcMar>
              <w:top w:w="0" w:type="dxa"/>
              <w:left w:w="0" w:type="dxa"/>
              <w:bottom w:w="0" w:type="dxa"/>
              <w:right w:w="0" w:type="dxa"/>
            </w:tcMar>
          </w:tcPr>
          <w:p w14:paraId="227C2F4F" w14:textId="77777777" w:rsidR="00794487" w:rsidRPr="00803711"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ISO 2859-1</w:t>
            </w:r>
            <w:r w:rsidR="00B16DD0" w:rsidRPr="00803711">
              <w:rPr>
                <w:rFonts w:ascii="Times New Roman" w:hAnsi="Times New Roman"/>
                <w:szCs w:val="18"/>
                <w:lang w:val="fr-FR"/>
              </w:rPr>
              <w:t>:</w:t>
            </w:r>
            <w:r w:rsidRPr="00803711">
              <w:rPr>
                <w:rFonts w:ascii="Times New Roman" w:hAnsi="Times New Roman"/>
                <w:szCs w:val="18"/>
                <w:lang w:val="fr-FR"/>
              </w:rPr>
              <w:t>2000</w:t>
            </w:r>
            <w:r w:rsidR="003527B7">
              <w:rPr>
                <w:rFonts w:ascii="Times New Roman" w:hAnsi="Times New Roman"/>
                <w:szCs w:val="18"/>
                <w:lang w:val="fr-FR"/>
              </w:rPr>
              <w:br/>
            </w:r>
            <w:r w:rsidRPr="00803711">
              <w:rPr>
                <w:rFonts w:ascii="Times New Roman" w:hAnsi="Times New Roman"/>
                <w:szCs w:val="18"/>
                <w:lang w:val="fr-FR"/>
              </w:rPr>
              <w:t>EN 1442</w:t>
            </w:r>
            <w:r w:rsidR="00B16DD0" w:rsidRPr="00803711">
              <w:rPr>
                <w:rFonts w:ascii="Times New Roman" w:hAnsi="Times New Roman"/>
                <w:szCs w:val="18"/>
                <w:lang w:val="fr-FR"/>
              </w:rPr>
              <w:t>:</w:t>
            </w:r>
            <w:r w:rsidRPr="00803711">
              <w:rPr>
                <w:rFonts w:ascii="Times New Roman" w:hAnsi="Times New Roman"/>
                <w:szCs w:val="18"/>
                <w:lang w:val="fr-FR"/>
              </w:rPr>
              <w:t>2014</w:t>
            </w:r>
            <w:r w:rsidR="003527B7">
              <w:rPr>
                <w:rFonts w:ascii="Times New Roman" w:hAnsi="Times New Roman"/>
                <w:szCs w:val="18"/>
                <w:lang w:val="fr-FR"/>
              </w:rPr>
              <w:br/>
            </w:r>
            <w:r w:rsidRPr="00803711">
              <w:rPr>
                <w:rFonts w:ascii="Times New Roman" w:hAnsi="Times New Roman"/>
                <w:szCs w:val="18"/>
                <w:lang w:val="fr-FR"/>
              </w:rPr>
              <w:t>EN 14140</w:t>
            </w:r>
            <w:r w:rsidR="00E627A6" w:rsidRPr="00803711">
              <w:rPr>
                <w:rFonts w:ascii="Times New Roman" w:hAnsi="Times New Roman"/>
                <w:szCs w:val="18"/>
                <w:lang w:val="fr-FR"/>
              </w:rPr>
              <w:t>:20</w:t>
            </w:r>
            <w:r w:rsidRPr="00803711">
              <w:rPr>
                <w:rFonts w:ascii="Times New Roman" w:hAnsi="Times New Roman"/>
                <w:szCs w:val="18"/>
                <w:lang w:val="fr-FR"/>
              </w:rPr>
              <w:t>15</w:t>
            </w:r>
          </w:p>
        </w:tc>
        <w:tc>
          <w:tcPr>
            <w:tcW w:w="3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112FB501" w14:textId="77777777" w:rsidR="00794487" w:rsidRPr="00803711" w:rsidRDefault="00794487" w:rsidP="007544B8">
            <w:pPr>
              <w:spacing w:before="40" w:after="80" w:line="200" w:lineRule="atLeast"/>
              <w:ind w:left="57" w:right="57"/>
              <w:jc w:val="center"/>
              <w:rPr>
                <w:sz w:val="18"/>
                <w:szCs w:val="18"/>
              </w:rPr>
            </w:pPr>
            <w:r w:rsidRPr="00803711">
              <w:rPr>
                <w:sz w:val="18"/>
                <w:szCs w:val="18"/>
              </w:rPr>
              <w:t>Valeur d’adhérence &gt; 0,5 N/mm</w:t>
            </w:r>
            <w:r w:rsidR="007544B8" w:rsidRPr="007544B8">
              <w:rPr>
                <w:sz w:val="18"/>
                <w:szCs w:val="18"/>
                <w:vertAlign w:val="superscript"/>
              </w:rPr>
              <w:t>2</w:t>
            </w:r>
          </w:p>
        </w:tc>
        <w:tc>
          <w:tcPr>
            <w:tcW w:w="1993" w:type="dxa"/>
            <w:tcBorders>
              <w:top w:val="single" w:sz="6" w:space="0" w:color="auto"/>
              <w:left w:val="single" w:sz="6" w:space="0" w:color="auto"/>
              <w:right w:val="single" w:sz="6" w:space="0" w:color="auto"/>
            </w:tcBorders>
            <w:tcMar>
              <w:top w:w="0" w:type="dxa"/>
              <w:left w:w="0" w:type="dxa"/>
              <w:bottom w:w="0" w:type="dxa"/>
              <w:right w:w="0" w:type="dxa"/>
            </w:tcMar>
          </w:tcPr>
          <w:p w14:paraId="6E3FAFE4" w14:textId="77777777" w:rsidR="00794487" w:rsidRPr="00803711" w:rsidRDefault="00794487" w:rsidP="00BD5F9F">
            <w:pPr>
              <w:spacing w:before="40" w:after="80" w:line="200" w:lineRule="atLeast"/>
              <w:ind w:left="57" w:right="57"/>
              <w:jc w:val="center"/>
              <w:rPr>
                <w:position w:val="-12"/>
                <w:sz w:val="18"/>
                <w:szCs w:val="18"/>
              </w:rPr>
            </w:pPr>
            <w:r w:rsidRPr="00803711">
              <w:rPr>
                <w:sz w:val="18"/>
                <w:szCs w:val="18"/>
              </w:rPr>
              <w:t>ISO 2859-1</w:t>
            </w:r>
            <w:r w:rsidR="00E627A6" w:rsidRPr="00803711">
              <w:rPr>
                <w:sz w:val="18"/>
                <w:szCs w:val="18"/>
              </w:rPr>
              <w:t>:20</w:t>
            </w:r>
            <w:r w:rsidRPr="00803711">
              <w:rPr>
                <w:sz w:val="18"/>
                <w:szCs w:val="18"/>
              </w:rPr>
              <w:t>00 appliquée à Q/1000</w:t>
            </w:r>
          </w:p>
        </w:tc>
      </w:tr>
      <w:tr w:rsidR="00794487" w:rsidRPr="00803711" w14:paraId="0F333397" w14:textId="77777777" w:rsidTr="008811A7">
        <w:trPr>
          <w:trHeight w:val="20"/>
        </w:trPr>
        <w:tc>
          <w:tcPr>
            <w:tcW w:w="1124" w:type="dxa"/>
            <w:vMerge w:val="restart"/>
            <w:tcBorders>
              <w:top w:val="single" w:sz="6" w:space="0" w:color="auto"/>
              <w:left w:val="single" w:sz="12" w:space="0" w:color="auto"/>
              <w:right w:val="single" w:sz="6" w:space="0" w:color="auto"/>
            </w:tcBorders>
            <w:tcMar>
              <w:top w:w="0" w:type="dxa"/>
              <w:left w:w="0" w:type="dxa"/>
              <w:bottom w:w="0" w:type="dxa"/>
              <w:right w:w="0" w:type="dxa"/>
            </w:tcMar>
            <w:hideMark/>
          </w:tcPr>
          <w:p w14:paraId="1FC91609" w14:textId="275DAB95" w:rsidR="00794487" w:rsidRPr="003527B7" w:rsidRDefault="00E20C8B" w:rsidP="00E20C8B">
            <w:pPr>
              <w:pStyle w:val="Tabletext9"/>
              <w:spacing w:before="40" w:after="80" w:line="200" w:lineRule="atLeast"/>
              <w:ind w:left="57" w:right="57"/>
              <w:jc w:val="left"/>
              <w:rPr>
                <w:rFonts w:ascii="Times New Roman" w:hAnsi="Times New Roman"/>
                <w:szCs w:val="18"/>
                <w:lang w:val="fr-CH"/>
              </w:rPr>
            </w:pPr>
            <w:r>
              <w:rPr>
                <w:rFonts w:ascii="Times New Roman" w:hAnsi="Times New Roman"/>
                <w:szCs w:val="18"/>
                <w:lang w:val="fr-FR"/>
              </w:rPr>
              <w:t>Successivement tous les</w:t>
            </w:r>
            <w:r w:rsidRPr="00803711">
              <w:rPr>
                <w:rFonts w:ascii="Times New Roman" w:hAnsi="Times New Roman"/>
                <w:szCs w:val="18"/>
                <w:lang w:val="fr-FR"/>
              </w:rPr>
              <w:t xml:space="preserve"> </w:t>
            </w:r>
            <w:r w:rsidR="00794487" w:rsidRPr="00803711">
              <w:rPr>
                <w:rFonts w:ascii="Times New Roman" w:hAnsi="Times New Roman"/>
                <w:szCs w:val="18"/>
                <w:lang w:val="fr-FR"/>
              </w:rPr>
              <w:t>5 ans de service</w:t>
            </w:r>
          </w:p>
        </w:tc>
        <w:tc>
          <w:tcPr>
            <w:tcW w:w="1394" w:type="dxa"/>
            <w:tcBorders>
              <w:top w:val="single" w:sz="6" w:space="0" w:color="auto"/>
              <w:left w:val="single" w:sz="6" w:space="0" w:color="auto"/>
              <w:right w:val="single" w:sz="6" w:space="0" w:color="auto"/>
            </w:tcBorders>
            <w:tcMar>
              <w:top w:w="0" w:type="dxa"/>
              <w:left w:w="0" w:type="dxa"/>
              <w:bottom w:w="0" w:type="dxa"/>
              <w:right w:w="0" w:type="dxa"/>
            </w:tcMar>
            <w:hideMark/>
          </w:tcPr>
          <w:p w14:paraId="005F22A7" w14:textId="77777777" w:rsidR="00794487" w:rsidRPr="003527B7"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Éclatement</w:t>
            </w:r>
          </w:p>
        </w:tc>
        <w:tc>
          <w:tcPr>
            <w:tcW w:w="1566" w:type="dxa"/>
            <w:tcBorders>
              <w:top w:val="single" w:sz="6" w:space="0" w:color="auto"/>
              <w:left w:val="single" w:sz="6" w:space="0" w:color="auto"/>
              <w:right w:val="single" w:sz="6" w:space="0" w:color="auto"/>
            </w:tcBorders>
            <w:tcMar>
              <w:top w:w="0" w:type="dxa"/>
              <w:left w:w="0" w:type="dxa"/>
              <w:bottom w:w="0" w:type="dxa"/>
              <w:right w:w="0" w:type="dxa"/>
            </w:tcMar>
            <w:hideMark/>
          </w:tcPr>
          <w:p w14:paraId="5CC109CD" w14:textId="77777777" w:rsidR="00794487" w:rsidRPr="003527B7"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EN 1442</w:t>
            </w:r>
            <w:r w:rsidR="00B16DD0" w:rsidRPr="00803711">
              <w:rPr>
                <w:rFonts w:ascii="Times New Roman" w:hAnsi="Times New Roman"/>
                <w:szCs w:val="18"/>
                <w:lang w:val="fr-FR"/>
              </w:rPr>
              <w:t>:</w:t>
            </w:r>
            <w:r w:rsidRPr="00803711">
              <w:rPr>
                <w:rFonts w:ascii="Times New Roman" w:hAnsi="Times New Roman"/>
                <w:szCs w:val="18"/>
                <w:lang w:val="fr-FR"/>
              </w:rPr>
              <w:t>2014</w:t>
            </w:r>
          </w:p>
        </w:tc>
        <w:tc>
          <w:tcPr>
            <w:tcW w:w="3560" w:type="dxa"/>
            <w:tcBorders>
              <w:top w:val="single" w:sz="6" w:space="0" w:color="auto"/>
              <w:left w:val="single" w:sz="6" w:space="0" w:color="auto"/>
              <w:right w:val="single" w:sz="6" w:space="0" w:color="auto"/>
            </w:tcBorders>
            <w:tcMar>
              <w:top w:w="0" w:type="dxa"/>
              <w:left w:w="0" w:type="dxa"/>
              <w:bottom w:w="0" w:type="dxa"/>
              <w:right w:w="0" w:type="dxa"/>
            </w:tcMar>
            <w:hideMark/>
          </w:tcPr>
          <w:p w14:paraId="4C052147" w14:textId="77777777" w:rsidR="007D3D97" w:rsidRDefault="007D3D97" w:rsidP="007D3D97">
            <w:pPr>
              <w:pStyle w:val="Tabletext9"/>
              <w:spacing w:before="40" w:after="80" w:line="200" w:lineRule="atLeast"/>
              <w:ind w:left="57" w:right="57"/>
              <w:jc w:val="center"/>
              <w:rPr>
                <w:rFonts w:ascii="Times New Roman" w:hAnsi="Times New Roman"/>
                <w:szCs w:val="18"/>
                <w:lang w:val="fr-CH"/>
              </w:rPr>
            </w:pPr>
            <w:r>
              <w:rPr>
                <w:rFonts w:ascii="Times New Roman" w:hAnsi="Times New Roman"/>
                <w:szCs w:val="18"/>
                <w:lang w:val="fr-FR"/>
              </w:rPr>
              <w:t>Le point de pression d’éclatement de l’échantillon</w:t>
            </w:r>
            <w:r w:rsidRPr="003527B7">
              <w:rPr>
                <w:rFonts w:ascii="Times New Roman" w:hAnsi="Times New Roman"/>
                <w:szCs w:val="18"/>
                <w:lang w:val="fr-CH"/>
              </w:rPr>
              <w:t xml:space="preserve"> </w:t>
            </w:r>
            <w:r>
              <w:rPr>
                <w:rFonts w:ascii="Times New Roman" w:hAnsi="Times New Roman"/>
                <w:szCs w:val="18"/>
                <w:lang w:val="fr-FR"/>
              </w:rPr>
              <w:t xml:space="preserve">représentatif </w:t>
            </w:r>
            <w:r w:rsidRPr="003527B7">
              <w:rPr>
                <w:rFonts w:ascii="Times New Roman" w:hAnsi="Times New Roman"/>
                <w:szCs w:val="18"/>
                <w:lang w:val="fr-CH"/>
              </w:rPr>
              <w:t xml:space="preserve">doit être </w:t>
            </w:r>
            <w:r>
              <w:rPr>
                <w:rFonts w:ascii="Times New Roman" w:hAnsi="Times New Roman"/>
                <w:szCs w:val="18"/>
                <w:lang w:val="fr-CH"/>
              </w:rPr>
              <w:t>au-dessus</w:t>
            </w:r>
            <w:r w:rsidRPr="003527B7">
              <w:rPr>
                <w:rFonts w:ascii="Times New Roman" w:hAnsi="Times New Roman"/>
                <w:szCs w:val="18"/>
                <w:lang w:val="fr-CH"/>
              </w:rPr>
              <w:t xml:space="preserve"> </w:t>
            </w:r>
            <w:r>
              <w:rPr>
                <w:rFonts w:ascii="Times New Roman" w:hAnsi="Times New Roman"/>
                <w:szCs w:val="18"/>
                <w:lang w:val="fr-CH"/>
              </w:rPr>
              <w:t>de</w:t>
            </w:r>
            <w:r w:rsidRPr="003527B7">
              <w:rPr>
                <w:rFonts w:ascii="Times New Roman" w:hAnsi="Times New Roman"/>
                <w:szCs w:val="18"/>
                <w:lang w:val="fr-CH"/>
              </w:rPr>
              <w:t xml:space="preserve"> la limite inférieure de </w:t>
            </w:r>
            <w:r>
              <w:rPr>
                <w:rFonts w:ascii="Times New Roman" w:hAnsi="Times New Roman"/>
                <w:szCs w:val="18"/>
                <w:lang w:val="fr-CH"/>
              </w:rPr>
              <w:t>l’intervalle</w:t>
            </w:r>
            <w:r w:rsidRPr="003527B7">
              <w:rPr>
                <w:rFonts w:ascii="Times New Roman" w:hAnsi="Times New Roman"/>
                <w:szCs w:val="18"/>
                <w:lang w:val="fr-CH"/>
              </w:rPr>
              <w:t xml:space="preserve"> de tolérance indiquée sur le </w:t>
            </w:r>
            <w:r>
              <w:rPr>
                <w:rFonts w:ascii="Times New Roman" w:hAnsi="Times New Roman"/>
                <w:szCs w:val="18"/>
                <w:lang w:val="fr-CH"/>
              </w:rPr>
              <w:t>T</w:t>
            </w:r>
            <w:r w:rsidRPr="003527B7">
              <w:rPr>
                <w:rFonts w:ascii="Times New Roman" w:hAnsi="Times New Roman"/>
                <w:szCs w:val="18"/>
                <w:lang w:val="fr-CH"/>
              </w:rPr>
              <w:t xml:space="preserve">ableau de </w:t>
            </w:r>
            <w:r>
              <w:rPr>
                <w:rFonts w:ascii="Times New Roman" w:hAnsi="Times New Roman"/>
                <w:szCs w:val="18"/>
                <w:lang w:val="fr-CH"/>
              </w:rPr>
              <w:t>P</w:t>
            </w:r>
            <w:r w:rsidRPr="003527B7">
              <w:rPr>
                <w:rFonts w:ascii="Times New Roman" w:hAnsi="Times New Roman"/>
                <w:szCs w:val="18"/>
                <w:lang w:val="fr-CH"/>
              </w:rPr>
              <w:t xml:space="preserve">erformance des </w:t>
            </w:r>
            <w:r>
              <w:rPr>
                <w:rFonts w:ascii="Times New Roman" w:hAnsi="Times New Roman"/>
                <w:szCs w:val="18"/>
                <w:lang w:val="fr-CH"/>
              </w:rPr>
              <w:t>E</w:t>
            </w:r>
            <w:r w:rsidRPr="003527B7">
              <w:rPr>
                <w:rFonts w:ascii="Times New Roman" w:hAnsi="Times New Roman"/>
                <w:szCs w:val="18"/>
                <w:lang w:val="fr-CH"/>
              </w:rPr>
              <w:t>chantillons</w:t>
            </w:r>
          </w:p>
          <w:p w14:paraId="74A1F2F5" w14:textId="0FEEB6CA" w:rsidR="00794487" w:rsidRPr="00803711" w:rsidRDefault="008811A7" w:rsidP="002A49BB">
            <w:pPr>
              <w:spacing w:before="40" w:after="80" w:line="200" w:lineRule="atLeast"/>
              <w:ind w:left="57" w:right="57"/>
              <w:jc w:val="center"/>
              <w:rPr>
                <w:sz w:val="18"/>
                <w:szCs w:val="18"/>
              </w:rPr>
            </w:pPr>
            <w:r>
              <w:rPr>
                <w:sz w:val="18"/>
                <w:szCs w:val="18"/>
              </w:rPr>
              <w:br/>
            </w:r>
            <w:r w:rsidR="00794487" w:rsidRPr="00803711">
              <w:rPr>
                <w:sz w:val="18"/>
                <w:szCs w:val="18"/>
              </w:rPr>
              <w:t>Ωm ≥ 1</w:t>
            </w:r>
            <w:r w:rsidR="007544B8">
              <w:rPr>
                <w:sz w:val="18"/>
                <w:szCs w:val="18"/>
              </w:rPr>
              <w:t xml:space="preserve"> </w:t>
            </w:r>
            <w:r w:rsidR="00794487" w:rsidRPr="00803711">
              <w:rPr>
                <w:sz w:val="18"/>
                <w:szCs w:val="18"/>
              </w:rPr>
              <w:t>+ Ωs × k3 (n</w:t>
            </w:r>
            <w:r w:rsidR="00B16DD0" w:rsidRPr="00803711">
              <w:rPr>
                <w:sz w:val="18"/>
                <w:szCs w:val="18"/>
              </w:rPr>
              <w:t>;</w:t>
            </w:r>
            <w:r w:rsidR="00794487" w:rsidRPr="00803711">
              <w:rPr>
                <w:sz w:val="18"/>
                <w:szCs w:val="18"/>
              </w:rPr>
              <w:t>p</w:t>
            </w:r>
            <w:r w:rsidR="00B16DD0" w:rsidRPr="00803711">
              <w:rPr>
                <w:sz w:val="18"/>
                <w:szCs w:val="18"/>
              </w:rPr>
              <w:t>;</w:t>
            </w:r>
            <w:r w:rsidR="00147DDC">
              <w:rPr>
                <w:sz w:val="18"/>
                <w:szCs w:val="18"/>
              </w:rPr>
              <w:t>1-</w:t>
            </w:r>
            <w:r w:rsidR="007544B8">
              <w:rPr>
                <w:sz w:val="18"/>
                <w:szCs w:val="18"/>
              </w:rPr>
              <w:t>α</w:t>
            </w:r>
            <w:r w:rsidR="00794487" w:rsidRPr="00803711">
              <w:rPr>
                <w:sz w:val="18"/>
                <w:szCs w:val="18"/>
              </w:rPr>
              <w:t>)*</w:t>
            </w:r>
            <w:r>
              <w:rPr>
                <w:sz w:val="18"/>
                <w:szCs w:val="18"/>
              </w:rPr>
              <w:br/>
            </w:r>
            <w:r w:rsidR="00794487" w:rsidRPr="00803711">
              <w:rPr>
                <w:sz w:val="18"/>
                <w:szCs w:val="18"/>
              </w:rPr>
              <w:t>-</w:t>
            </w:r>
            <w:r>
              <w:rPr>
                <w:sz w:val="18"/>
                <w:szCs w:val="18"/>
              </w:rPr>
              <w:br/>
            </w:r>
            <w:r w:rsidR="007D3D97" w:rsidRPr="00A40D60">
              <w:rPr>
                <w:szCs w:val="18"/>
                <w:lang w:val="fr-FR"/>
              </w:rPr>
              <w:t>Aucun</w:t>
            </w:r>
            <w:r w:rsidR="007D3D97" w:rsidRPr="003527B7">
              <w:rPr>
                <w:szCs w:val="18"/>
              </w:rPr>
              <w:t xml:space="preserve"> </w:t>
            </w:r>
            <w:r w:rsidR="007D3D97">
              <w:rPr>
                <w:szCs w:val="18"/>
              </w:rPr>
              <w:t xml:space="preserve">résultat individuel de doit être </w:t>
            </w:r>
            <w:r w:rsidR="007D3D97" w:rsidRPr="003527B7">
              <w:rPr>
                <w:szCs w:val="18"/>
              </w:rPr>
              <w:t>inférieur à la pression d’épreuve</w:t>
            </w:r>
          </w:p>
        </w:tc>
        <w:tc>
          <w:tcPr>
            <w:tcW w:w="1993" w:type="dxa"/>
            <w:tcBorders>
              <w:top w:val="single" w:sz="6" w:space="0" w:color="auto"/>
              <w:left w:val="single" w:sz="6" w:space="0" w:color="auto"/>
              <w:right w:val="single" w:sz="6" w:space="0" w:color="auto"/>
            </w:tcBorders>
            <w:tcMar>
              <w:top w:w="0" w:type="dxa"/>
              <w:left w:w="0" w:type="dxa"/>
              <w:bottom w:w="0" w:type="dxa"/>
              <w:right w:w="0" w:type="dxa"/>
            </w:tcMar>
          </w:tcPr>
          <w:p w14:paraId="03F2A867" w14:textId="7330A088" w:rsidR="00794487" w:rsidRPr="00803711" w:rsidRDefault="0066316D" w:rsidP="00635C69">
            <w:pPr>
              <w:spacing w:before="40" w:after="80" w:line="200" w:lineRule="atLeast"/>
              <w:ind w:left="57" w:right="57"/>
              <w:jc w:val="center"/>
              <w:rPr>
                <w:sz w:val="18"/>
                <w:szCs w:val="18"/>
              </w:rPr>
            </w:pPr>
            <w:r w:rsidRPr="0066316D">
              <w:rPr>
                <w:position w:val="-10"/>
                <w:szCs w:val="18"/>
              </w:rPr>
              <w:object w:dxaOrig="480" w:dyaOrig="360" w14:anchorId="6AF8A94B">
                <v:shape id="_x0000_i1026" type="#_x0000_t75" style="width:24pt;height:18.75pt" o:ole="">
                  <v:imagedata r:id="rId9" o:title=""/>
                </v:shape>
                <o:OLEObject Type="Embed" ProgID="Equation.3" ShapeID="_x0000_i1026" DrawAspect="Content" ObjectID="_1568012665" r:id="rId10"/>
              </w:object>
            </w:r>
            <w:r w:rsidR="00D25EDE" w:rsidRPr="003527B7">
              <w:rPr>
                <w:sz w:val="18"/>
                <w:szCs w:val="18"/>
              </w:rPr>
              <w:t xml:space="preserve"> ou </w:t>
            </w:r>
            <w:r w:rsidR="00C951D8">
              <w:rPr>
                <w:sz w:val="18"/>
                <w:szCs w:val="18"/>
              </w:rPr>
              <w:t>Q/100</w:t>
            </w:r>
            <w:r w:rsidR="00794487" w:rsidRPr="00803711">
              <w:rPr>
                <w:sz w:val="18"/>
                <w:szCs w:val="18"/>
              </w:rPr>
              <w:t xml:space="preserve"> </w:t>
            </w:r>
            <w:r w:rsidR="00D25EDE">
              <w:rPr>
                <w:sz w:val="18"/>
                <w:szCs w:val="18"/>
              </w:rPr>
              <w:t>la </w:t>
            </w:r>
            <w:r w:rsidR="00794487" w:rsidRPr="00803711">
              <w:rPr>
                <w:sz w:val="18"/>
                <w:szCs w:val="18"/>
              </w:rPr>
              <w:t xml:space="preserve">valeur la plus faible étant retenue </w:t>
            </w:r>
            <w:r w:rsidR="008811A7">
              <w:rPr>
                <w:sz w:val="18"/>
                <w:szCs w:val="18"/>
              </w:rPr>
              <w:br/>
            </w:r>
            <w:r w:rsidR="00794487" w:rsidRPr="00803711">
              <w:rPr>
                <w:sz w:val="18"/>
                <w:szCs w:val="18"/>
              </w:rPr>
              <w:t xml:space="preserve">et </w:t>
            </w:r>
            <w:r w:rsidR="008811A7">
              <w:rPr>
                <w:sz w:val="18"/>
                <w:szCs w:val="18"/>
              </w:rPr>
              <w:br/>
            </w:r>
            <w:r w:rsidR="00794487" w:rsidRPr="00803711">
              <w:rPr>
                <w:sz w:val="18"/>
                <w:szCs w:val="18"/>
              </w:rPr>
              <w:t xml:space="preserve">un minimum de 40 par </w:t>
            </w:r>
            <w:r w:rsidR="007D3D97">
              <w:rPr>
                <w:sz w:val="18"/>
                <w:szCs w:val="18"/>
              </w:rPr>
              <w:t>sous-</w:t>
            </w:r>
            <w:r w:rsidR="00794487" w:rsidRPr="00803711">
              <w:rPr>
                <w:sz w:val="18"/>
                <w:szCs w:val="18"/>
              </w:rPr>
              <w:t>groupe (Q)</w:t>
            </w:r>
          </w:p>
        </w:tc>
      </w:tr>
      <w:tr w:rsidR="00794487" w:rsidRPr="00803711" w14:paraId="450C5A87" w14:textId="77777777" w:rsidTr="008811A7">
        <w:trPr>
          <w:trHeight w:val="20"/>
        </w:trPr>
        <w:tc>
          <w:tcPr>
            <w:tcW w:w="1124" w:type="dxa"/>
            <w:vMerge/>
            <w:tcBorders>
              <w:left w:val="single" w:sz="12" w:space="0" w:color="auto"/>
              <w:right w:val="single" w:sz="6" w:space="0" w:color="auto"/>
            </w:tcBorders>
            <w:vAlign w:val="center"/>
            <w:hideMark/>
          </w:tcPr>
          <w:p w14:paraId="3A4ED5DD" w14:textId="77777777" w:rsidR="00794487" w:rsidRPr="00803711" w:rsidRDefault="00794487" w:rsidP="00BD5F9F">
            <w:pPr>
              <w:spacing w:before="40" w:after="80" w:line="200" w:lineRule="atLeast"/>
              <w:ind w:left="57" w:right="57"/>
              <w:rPr>
                <w:sz w:val="18"/>
                <w:szCs w:val="18"/>
              </w:rPr>
            </w:pPr>
          </w:p>
        </w:tc>
        <w:tc>
          <w:tcPr>
            <w:tcW w:w="13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D6F46FD" w14:textId="77777777" w:rsidR="00794487" w:rsidRPr="00803711" w:rsidRDefault="00794487" w:rsidP="00BD5F9F">
            <w:pPr>
              <w:pStyle w:val="Tabletext9"/>
              <w:spacing w:before="40" w:after="80" w:line="200" w:lineRule="atLeast"/>
              <w:ind w:left="57" w:right="57"/>
              <w:jc w:val="left"/>
              <w:rPr>
                <w:rFonts w:ascii="Times New Roman" w:hAnsi="Times New Roman"/>
                <w:szCs w:val="18"/>
              </w:rPr>
            </w:pPr>
            <w:r w:rsidRPr="00803711">
              <w:rPr>
                <w:rFonts w:ascii="Times New Roman" w:hAnsi="Times New Roman"/>
                <w:szCs w:val="18"/>
                <w:lang w:val="fr-FR"/>
              </w:rPr>
              <w:t xml:space="preserve">Pelage et corrosion </w:t>
            </w:r>
          </w:p>
        </w:tc>
        <w:tc>
          <w:tcPr>
            <w:tcW w:w="15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1035198" w14:textId="77777777" w:rsidR="00794487" w:rsidRPr="007544B8"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 xml:space="preserve">EN ISO </w:t>
            </w:r>
            <w:r w:rsidR="007544B8">
              <w:rPr>
                <w:rFonts w:ascii="Times New Roman" w:hAnsi="Times New Roman"/>
                <w:szCs w:val="18"/>
                <w:lang w:val="fr-FR"/>
              </w:rPr>
              <w:t>4628</w:t>
            </w:r>
            <w:r w:rsidR="007544B8">
              <w:rPr>
                <w:rFonts w:ascii="Times New Roman" w:hAnsi="Times New Roman"/>
                <w:szCs w:val="18"/>
                <w:lang w:val="fr-FR"/>
              </w:rPr>
              <w:noBreakHyphen/>
            </w:r>
            <w:r w:rsidRPr="00803711">
              <w:rPr>
                <w:rFonts w:ascii="Times New Roman" w:hAnsi="Times New Roman"/>
                <w:szCs w:val="18"/>
                <w:lang w:val="fr-FR"/>
              </w:rPr>
              <w:t>3</w:t>
            </w:r>
            <w:r w:rsidR="00E627A6" w:rsidRPr="00803711">
              <w:rPr>
                <w:rFonts w:ascii="Times New Roman" w:hAnsi="Times New Roman"/>
                <w:szCs w:val="18"/>
                <w:lang w:val="fr-FR"/>
              </w:rPr>
              <w:t>:20</w:t>
            </w:r>
            <w:r w:rsidRPr="00803711">
              <w:rPr>
                <w:rFonts w:ascii="Times New Roman" w:hAnsi="Times New Roman"/>
                <w:szCs w:val="18"/>
                <w:lang w:val="fr-FR"/>
              </w:rPr>
              <w:t>04</w:t>
            </w:r>
          </w:p>
        </w:tc>
        <w:tc>
          <w:tcPr>
            <w:tcW w:w="3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75E0D75" w14:textId="77777777" w:rsidR="00794487" w:rsidRPr="00803711" w:rsidRDefault="00794487" w:rsidP="00BD5F9F">
            <w:pPr>
              <w:spacing w:before="40" w:after="80" w:line="200" w:lineRule="atLeast"/>
              <w:ind w:left="57" w:right="57"/>
              <w:jc w:val="center"/>
              <w:rPr>
                <w:sz w:val="18"/>
                <w:szCs w:val="18"/>
              </w:rPr>
            </w:pPr>
            <w:r w:rsidRPr="00803711">
              <w:rPr>
                <w:sz w:val="18"/>
                <w:szCs w:val="18"/>
              </w:rPr>
              <w:t>Niveau de corrosion Max</w:t>
            </w:r>
            <w:r w:rsidR="00B16DD0" w:rsidRPr="00803711">
              <w:rPr>
                <w:sz w:val="18"/>
                <w:szCs w:val="18"/>
              </w:rPr>
              <w:t> :</w:t>
            </w:r>
            <w:r w:rsidR="008811A7">
              <w:rPr>
                <w:sz w:val="18"/>
                <w:szCs w:val="18"/>
              </w:rPr>
              <w:br/>
            </w:r>
            <w:r w:rsidRPr="00803711">
              <w:rPr>
                <w:sz w:val="18"/>
                <w:szCs w:val="18"/>
              </w:rPr>
              <w:t>Ri2</w:t>
            </w:r>
          </w:p>
        </w:tc>
        <w:tc>
          <w:tcPr>
            <w:tcW w:w="1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E372828" w14:textId="77777777" w:rsidR="00794487" w:rsidRPr="00803711" w:rsidRDefault="00794487" w:rsidP="00BD5F9F">
            <w:pPr>
              <w:spacing w:before="40" w:after="80" w:line="200" w:lineRule="atLeast"/>
              <w:ind w:left="57" w:right="57"/>
              <w:jc w:val="center"/>
              <w:rPr>
                <w:sz w:val="18"/>
                <w:szCs w:val="18"/>
              </w:rPr>
            </w:pPr>
            <w:r w:rsidRPr="00803711">
              <w:rPr>
                <w:sz w:val="18"/>
                <w:szCs w:val="18"/>
              </w:rPr>
              <w:t>Q/1 000</w:t>
            </w:r>
          </w:p>
        </w:tc>
      </w:tr>
      <w:tr w:rsidR="00794487" w:rsidRPr="00803711" w14:paraId="3D5E157A" w14:textId="77777777" w:rsidTr="008811A7">
        <w:trPr>
          <w:trHeight w:val="20"/>
        </w:trPr>
        <w:tc>
          <w:tcPr>
            <w:tcW w:w="1124" w:type="dxa"/>
            <w:vMerge/>
            <w:tcBorders>
              <w:left w:val="single" w:sz="12" w:space="0" w:color="auto"/>
              <w:bottom w:val="single" w:sz="6" w:space="0" w:color="auto"/>
              <w:right w:val="single" w:sz="6" w:space="0" w:color="auto"/>
            </w:tcBorders>
            <w:vAlign w:val="center"/>
          </w:tcPr>
          <w:p w14:paraId="05F9B846" w14:textId="77777777" w:rsidR="00794487" w:rsidRPr="007544B8" w:rsidRDefault="00794487" w:rsidP="00BD5F9F">
            <w:pPr>
              <w:spacing w:before="40" w:after="80" w:line="200" w:lineRule="atLeast"/>
              <w:ind w:left="57" w:right="57"/>
              <w:rPr>
                <w:sz w:val="18"/>
                <w:szCs w:val="18"/>
              </w:rPr>
            </w:pPr>
          </w:p>
        </w:tc>
        <w:tc>
          <w:tcPr>
            <w:tcW w:w="13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581F16FE" w14:textId="77777777" w:rsidR="00794487" w:rsidRPr="007544B8"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Adhérence du polyuréthane</w:t>
            </w:r>
          </w:p>
        </w:tc>
        <w:tc>
          <w:tcPr>
            <w:tcW w:w="15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3BC1E5A4" w14:textId="77777777" w:rsidR="00794487" w:rsidRPr="007544B8"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ISO 2859-1</w:t>
            </w:r>
            <w:r w:rsidR="00B16DD0" w:rsidRPr="00803711">
              <w:rPr>
                <w:rFonts w:ascii="Times New Roman" w:hAnsi="Times New Roman"/>
                <w:szCs w:val="18"/>
                <w:lang w:val="fr-FR"/>
              </w:rPr>
              <w:t>:</w:t>
            </w:r>
            <w:r w:rsidRPr="00803711">
              <w:rPr>
                <w:rFonts w:ascii="Times New Roman" w:hAnsi="Times New Roman"/>
                <w:szCs w:val="18"/>
                <w:lang w:val="fr-FR"/>
              </w:rPr>
              <w:t>2000</w:t>
            </w:r>
          </w:p>
        </w:tc>
        <w:tc>
          <w:tcPr>
            <w:tcW w:w="3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1893967A" w14:textId="77777777" w:rsidR="00794487" w:rsidRPr="00803711" w:rsidRDefault="00794487" w:rsidP="00BD5F9F">
            <w:pPr>
              <w:spacing w:before="40" w:after="80" w:line="200" w:lineRule="atLeast"/>
              <w:ind w:left="57" w:right="57"/>
              <w:jc w:val="center"/>
              <w:rPr>
                <w:sz w:val="18"/>
                <w:szCs w:val="18"/>
              </w:rPr>
            </w:pPr>
            <w:r w:rsidRPr="00803711">
              <w:rPr>
                <w:sz w:val="18"/>
                <w:szCs w:val="18"/>
              </w:rPr>
              <w:t>Valeur d’adhérence &gt; 0,5 N/mm</w:t>
            </w:r>
            <w:r w:rsidR="007544B8" w:rsidRPr="007544B8">
              <w:rPr>
                <w:sz w:val="18"/>
                <w:szCs w:val="18"/>
                <w:vertAlign w:val="superscript"/>
              </w:rPr>
              <w:t>2</w:t>
            </w:r>
          </w:p>
        </w:tc>
        <w:tc>
          <w:tcPr>
            <w:tcW w:w="1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71008E40" w14:textId="77777777" w:rsidR="00794487" w:rsidRPr="00803711" w:rsidRDefault="00794487" w:rsidP="00BD5F9F">
            <w:pPr>
              <w:spacing w:before="40" w:after="80" w:line="200" w:lineRule="atLeast"/>
              <w:ind w:left="57" w:right="57"/>
              <w:jc w:val="center"/>
              <w:rPr>
                <w:position w:val="-12"/>
                <w:sz w:val="18"/>
                <w:szCs w:val="18"/>
              </w:rPr>
            </w:pPr>
            <w:r w:rsidRPr="00803711">
              <w:rPr>
                <w:sz w:val="18"/>
                <w:szCs w:val="18"/>
              </w:rPr>
              <w:t>ISO 2859-1</w:t>
            </w:r>
            <w:r w:rsidR="00E627A6" w:rsidRPr="00803711">
              <w:rPr>
                <w:sz w:val="18"/>
                <w:szCs w:val="18"/>
              </w:rPr>
              <w:t>:20</w:t>
            </w:r>
            <w:r w:rsidRPr="00803711">
              <w:rPr>
                <w:sz w:val="18"/>
                <w:szCs w:val="18"/>
              </w:rPr>
              <w:t>00 appliquée à Q/1000</w:t>
            </w:r>
          </w:p>
        </w:tc>
      </w:tr>
    </w:tbl>
    <w:p w14:paraId="5D6AB645" w14:textId="439D0E75" w:rsidR="00794487" w:rsidRDefault="00794487" w:rsidP="004421BA">
      <w:pPr>
        <w:pStyle w:val="SingleTxtG"/>
        <w:spacing w:before="120"/>
      </w:pPr>
      <w:r>
        <w:t xml:space="preserve">(*) </w:t>
      </w:r>
      <w:r w:rsidR="00055497">
        <w:t>Le p</w:t>
      </w:r>
      <w:r>
        <w:t xml:space="preserve">oint </w:t>
      </w:r>
      <w:r w:rsidR="0059248C">
        <w:t xml:space="preserve">de pression </w:t>
      </w:r>
      <w:r>
        <w:t xml:space="preserve">d’éclatement </w:t>
      </w:r>
      <w:r w:rsidR="00055497">
        <w:t xml:space="preserve">(BPP) </w:t>
      </w:r>
      <w:r w:rsidR="0059248C">
        <w:t>de l’échantillon</w:t>
      </w:r>
      <w:r w:rsidR="00B16DD0">
        <w:t> </w:t>
      </w:r>
      <w:r w:rsidR="00055497">
        <w:t>représentatif</w:t>
      </w:r>
      <w:r>
        <w:t xml:space="preserve"> </w:t>
      </w:r>
      <w:r w:rsidR="00055497">
        <w:t xml:space="preserve">est utilisé </w:t>
      </w:r>
      <w:r>
        <w:t xml:space="preserve">pour l’évaluation des résultats de </w:t>
      </w:r>
      <w:r w:rsidR="00EE3058">
        <w:t xml:space="preserve">test </w:t>
      </w:r>
      <w:r>
        <w:t xml:space="preserve">au moyen d’un </w:t>
      </w:r>
      <w:r w:rsidR="00EE3058">
        <w:t>T</w:t>
      </w:r>
      <w:r>
        <w:t>ableau d</w:t>
      </w:r>
      <w:r w:rsidR="00EE3058">
        <w:t>e</w:t>
      </w:r>
      <w:r>
        <w:t xml:space="preserve"> </w:t>
      </w:r>
      <w:r w:rsidR="00EE3058">
        <w:t xml:space="preserve">Performance </w:t>
      </w:r>
      <w:r>
        <w:t xml:space="preserve">des </w:t>
      </w:r>
      <w:r w:rsidR="00EE3058">
        <w:t>E</w:t>
      </w:r>
      <w:r>
        <w:t>chantillons</w:t>
      </w:r>
      <w:r w:rsidR="00B16DD0">
        <w:t> :</w:t>
      </w:r>
    </w:p>
    <w:p w14:paraId="61DF63CF" w14:textId="1475C48F" w:rsidR="00794487" w:rsidRPr="002D10C4" w:rsidRDefault="00794487" w:rsidP="002D10C4">
      <w:pPr>
        <w:pStyle w:val="SingleTxtG"/>
        <w:keepNext/>
        <w:rPr>
          <w:spacing w:val="-1"/>
        </w:rPr>
      </w:pPr>
      <w:r w:rsidRPr="002D10C4">
        <w:rPr>
          <w:spacing w:val="-1"/>
        </w:rPr>
        <w:t>Étape 1</w:t>
      </w:r>
      <w:r w:rsidR="00B16DD0" w:rsidRPr="002D10C4">
        <w:rPr>
          <w:spacing w:val="-1"/>
        </w:rPr>
        <w:t> :</w:t>
      </w:r>
      <w:r w:rsidRPr="002D10C4">
        <w:rPr>
          <w:spacing w:val="-1"/>
        </w:rPr>
        <w:t xml:space="preserve"> </w:t>
      </w:r>
      <w:r w:rsidR="002D10C4" w:rsidRPr="002D10C4">
        <w:rPr>
          <w:spacing w:val="-1"/>
        </w:rPr>
        <w:t xml:space="preserve">Détermination </w:t>
      </w:r>
      <w:r w:rsidRPr="002D10C4">
        <w:rPr>
          <w:spacing w:val="-1"/>
        </w:rPr>
        <w:t xml:space="preserve">du point </w:t>
      </w:r>
      <w:r w:rsidR="00635C69">
        <w:rPr>
          <w:spacing w:val="-1"/>
        </w:rPr>
        <w:t xml:space="preserve">de pression </w:t>
      </w:r>
      <w:r w:rsidRPr="002D10C4">
        <w:rPr>
          <w:spacing w:val="-1"/>
        </w:rPr>
        <w:t xml:space="preserve">d’éclatement </w:t>
      </w:r>
      <w:r w:rsidR="0034411F">
        <w:rPr>
          <w:spacing w:val="-1"/>
        </w:rPr>
        <w:t>(</w:t>
      </w:r>
      <w:r w:rsidR="00635C69">
        <w:rPr>
          <w:spacing w:val="-1"/>
        </w:rPr>
        <w:t xml:space="preserve">BPP) </w:t>
      </w:r>
      <w:r w:rsidRPr="002D10C4">
        <w:rPr>
          <w:spacing w:val="-1"/>
        </w:rPr>
        <w:t>d</w:t>
      </w:r>
      <w:r w:rsidR="00635C69">
        <w:rPr>
          <w:spacing w:val="-1"/>
        </w:rPr>
        <w:t>e</w:t>
      </w:r>
      <w:r w:rsidRPr="002D10C4">
        <w:rPr>
          <w:spacing w:val="-1"/>
        </w:rPr>
        <w:t xml:space="preserve"> </w:t>
      </w:r>
      <w:r w:rsidR="00635C69">
        <w:rPr>
          <w:spacing w:val="-1"/>
        </w:rPr>
        <w:t>l’</w:t>
      </w:r>
      <w:r w:rsidRPr="002D10C4">
        <w:rPr>
          <w:spacing w:val="-1"/>
        </w:rPr>
        <w:t xml:space="preserve">échantillon </w:t>
      </w:r>
      <w:r w:rsidR="0034411F">
        <w:rPr>
          <w:spacing w:val="-1"/>
        </w:rPr>
        <w:t>représentatif</w:t>
      </w:r>
    </w:p>
    <w:p w14:paraId="5204E7DF" w14:textId="417C2799" w:rsidR="00794487" w:rsidRPr="00D90214" w:rsidRDefault="00794487" w:rsidP="00FC5A92">
      <w:pPr>
        <w:pStyle w:val="SingleTxtG"/>
      </w:pPr>
      <w:r>
        <w:t xml:space="preserve">Chaque échantillon est représenté par un point dont les coordonnées sont la valeur moyenne </w:t>
      </w:r>
      <w:r w:rsidR="00635C69">
        <w:t xml:space="preserve">et l’écart type </w:t>
      </w:r>
      <w:r>
        <w:t>des résultats de</w:t>
      </w:r>
      <w:r w:rsidR="00635C69">
        <w:t>s tests</w:t>
      </w:r>
      <w:r>
        <w:t xml:space="preserve"> d’éclatement de l’échantillon, chacun </w:t>
      </w:r>
      <w:r w:rsidR="00135EDB">
        <w:t>normalisé</w:t>
      </w:r>
      <w:r w:rsidR="00EF7D8F">
        <w:t xml:space="preserve"> par la pression d’épreuve </w:t>
      </w:r>
      <w:r>
        <w:t>correspondant</w:t>
      </w:r>
      <w:r w:rsidR="00EF7D8F">
        <w:t>e</w:t>
      </w:r>
      <w:r>
        <w:t>.</w:t>
      </w:r>
    </w:p>
    <w:p w14:paraId="21403087" w14:textId="53DC3398" w:rsidR="00DC49F0" w:rsidRDefault="000660A0" w:rsidP="00DC49F0">
      <w:pPr>
        <w:spacing w:after="120"/>
        <w:ind w:left="1701" w:right="1134"/>
        <w:jc w:val="center"/>
        <w:rPr>
          <w:lang w:val="en-US"/>
        </w:rPr>
      </w:pPr>
      <w:r w:rsidRPr="0034411F">
        <w:rPr>
          <w:position w:val="-28"/>
          <w:lang w:val="en-US"/>
        </w:rPr>
        <w:object w:dxaOrig="3019" w:dyaOrig="680" w14:anchorId="6083A0A6">
          <v:shape id="_x0000_i1027" type="#_x0000_t75" style="width:151.5pt;height:34.5pt" o:ole="">
            <v:imagedata r:id="rId11" o:title=""/>
          </v:shape>
          <o:OLEObject Type="Embed" ProgID="Equation.3" ShapeID="_x0000_i1027" DrawAspect="Content" ObjectID="_1568012666" r:id="rId12"/>
        </w:object>
      </w:r>
    </w:p>
    <w:p w14:paraId="36926EB4" w14:textId="77777777" w:rsidR="00794487" w:rsidRPr="0012564C" w:rsidRDefault="00794487" w:rsidP="0066316D">
      <w:pPr>
        <w:pStyle w:val="SingleTxtG"/>
      </w:pPr>
      <w:r>
        <w:t>où</w:t>
      </w:r>
    </w:p>
    <w:p w14:paraId="2AADCA0E" w14:textId="77777777" w:rsidR="00794487" w:rsidRPr="0014434B" w:rsidRDefault="00794487" w:rsidP="005B5393">
      <w:pPr>
        <w:pStyle w:val="SingleTxtG"/>
      </w:pPr>
      <w:r>
        <w:t>x</w:t>
      </w:r>
      <w:r w:rsidR="00B16DD0">
        <w:t> :</w:t>
      </w:r>
      <w:r>
        <w:t xml:space="preserve"> moyenne de l’échantillon</w:t>
      </w:r>
      <w:r w:rsidR="00B16DD0">
        <w:t> ;</w:t>
      </w:r>
    </w:p>
    <w:p w14:paraId="682D4CAE" w14:textId="77777777" w:rsidR="00794487" w:rsidRPr="0014434B" w:rsidRDefault="00794487" w:rsidP="005B5393">
      <w:pPr>
        <w:pStyle w:val="SingleTxtG"/>
      </w:pPr>
      <w:r>
        <w:t>s</w:t>
      </w:r>
      <w:r w:rsidR="00B16DD0">
        <w:t> :</w:t>
      </w:r>
      <w:r>
        <w:t xml:space="preserve"> écart type de l’échantillon</w:t>
      </w:r>
      <w:r w:rsidR="00B16DD0">
        <w:t> ;</w:t>
      </w:r>
    </w:p>
    <w:p w14:paraId="2CE3A7FF" w14:textId="77777777" w:rsidR="00794487" w:rsidRPr="0014434B" w:rsidRDefault="00794487" w:rsidP="005B5393">
      <w:pPr>
        <w:pStyle w:val="SingleTxtG"/>
      </w:pPr>
      <w:r w:rsidRPr="0014434B">
        <w:t>PH</w:t>
      </w:r>
      <w:r w:rsidR="00B16DD0">
        <w:t> :</w:t>
      </w:r>
      <w:r w:rsidRPr="0014434B">
        <w:t xml:space="preserve"> </w:t>
      </w:r>
      <w:r w:rsidR="00D14616">
        <w:t>Pression d’épreuve.</w:t>
      </w:r>
    </w:p>
    <w:p w14:paraId="34B0B3FC" w14:textId="73D976E0" w:rsidR="00794487" w:rsidRDefault="00794487" w:rsidP="002D10C4">
      <w:pPr>
        <w:pStyle w:val="SingleTxtG"/>
        <w:keepNext/>
      </w:pPr>
      <w:r>
        <w:t>Étape 2</w:t>
      </w:r>
      <w:r w:rsidR="00B16DD0">
        <w:t> :</w:t>
      </w:r>
      <w:r>
        <w:t xml:space="preserve"> Tracé sur un </w:t>
      </w:r>
      <w:r w:rsidR="00EF7D8F">
        <w:t>T</w:t>
      </w:r>
      <w:r>
        <w:t>ableau d</w:t>
      </w:r>
      <w:r w:rsidR="00EF7D8F">
        <w:t>e Performance</w:t>
      </w:r>
      <w:r>
        <w:t xml:space="preserve"> des </w:t>
      </w:r>
      <w:r w:rsidR="00EF7D8F">
        <w:t>E</w:t>
      </w:r>
      <w:r>
        <w:t>chantillons</w:t>
      </w:r>
    </w:p>
    <w:p w14:paraId="79F595EC" w14:textId="223F1871" w:rsidR="00794487" w:rsidRPr="003F114D" w:rsidRDefault="00794487" w:rsidP="002D10C4">
      <w:pPr>
        <w:pStyle w:val="SingleTxtG"/>
        <w:keepNext/>
      </w:pPr>
      <w:r>
        <w:t xml:space="preserve">Chaque </w:t>
      </w:r>
      <w:r w:rsidR="00EF7D8F">
        <w:t xml:space="preserve">point de pression d’éclatement </w:t>
      </w:r>
      <w:r>
        <w:t xml:space="preserve">est porté sur un </w:t>
      </w:r>
      <w:r w:rsidR="00EF7D8F">
        <w:t>T</w:t>
      </w:r>
      <w:r>
        <w:t>ableau</w:t>
      </w:r>
      <w:r w:rsidR="00EF7D8F">
        <w:t xml:space="preserve"> de Performance des Echantillons</w:t>
      </w:r>
      <w:r>
        <w:t xml:space="preserve"> avec les axes suivants</w:t>
      </w:r>
      <w:r w:rsidR="00B16DD0">
        <w:t> :</w:t>
      </w:r>
    </w:p>
    <w:p w14:paraId="5D857498" w14:textId="78786104" w:rsidR="00794487" w:rsidRPr="005B5393" w:rsidRDefault="00794487" w:rsidP="005B5393">
      <w:pPr>
        <w:pStyle w:val="Bullet1G"/>
      </w:pPr>
      <w:r w:rsidRPr="005B5393">
        <w:t>Abscisse</w:t>
      </w:r>
      <w:r w:rsidR="00B16DD0" w:rsidRPr="005B5393">
        <w:t> :</w:t>
      </w:r>
      <w:r w:rsidRPr="005B5393">
        <w:t xml:space="preserve"> écart type </w:t>
      </w:r>
      <w:r w:rsidR="00135EDB">
        <w:t>normalisé par</w:t>
      </w:r>
      <w:r w:rsidRPr="005B5393">
        <w:t xml:space="preserve"> la pression d’épreuve (Ωs)</w:t>
      </w:r>
      <w:r w:rsidR="00D14616">
        <w:t> ;</w:t>
      </w:r>
    </w:p>
    <w:p w14:paraId="63D6E0C8" w14:textId="144200DE" w:rsidR="00794487" w:rsidRPr="00FF20F6" w:rsidRDefault="00794487" w:rsidP="005B5393">
      <w:pPr>
        <w:pStyle w:val="Bullet1G"/>
      </w:pPr>
      <w:r w:rsidRPr="005B5393">
        <w:lastRenderedPageBreak/>
        <w:t>Or</w:t>
      </w:r>
      <w:r>
        <w:t>donnée</w:t>
      </w:r>
      <w:r w:rsidR="00B16DD0">
        <w:t> :</w:t>
      </w:r>
      <w:r>
        <w:t xml:space="preserve"> moyenne </w:t>
      </w:r>
      <w:r w:rsidR="00135EDB">
        <w:t>normalisé par</w:t>
      </w:r>
      <w:r>
        <w:t xml:space="preserve"> la pression d’épreuve (Ωm)</w:t>
      </w:r>
      <w:r w:rsidR="00D14616">
        <w:t>.</w:t>
      </w:r>
    </w:p>
    <w:p w14:paraId="457A3245" w14:textId="7AC3A473" w:rsidR="00794487" w:rsidRPr="008263FB" w:rsidRDefault="00794487" w:rsidP="005B5393">
      <w:pPr>
        <w:pStyle w:val="SingleTxtG"/>
        <w:keepNext/>
      </w:pPr>
      <w:r>
        <w:t>Étape 3</w:t>
      </w:r>
      <w:r w:rsidR="00B16DD0">
        <w:t> :</w:t>
      </w:r>
      <w:r>
        <w:t xml:space="preserve"> </w:t>
      </w:r>
      <w:r w:rsidR="007B2F9B">
        <w:t xml:space="preserve">Détermination </w:t>
      </w:r>
      <w:r>
        <w:t xml:space="preserve">de la limite inférieure de </w:t>
      </w:r>
      <w:r w:rsidR="009D16A0">
        <w:t>l’intervalle</w:t>
      </w:r>
      <w:r>
        <w:t xml:space="preserve"> de tolérance dans le </w:t>
      </w:r>
      <w:r w:rsidR="009D16A0">
        <w:t>T</w:t>
      </w:r>
      <w:r>
        <w:t xml:space="preserve">ableau du </w:t>
      </w:r>
      <w:r w:rsidR="009D16A0">
        <w:t>Performance</w:t>
      </w:r>
      <w:r>
        <w:t xml:space="preserve"> des </w:t>
      </w:r>
      <w:r w:rsidR="009D16A0">
        <w:t>E</w:t>
      </w:r>
      <w:r>
        <w:t>chantillons</w:t>
      </w:r>
    </w:p>
    <w:p w14:paraId="7BE76431" w14:textId="2A656C98" w:rsidR="00794487" w:rsidRPr="008263FB" w:rsidRDefault="00794487" w:rsidP="005B5393">
      <w:pPr>
        <w:pStyle w:val="SingleTxtG"/>
      </w:pPr>
      <w:r>
        <w:t xml:space="preserve">Les résultats concernant la pression d’éclatement doivent d’abord être contrôlés conformément </w:t>
      </w:r>
      <w:r w:rsidR="009D16A0">
        <w:t xml:space="preserve">au Test </w:t>
      </w:r>
      <w:r>
        <w:t>conjoint (</w:t>
      </w:r>
      <w:r w:rsidR="009D16A0">
        <w:t xml:space="preserve">test </w:t>
      </w:r>
      <w:r>
        <w:t>multidirectionnel) en utilisant un niveau de signification α</w:t>
      </w:r>
      <w:r w:rsidR="005B5393">
        <w:t xml:space="preserve"> </w:t>
      </w:r>
      <w:r>
        <w:t>=</w:t>
      </w:r>
      <w:r w:rsidR="005B5393">
        <w:t xml:space="preserve"> </w:t>
      </w:r>
      <w:r>
        <w:t>0</w:t>
      </w:r>
      <w:r w:rsidR="005B5393">
        <w:t>,</w:t>
      </w:r>
      <w:r>
        <w:t>05 (voir le paragraphe 7 de la norme ISO 5479</w:t>
      </w:r>
      <w:r w:rsidR="00B16DD0">
        <w:t>:</w:t>
      </w:r>
      <w:r>
        <w:t xml:space="preserve">1997) afin de déterminer si la distribution des résultats pour chaque échantillon est normale ou </w:t>
      </w:r>
      <w:r w:rsidR="005748B4">
        <w:t>non-</w:t>
      </w:r>
      <w:r>
        <w:t>normale.</w:t>
      </w:r>
    </w:p>
    <w:p w14:paraId="76FBB7EA" w14:textId="6ADB40F7" w:rsidR="00794487" w:rsidRPr="005B5393" w:rsidRDefault="00794487" w:rsidP="005B5393">
      <w:pPr>
        <w:pStyle w:val="Bullet1G"/>
      </w:pPr>
      <w:r>
        <w:t>Pour une distribution normale, le moyen de déterminer la limite i</w:t>
      </w:r>
      <w:r w:rsidRPr="005B5393">
        <w:t xml:space="preserve">nférieure de </w:t>
      </w:r>
      <w:r w:rsidR="005748B4">
        <w:t>l’intervalle</w:t>
      </w:r>
      <w:r w:rsidRPr="005B5393">
        <w:t xml:space="preserve"> de tolérance est expliqué à l’étape 3.1.</w:t>
      </w:r>
    </w:p>
    <w:p w14:paraId="31CB7FA0" w14:textId="1BF2416E" w:rsidR="00794487" w:rsidRPr="005B5393" w:rsidRDefault="00794487" w:rsidP="005B5393">
      <w:pPr>
        <w:pStyle w:val="Bullet1G"/>
      </w:pPr>
      <w:r w:rsidRPr="005B5393">
        <w:t xml:space="preserve">Pour une distribution </w:t>
      </w:r>
      <w:r w:rsidR="005748B4">
        <w:t>non-</w:t>
      </w:r>
      <w:r w:rsidRPr="005B5393">
        <w:t xml:space="preserve">normale, le moyen de déterminer la limite inférieure de </w:t>
      </w:r>
      <w:r w:rsidR="005748B4">
        <w:t>l’intervalle de tolérance</w:t>
      </w:r>
      <w:r w:rsidRPr="005B5393">
        <w:t xml:space="preserve"> est expliqué à l’étape 3.2.</w:t>
      </w:r>
    </w:p>
    <w:p w14:paraId="66EBDB17" w14:textId="3363FE81" w:rsidR="00794487" w:rsidRPr="00D22710" w:rsidRDefault="00794487" w:rsidP="00794487">
      <w:pPr>
        <w:pStyle w:val="SingleTxtG"/>
      </w:pPr>
      <w:r>
        <w:t>Étape 3.1</w:t>
      </w:r>
      <w:r w:rsidR="00B16DD0">
        <w:t> :</w:t>
      </w:r>
      <w:r>
        <w:t xml:space="preserve"> </w:t>
      </w:r>
      <w:r w:rsidR="000C6043">
        <w:t xml:space="preserve">Limite </w:t>
      </w:r>
      <w:r>
        <w:t xml:space="preserve">inférieure de </w:t>
      </w:r>
      <w:r w:rsidR="00D82011">
        <w:t>l’intervalle</w:t>
      </w:r>
      <w:r>
        <w:t xml:space="preserve"> de tolérance pour les résultats </w:t>
      </w:r>
      <w:r w:rsidR="00D82011">
        <w:t xml:space="preserve">respectant </w:t>
      </w:r>
      <w:r>
        <w:t>une distribution normale</w:t>
      </w:r>
    </w:p>
    <w:p w14:paraId="0140E384" w14:textId="78F1D673" w:rsidR="00794487" w:rsidRPr="00D22710" w:rsidRDefault="00794487" w:rsidP="00794487">
      <w:pPr>
        <w:pStyle w:val="SingleTxtG"/>
      </w:pPr>
      <w:r>
        <w:t>Conformément à la norme ISO 16269-6</w:t>
      </w:r>
      <w:r w:rsidR="00E627A6">
        <w:t>:20</w:t>
      </w:r>
      <w:r>
        <w:t>05 et en considérant que la variance est inconnue, l</w:t>
      </w:r>
      <w:r w:rsidR="00D82011">
        <w:t>’intervalle statistique</w:t>
      </w:r>
      <w:r>
        <w:t xml:space="preserve"> de tolérance unilatéral doit être déterminé po</w:t>
      </w:r>
      <w:r w:rsidR="00606D18">
        <w:t>ur un niveau de confiance de 95 </w:t>
      </w:r>
      <w:r>
        <w:t>% et une fraction d</w:t>
      </w:r>
      <w:r w:rsidR="00606D18">
        <w:t>e la population égale à 99,9999 </w:t>
      </w:r>
      <w:r>
        <w:t>%.</w:t>
      </w:r>
    </w:p>
    <w:p w14:paraId="3164F07B" w14:textId="5E9A2AB9" w:rsidR="00794487" w:rsidRPr="009A7146" w:rsidRDefault="00794487" w:rsidP="00794487">
      <w:pPr>
        <w:pStyle w:val="SingleTxtG"/>
      </w:pPr>
      <w:r>
        <w:t xml:space="preserve">Dans le </w:t>
      </w:r>
      <w:r w:rsidR="00D82011">
        <w:t>T</w:t>
      </w:r>
      <w:r>
        <w:t>ableau d</w:t>
      </w:r>
      <w:r w:rsidR="00D82011">
        <w:t>e</w:t>
      </w:r>
      <w:r>
        <w:t xml:space="preserve"> </w:t>
      </w:r>
      <w:r w:rsidR="00D82011">
        <w:t>Performance</w:t>
      </w:r>
      <w:r>
        <w:t xml:space="preserve"> des </w:t>
      </w:r>
      <w:r w:rsidR="00D82011">
        <w:t>E</w:t>
      </w:r>
      <w:r>
        <w:t>chantillons, la limite inférieure de l</w:t>
      </w:r>
      <w:r w:rsidR="00D82011">
        <w:t>’intervalle</w:t>
      </w:r>
      <w:r>
        <w:t xml:space="preserve"> de tolérance est représentée par une ligne </w:t>
      </w:r>
      <w:r w:rsidR="00D82011">
        <w:t xml:space="preserve">de taux de survie </w:t>
      </w:r>
      <w:r>
        <w:t>constant déterminée par la formule suivante</w:t>
      </w:r>
      <w:r w:rsidR="00B16DD0">
        <w:t> :</w:t>
      </w:r>
    </w:p>
    <w:p w14:paraId="086A7B00" w14:textId="77777777" w:rsidR="00794487" w:rsidRPr="00981A11" w:rsidRDefault="00794487" w:rsidP="00794487">
      <w:pPr>
        <w:pStyle w:val="SingleTxtG"/>
        <w:ind w:left="1689"/>
        <w:jc w:val="center"/>
        <w:rPr>
          <w:b/>
        </w:rPr>
      </w:pPr>
      <w:r w:rsidRPr="00FF20F6">
        <w:rPr>
          <w:b/>
        </w:rPr>
        <w:t>Ω</w:t>
      </w:r>
      <w:r w:rsidRPr="00FF20F6">
        <w:rPr>
          <w:b/>
          <w:vertAlign w:val="subscript"/>
        </w:rPr>
        <w:t>m</w:t>
      </w:r>
      <w:r w:rsidRPr="00981A11" w:rsidDel="00250403">
        <w:rPr>
          <w:b/>
        </w:rPr>
        <w:t xml:space="preserve"> </w:t>
      </w:r>
      <w:r w:rsidRPr="00981A11">
        <w:rPr>
          <w:b/>
        </w:rPr>
        <w:t xml:space="preserve">= 1 + </w:t>
      </w:r>
      <w:r w:rsidRPr="00FF20F6">
        <w:rPr>
          <w:b/>
        </w:rPr>
        <w:t>Ω</w:t>
      </w:r>
      <w:r w:rsidRPr="00FF20F6">
        <w:rPr>
          <w:b/>
          <w:vertAlign w:val="subscript"/>
        </w:rPr>
        <w:t>s</w:t>
      </w:r>
      <w:r w:rsidRPr="00820752">
        <w:rPr>
          <w:b/>
        </w:rPr>
        <w:t xml:space="preserve"> </w:t>
      </w:r>
      <w:r w:rsidRPr="00981A11">
        <w:rPr>
          <w:b/>
        </w:rPr>
        <w:t>× k3</w:t>
      </w:r>
      <w:r w:rsidR="002A49BB">
        <w:rPr>
          <w:b/>
        </w:rPr>
        <w:t xml:space="preserve"> </w:t>
      </w:r>
      <w:r w:rsidRPr="00981A11">
        <w:rPr>
          <w:b/>
        </w:rPr>
        <w:t>(n</w:t>
      </w:r>
      <w:r w:rsidR="00B16DD0">
        <w:rPr>
          <w:b/>
        </w:rPr>
        <w:t>;</w:t>
      </w:r>
      <w:r w:rsidRPr="00981A11">
        <w:rPr>
          <w:b/>
        </w:rPr>
        <w:t>p</w:t>
      </w:r>
      <w:r w:rsidR="00B16DD0">
        <w:rPr>
          <w:b/>
        </w:rPr>
        <w:t>;</w:t>
      </w:r>
      <w:r w:rsidRPr="00981A11">
        <w:rPr>
          <w:b/>
        </w:rPr>
        <w:t>1-</w:t>
      </w:r>
      <w:r w:rsidRPr="00250403">
        <w:rPr>
          <w:b/>
          <w:lang w:val="en-US"/>
        </w:rPr>
        <w:t>α</w:t>
      </w:r>
      <w:r w:rsidRPr="00981A11">
        <w:rPr>
          <w:b/>
        </w:rPr>
        <w:t>)</w:t>
      </w:r>
    </w:p>
    <w:p w14:paraId="77FD6595" w14:textId="77777777" w:rsidR="00794487" w:rsidRPr="0014434B" w:rsidRDefault="00794487" w:rsidP="00794487">
      <w:pPr>
        <w:pStyle w:val="SingleTxtG"/>
      </w:pPr>
      <w:r>
        <w:t>où</w:t>
      </w:r>
    </w:p>
    <w:p w14:paraId="4F2EFEA0" w14:textId="54EB3D57" w:rsidR="00794487" w:rsidRPr="0014434B" w:rsidRDefault="00794487" w:rsidP="00794487">
      <w:pPr>
        <w:pStyle w:val="SingleTxtG"/>
      </w:pPr>
      <w:r>
        <w:t>k3</w:t>
      </w:r>
      <w:r w:rsidR="00B16DD0">
        <w:t> :</w:t>
      </w:r>
      <w:r>
        <w:t xml:space="preserve"> facteur fonction de n, p et 1-</w:t>
      </w:r>
      <w:r w:rsidR="002A49BB">
        <w:t xml:space="preserve"> </w:t>
      </w:r>
      <w:r>
        <w:t>α</w:t>
      </w:r>
      <w:r w:rsidR="00B16DD0">
        <w:t> ;</w:t>
      </w:r>
    </w:p>
    <w:p w14:paraId="58EB1B29" w14:textId="6018F9ED" w:rsidR="00794487" w:rsidRPr="0014434B" w:rsidRDefault="00794487" w:rsidP="00794487">
      <w:pPr>
        <w:pStyle w:val="SingleTxtG"/>
      </w:pPr>
      <w:r>
        <w:t>p</w:t>
      </w:r>
      <w:r w:rsidR="00B16DD0">
        <w:t> :</w:t>
      </w:r>
      <w:r>
        <w:t xml:space="preserve"> </w:t>
      </w:r>
      <w:r w:rsidR="004B1A3A">
        <w:t xml:space="preserve">Fraction </w:t>
      </w:r>
      <w:r>
        <w:t>de la population choisie pour</w:t>
      </w:r>
      <w:r w:rsidR="002A49BB">
        <w:t xml:space="preserve"> </w:t>
      </w:r>
      <w:r w:rsidR="004B1A3A">
        <w:t>l’intervalle</w:t>
      </w:r>
      <w:r w:rsidR="002A49BB">
        <w:t xml:space="preserve"> de tolérance (99,9999 </w:t>
      </w:r>
      <w:r>
        <w:t>%)</w:t>
      </w:r>
      <w:r w:rsidR="00B16DD0">
        <w:t> ;</w:t>
      </w:r>
    </w:p>
    <w:p w14:paraId="4E7DE855" w14:textId="77777777" w:rsidR="00794487" w:rsidRPr="0014434B" w:rsidRDefault="00794487" w:rsidP="00794487">
      <w:pPr>
        <w:pStyle w:val="SingleTxtG"/>
      </w:pPr>
      <w:r>
        <w:t>1- α</w:t>
      </w:r>
      <w:r w:rsidR="00B16DD0">
        <w:t> :</w:t>
      </w:r>
      <w:r w:rsidR="002A49BB">
        <w:t xml:space="preserve"> niveau de confiance (95 </w:t>
      </w:r>
      <w:r>
        <w:t>%)</w:t>
      </w:r>
      <w:r w:rsidR="00B16DD0">
        <w:t> ;</w:t>
      </w:r>
    </w:p>
    <w:p w14:paraId="4F46E90F" w14:textId="77777777" w:rsidR="00794487" w:rsidRPr="0014434B" w:rsidRDefault="00794487" w:rsidP="00794487">
      <w:pPr>
        <w:pStyle w:val="SingleTxtG"/>
      </w:pPr>
      <w:r>
        <w:t>n</w:t>
      </w:r>
      <w:r w:rsidR="00B16DD0">
        <w:t> :</w:t>
      </w:r>
      <w:r>
        <w:t xml:space="preserve"> taille de l’échantillon.</w:t>
      </w:r>
    </w:p>
    <w:p w14:paraId="6E67B8AB" w14:textId="14BDBAFA" w:rsidR="00794487" w:rsidRPr="0014434B" w:rsidRDefault="00794487" w:rsidP="00794487">
      <w:pPr>
        <w:pStyle w:val="SingleTxtG"/>
      </w:pPr>
      <w:r>
        <w:t xml:space="preserve">La valeur de k3 correspondant aux distributions normales </w:t>
      </w:r>
      <w:r w:rsidR="005730F6">
        <w:t>est donnée</w:t>
      </w:r>
      <w:r>
        <w:t xml:space="preserve"> dans le tableau à la fin de l’étape 3.</w:t>
      </w:r>
    </w:p>
    <w:p w14:paraId="1C245842" w14:textId="7A6A0E13" w:rsidR="00794487" w:rsidRPr="00FF20F6" w:rsidRDefault="00794487" w:rsidP="00794487">
      <w:pPr>
        <w:pStyle w:val="SingleTxtG"/>
      </w:pPr>
      <w:r>
        <w:t>Étape 3.2</w:t>
      </w:r>
      <w:r w:rsidR="00B16DD0">
        <w:t> :</w:t>
      </w:r>
      <w:r>
        <w:t xml:space="preserve"> </w:t>
      </w:r>
      <w:r w:rsidR="005730F6">
        <w:t>Limite inférieure de l’intervalle de tolérance pour les résultats respectant une distribution non-normale</w:t>
      </w:r>
    </w:p>
    <w:p w14:paraId="395A9140" w14:textId="330C18E1" w:rsidR="00794487" w:rsidRPr="0014434B" w:rsidRDefault="005730F6" w:rsidP="00794487">
      <w:pPr>
        <w:pStyle w:val="SingleTxtG"/>
      </w:pPr>
      <w:r>
        <w:t>L’intervalle statistique de tolérance unilatéral</w:t>
      </w:r>
      <w:r w:rsidR="00794487">
        <w:t xml:space="preserve"> doit être calculé po</w:t>
      </w:r>
      <w:r w:rsidR="005D2F9F">
        <w:t>ur un niveau de confiance de 95 </w:t>
      </w:r>
      <w:r w:rsidR="00794487">
        <w:t>% et une fraction de la population égale à 99,9999</w:t>
      </w:r>
      <w:r w:rsidR="005D2F9F">
        <w:t> </w:t>
      </w:r>
      <w:r w:rsidR="00794487">
        <w:t>%.</w:t>
      </w:r>
    </w:p>
    <w:p w14:paraId="628323B5" w14:textId="78EFAFED" w:rsidR="00794487" w:rsidRPr="0014434B" w:rsidRDefault="00794487" w:rsidP="00794487">
      <w:pPr>
        <w:pStyle w:val="SingleTxtG"/>
      </w:pPr>
      <w:r>
        <w:t>La limite inférieure de</w:t>
      </w:r>
      <w:r w:rsidR="00B16DD0">
        <w:t xml:space="preserve"> </w:t>
      </w:r>
      <w:r>
        <w:t xml:space="preserve">tolérance est représentée par une ligne </w:t>
      </w:r>
      <w:r w:rsidR="005730F6">
        <w:t>de</w:t>
      </w:r>
      <w:r>
        <w:t xml:space="preserve"> taux de survie </w:t>
      </w:r>
      <w:r w:rsidR="005730F6">
        <w:t xml:space="preserve">constant </w:t>
      </w:r>
      <w:r>
        <w:t>déterminée au moyen de la formule donnée à l’étape 3.1 précédente,</w:t>
      </w:r>
      <w:r w:rsidR="00B16DD0">
        <w:t xml:space="preserve"> </w:t>
      </w:r>
      <w:r>
        <w:t>où les facteurs k3 sont basés et calculés selon les propriétés d’une distribution de Weibull.</w:t>
      </w:r>
    </w:p>
    <w:p w14:paraId="5BFDC054" w14:textId="31911BF2" w:rsidR="00794487" w:rsidRPr="0014434B" w:rsidRDefault="00794487" w:rsidP="00794487">
      <w:pPr>
        <w:pStyle w:val="SingleTxtG"/>
      </w:pPr>
      <w:r>
        <w:t xml:space="preserve">La valeur de k3 </w:t>
      </w:r>
      <w:r w:rsidR="005730F6">
        <w:t xml:space="preserve">correspondant </w:t>
      </w:r>
      <w:r>
        <w:t xml:space="preserve">à une distribution de Weibull </w:t>
      </w:r>
      <w:r w:rsidR="005730F6">
        <w:t>est donnée dans le</w:t>
      </w:r>
      <w:r>
        <w:t xml:space="preserve"> tableau à la fin de l’étape 3.</w:t>
      </w:r>
    </w:p>
    <w:tbl>
      <w:tblPr>
        <w:tblStyle w:val="TableGrid"/>
        <w:tblW w:w="0" w:type="auto"/>
        <w:tblInd w:w="3397" w:type="dxa"/>
        <w:tblLayout w:type="fixed"/>
        <w:tblLook w:val="04A0" w:firstRow="1" w:lastRow="0" w:firstColumn="1" w:lastColumn="0" w:noHBand="0" w:noVBand="1"/>
      </w:tblPr>
      <w:tblGrid>
        <w:gridCol w:w="1699"/>
        <w:gridCol w:w="1417"/>
        <w:gridCol w:w="1418"/>
      </w:tblGrid>
      <w:tr w:rsidR="00794487" w:rsidRPr="00B14154" w14:paraId="0A8F4943" w14:textId="77777777" w:rsidTr="00D14616">
        <w:trPr>
          <w:tblHeader/>
        </w:trPr>
        <w:tc>
          <w:tcPr>
            <w:tcW w:w="4534" w:type="dxa"/>
            <w:gridSpan w:val="3"/>
          </w:tcPr>
          <w:p w14:paraId="30C82DBC" w14:textId="77777777" w:rsidR="00794487" w:rsidRPr="00B14154" w:rsidRDefault="00794487" w:rsidP="00750576">
            <w:pPr>
              <w:tabs>
                <w:tab w:val="left" w:pos="2423"/>
              </w:tabs>
              <w:spacing w:before="40" w:after="80" w:line="200" w:lineRule="atLeast"/>
              <w:ind w:left="113" w:right="113"/>
              <w:jc w:val="center"/>
              <w:rPr>
                <w:sz w:val="18"/>
                <w:szCs w:val="18"/>
              </w:rPr>
            </w:pPr>
            <w:r w:rsidRPr="00B14154">
              <w:rPr>
                <w:sz w:val="18"/>
                <w:szCs w:val="18"/>
              </w:rPr>
              <w:br w:type="page"/>
            </w:r>
            <w:r w:rsidRPr="00B14154">
              <w:rPr>
                <w:b/>
                <w:sz w:val="18"/>
                <w:szCs w:val="18"/>
              </w:rPr>
              <w:t>Tableau pour k3</w:t>
            </w:r>
            <w:r w:rsidR="00750576">
              <w:rPr>
                <w:b/>
                <w:sz w:val="18"/>
                <w:szCs w:val="18"/>
              </w:rPr>
              <w:br/>
            </w:r>
            <w:r w:rsidRPr="00B14154">
              <w:rPr>
                <w:sz w:val="18"/>
                <w:szCs w:val="18"/>
              </w:rPr>
              <w:t>p</w:t>
            </w:r>
            <w:r w:rsidR="00750576">
              <w:rPr>
                <w:sz w:val="18"/>
                <w:szCs w:val="18"/>
              </w:rPr>
              <w:t xml:space="preserve"> </w:t>
            </w:r>
            <w:r w:rsidRPr="00B14154">
              <w:rPr>
                <w:sz w:val="18"/>
                <w:szCs w:val="18"/>
              </w:rPr>
              <w:t>=</w:t>
            </w:r>
            <w:r w:rsidR="00750576">
              <w:rPr>
                <w:sz w:val="18"/>
                <w:szCs w:val="18"/>
              </w:rPr>
              <w:t xml:space="preserve"> </w:t>
            </w:r>
            <w:r w:rsidRPr="00B14154">
              <w:rPr>
                <w:sz w:val="18"/>
                <w:szCs w:val="18"/>
              </w:rPr>
              <w:t>99,9999</w:t>
            </w:r>
            <w:r w:rsidR="00750576">
              <w:rPr>
                <w:sz w:val="18"/>
                <w:szCs w:val="18"/>
              </w:rPr>
              <w:t> </w:t>
            </w:r>
            <w:r w:rsidR="0008416E">
              <w:rPr>
                <w:sz w:val="18"/>
                <w:szCs w:val="18"/>
              </w:rPr>
              <w:t>% et (1-</w:t>
            </w:r>
            <w:r w:rsidRPr="00B14154">
              <w:rPr>
                <w:sz w:val="18"/>
                <w:szCs w:val="18"/>
              </w:rPr>
              <w:t>α)</w:t>
            </w:r>
            <w:r w:rsidR="00750576">
              <w:rPr>
                <w:sz w:val="18"/>
                <w:szCs w:val="18"/>
              </w:rPr>
              <w:t xml:space="preserve"> </w:t>
            </w:r>
            <w:r w:rsidRPr="00B14154">
              <w:rPr>
                <w:sz w:val="18"/>
                <w:szCs w:val="18"/>
              </w:rPr>
              <w:t>=</w:t>
            </w:r>
            <w:r w:rsidR="00750576">
              <w:rPr>
                <w:sz w:val="18"/>
                <w:szCs w:val="18"/>
              </w:rPr>
              <w:t xml:space="preserve"> </w:t>
            </w:r>
            <w:r w:rsidRPr="00B14154">
              <w:rPr>
                <w:sz w:val="18"/>
                <w:szCs w:val="18"/>
              </w:rPr>
              <w:t>0,95</w:t>
            </w:r>
          </w:p>
        </w:tc>
      </w:tr>
      <w:tr w:rsidR="00794487" w:rsidRPr="00B14154" w14:paraId="1D126787" w14:textId="77777777" w:rsidTr="00D14616">
        <w:trPr>
          <w:tblHeader/>
        </w:trPr>
        <w:tc>
          <w:tcPr>
            <w:tcW w:w="1699" w:type="dxa"/>
          </w:tcPr>
          <w:p w14:paraId="35FA3927" w14:textId="77777777" w:rsidR="00794487" w:rsidRPr="00B14154" w:rsidRDefault="00794487" w:rsidP="00750576">
            <w:pPr>
              <w:tabs>
                <w:tab w:val="left" w:pos="2423"/>
              </w:tabs>
              <w:spacing w:before="40" w:after="80" w:line="200" w:lineRule="atLeast"/>
              <w:ind w:left="113" w:right="113"/>
              <w:jc w:val="center"/>
              <w:rPr>
                <w:b/>
                <w:sz w:val="18"/>
                <w:szCs w:val="18"/>
              </w:rPr>
            </w:pPr>
            <w:r w:rsidRPr="00B14154">
              <w:rPr>
                <w:b/>
                <w:sz w:val="18"/>
                <w:szCs w:val="18"/>
              </w:rPr>
              <w:t>Taille de l’échantillon</w:t>
            </w:r>
            <w:r w:rsidR="00750576">
              <w:rPr>
                <w:b/>
                <w:sz w:val="18"/>
                <w:szCs w:val="18"/>
              </w:rPr>
              <w:br/>
            </w:r>
            <w:r w:rsidRPr="00B14154">
              <w:rPr>
                <w:b/>
                <w:sz w:val="18"/>
                <w:szCs w:val="18"/>
              </w:rPr>
              <w:t>n</w:t>
            </w:r>
          </w:p>
        </w:tc>
        <w:tc>
          <w:tcPr>
            <w:tcW w:w="1417" w:type="dxa"/>
          </w:tcPr>
          <w:p w14:paraId="5B6F4E48" w14:textId="77777777" w:rsidR="00794487" w:rsidRPr="00B14154" w:rsidRDefault="00794487" w:rsidP="00750576">
            <w:pPr>
              <w:tabs>
                <w:tab w:val="left" w:pos="2423"/>
              </w:tabs>
              <w:spacing w:before="40" w:after="80" w:line="200" w:lineRule="atLeast"/>
              <w:ind w:left="113" w:right="113"/>
              <w:jc w:val="center"/>
              <w:rPr>
                <w:b/>
                <w:sz w:val="18"/>
                <w:szCs w:val="18"/>
              </w:rPr>
            </w:pPr>
            <w:r w:rsidRPr="00B14154">
              <w:rPr>
                <w:b/>
                <w:sz w:val="18"/>
                <w:szCs w:val="18"/>
              </w:rPr>
              <w:t>Distribution normale</w:t>
            </w:r>
            <w:r w:rsidR="00750576">
              <w:rPr>
                <w:b/>
                <w:sz w:val="18"/>
                <w:szCs w:val="18"/>
              </w:rPr>
              <w:br/>
            </w:r>
            <w:r w:rsidRPr="00B14154">
              <w:rPr>
                <w:b/>
                <w:sz w:val="18"/>
                <w:szCs w:val="18"/>
              </w:rPr>
              <w:t>k3</w:t>
            </w:r>
          </w:p>
        </w:tc>
        <w:tc>
          <w:tcPr>
            <w:tcW w:w="1418" w:type="dxa"/>
          </w:tcPr>
          <w:p w14:paraId="581AF413" w14:textId="77777777" w:rsidR="00794487" w:rsidRPr="00B14154" w:rsidRDefault="00794487" w:rsidP="00E43938">
            <w:pPr>
              <w:tabs>
                <w:tab w:val="left" w:pos="2423"/>
              </w:tabs>
              <w:spacing w:before="40" w:after="80" w:line="200" w:lineRule="atLeast"/>
              <w:ind w:left="113" w:right="113"/>
              <w:jc w:val="center"/>
              <w:rPr>
                <w:b/>
                <w:sz w:val="18"/>
                <w:szCs w:val="18"/>
              </w:rPr>
            </w:pPr>
            <w:r w:rsidRPr="00B14154">
              <w:rPr>
                <w:b/>
                <w:sz w:val="18"/>
                <w:szCs w:val="18"/>
              </w:rPr>
              <w:t>Distribution de</w:t>
            </w:r>
            <w:r w:rsidR="00E43938">
              <w:rPr>
                <w:b/>
                <w:sz w:val="18"/>
                <w:szCs w:val="18"/>
              </w:rPr>
              <w:t> </w:t>
            </w:r>
            <w:r w:rsidRPr="00B14154">
              <w:rPr>
                <w:b/>
                <w:sz w:val="18"/>
                <w:szCs w:val="18"/>
              </w:rPr>
              <w:t>Weibull</w:t>
            </w:r>
            <w:r w:rsidR="00750576">
              <w:rPr>
                <w:b/>
                <w:sz w:val="18"/>
                <w:szCs w:val="18"/>
              </w:rPr>
              <w:br/>
            </w:r>
            <w:r w:rsidRPr="00B14154">
              <w:rPr>
                <w:b/>
                <w:sz w:val="18"/>
                <w:szCs w:val="18"/>
              </w:rPr>
              <w:t>k3</w:t>
            </w:r>
          </w:p>
        </w:tc>
      </w:tr>
      <w:tr w:rsidR="00794487" w:rsidRPr="00B14154" w14:paraId="10B00479" w14:textId="77777777" w:rsidTr="00794487">
        <w:trPr>
          <w:trHeight w:val="300"/>
        </w:trPr>
        <w:tc>
          <w:tcPr>
            <w:tcW w:w="1699" w:type="dxa"/>
          </w:tcPr>
          <w:p w14:paraId="661A6BB9"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1EA39590"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6,901</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04AD8ABC"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16,021</w:t>
            </w:r>
          </w:p>
        </w:tc>
      </w:tr>
      <w:tr w:rsidR="00794487" w:rsidRPr="00B14154" w14:paraId="2B1AB4A2" w14:textId="77777777" w:rsidTr="00794487">
        <w:trPr>
          <w:trHeight w:val="300"/>
        </w:trPr>
        <w:tc>
          <w:tcPr>
            <w:tcW w:w="1699" w:type="dxa"/>
          </w:tcPr>
          <w:p w14:paraId="4BA855F2"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22</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13F60367"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6,765</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5FED3BC4"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15,722</w:t>
            </w:r>
          </w:p>
        </w:tc>
      </w:tr>
      <w:tr w:rsidR="00794487" w:rsidRPr="00B14154" w14:paraId="732142AB" w14:textId="77777777" w:rsidTr="00794487">
        <w:trPr>
          <w:trHeight w:val="300"/>
        </w:trPr>
        <w:tc>
          <w:tcPr>
            <w:tcW w:w="1699" w:type="dxa"/>
          </w:tcPr>
          <w:p w14:paraId="3A9069F1"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24</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513D1A24"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6,651</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3020BDE2"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15,472</w:t>
            </w:r>
          </w:p>
        </w:tc>
      </w:tr>
      <w:tr w:rsidR="00794487" w:rsidRPr="00B14154" w14:paraId="21EE5D29" w14:textId="77777777" w:rsidTr="00794487">
        <w:trPr>
          <w:trHeight w:val="300"/>
        </w:trPr>
        <w:tc>
          <w:tcPr>
            <w:tcW w:w="1699" w:type="dxa"/>
          </w:tcPr>
          <w:p w14:paraId="5E078378"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26</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614B7B6B"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6,553</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27CA9622"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15,258</w:t>
            </w:r>
          </w:p>
        </w:tc>
      </w:tr>
      <w:tr w:rsidR="00794487" w:rsidRPr="00B14154" w14:paraId="662BEDFA" w14:textId="77777777" w:rsidTr="00794487">
        <w:trPr>
          <w:trHeight w:val="300"/>
        </w:trPr>
        <w:tc>
          <w:tcPr>
            <w:tcW w:w="1699" w:type="dxa"/>
          </w:tcPr>
          <w:p w14:paraId="5078BA52"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28</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4290C01E"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6,468</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4627210E"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15,072</w:t>
            </w:r>
          </w:p>
        </w:tc>
      </w:tr>
      <w:tr w:rsidR="00794487" w:rsidRPr="00B14154" w14:paraId="3785AABE" w14:textId="77777777" w:rsidTr="00794487">
        <w:trPr>
          <w:trHeight w:val="300"/>
        </w:trPr>
        <w:tc>
          <w:tcPr>
            <w:tcW w:w="1699" w:type="dxa"/>
          </w:tcPr>
          <w:p w14:paraId="3E556C22"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30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6E2225CC"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6,393</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2F10EDF5"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14,909</w:t>
            </w:r>
          </w:p>
        </w:tc>
      </w:tr>
      <w:tr w:rsidR="00794487" w:rsidRPr="00B14154" w14:paraId="7253F877" w14:textId="77777777" w:rsidTr="00794487">
        <w:trPr>
          <w:trHeight w:val="300"/>
        </w:trPr>
        <w:tc>
          <w:tcPr>
            <w:tcW w:w="1699" w:type="dxa"/>
          </w:tcPr>
          <w:p w14:paraId="1DF41397"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lastRenderedPageBreak/>
              <w:t>35</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37A05628"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6,241</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1D160F41"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14,578</w:t>
            </w:r>
          </w:p>
        </w:tc>
      </w:tr>
      <w:tr w:rsidR="00794487" w:rsidRPr="00B14154" w14:paraId="55686E9F" w14:textId="77777777" w:rsidTr="00794487">
        <w:trPr>
          <w:trHeight w:val="300"/>
        </w:trPr>
        <w:tc>
          <w:tcPr>
            <w:tcW w:w="1699" w:type="dxa"/>
          </w:tcPr>
          <w:p w14:paraId="1A6FF4DA"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40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54112057"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6,123</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30129EF2"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14,321</w:t>
            </w:r>
          </w:p>
        </w:tc>
      </w:tr>
      <w:tr w:rsidR="00794487" w:rsidRPr="00B14154" w14:paraId="0B1D4836" w14:textId="77777777" w:rsidTr="00794487">
        <w:trPr>
          <w:trHeight w:val="300"/>
        </w:trPr>
        <w:tc>
          <w:tcPr>
            <w:tcW w:w="1699" w:type="dxa"/>
          </w:tcPr>
          <w:p w14:paraId="2268B942"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45</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2697D73E"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6,028</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2A293D31"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14,116</w:t>
            </w:r>
          </w:p>
        </w:tc>
      </w:tr>
      <w:tr w:rsidR="00794487" w:rsidRPr="00B14154" w14:paraId="2AB735B0" w14:textId="77777777" w:rsidTr="00794487">
        <w:trPr>
          <w:trHeight w:val="300"/>
        </w:trPr>
        <w:tc>
          <w:tcPr>
            <w:tcW w:w="1699" w:type="dxa"/>
          </w:tcPr>
          <w:p w14:paraId="7D67F710"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187E0A8A"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5,949</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36670F00"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13,947</w:t>
            </w:r>
          </w:p>
        </w:tc>
      </w:tr>
      <w:tr w:rsidR="00794487" w:rsidRPr="00B14154" w14:paraId="6E209634" w14:textId="77777777" w:rsidTr="00794487">
        <w:trPr>
          <w:trHeight w:val="300"/>
        </w:trPr>
        <w:tc>
          <w:tcPr>
            <w:tcW w:w="1699" w:type="dxa"/>
          </w:tcPr>
          <w:p w14:paraId="51936DBD"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1FE5CC78"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5,827</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4DE1E525"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13,683</w:t>
            </w:r>
          </w:p>
        </w:tc>
      </w:tr>
      <w:tr w:rsidR="00794487" w:rsidRPr="00B14154" w14:paraId="3A0E69F2" w14:textId="77777777" w:rsidTr="00794487">
        <w:trPr>
          <w:trHeight w:val="300"/>
        </w:trPr>
        <w:tc>
          <w:tcPr>
            <w:tcW w:w="1699" w:type="dxa"/>
          </w:tcPr>
          <w:p w14:paraId="732F39F4"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70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75CF4996"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5,735</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2C46FAC0"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13,485</w:t>
            </w:r>
          </w:p>
        </w:tc>
      </w:tr>
      <w:tr w:rsidR="00794487" w:rsidRPr="00B14154" w14:paraId="581CFC56" w14:textId="77777777" w:rsidTr="00794487">
        <w:trPr>
          <w:trHeight w:val="300"/>
        </w:trPr>
        <w:tc>
          <w:tcPr>
            <w:tcW w:w="1699" w:type="dxa"/>
          </w:tcPr>
          <w:p w14:paraId="56034CB8"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80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57A30695"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5,662</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244076DF"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13,329</w:t>
            </w:r>
          </w:p>
        </w:tc>
      </w:tr>
      <w:tr w:rsidR="00794487" w:rsidRPr="00B14154" w14:paraId="3275ECE2" w14:textId="77777777" w:rsidTr="00794487">
        <w:trPr>
          <w:trHeight w:val="300"/>
        </w:trPr>
        <w:tc>
          <w:tcPr>
            <w:tcW w:w="1699" w:type="dxa"/>
          </w:tcPr>
          <w:p w14:paraId="6B095957"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90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60B5403C"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5,603</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246E31B7"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13,203</w:t>
            </w:r>
          </w:p>
        </w:tc>
      </w:tr>
      <w:tr w:rsidR="00794487" w:rsidRPr="00B14154" w14:paraId="4F707E59" w14:textId="77777777" w:rsidTr="00794487">
        <w:trPr>
          <w:trHeight w:val="300"/>
        </w:trPr>
        <w:tc>
          <w:tcPr>
            <w:tcW w:w="1699" w:type="dxa"/>
          </w:tcPr>
          <w:p w14:paraId="710D64CD"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29E11059"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5,554</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3A3CF42F"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13,098</w:t>
            </w:r>
          </w:p>
        </w:tc>
      </w:tr>
      <w:tr w:rsidR="00794487" w:rsidRPr="00B14154" w14:paraId="1DF39CB6" w14:textId="77777777" w:rsidTr="00794487">
        <w:trPr>
          <w:trHeight w:val="300"/>
        </w:trPr>
        <w:tc>
          <w:tcPr>
            <w:tcW w:w="1699" w:type="dxa"/>
          </w:tcPr>
          <w:p w14:paraId="29ABFCEB"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150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46127C04"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5,393</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4E2C8B94"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12,754</w:t>
            </w:r>
          </w:p>
        </w:tc>
      </w:tr>
      <w:tr w:rsidR="00794487" w:rsidRPr="00B14154" w14:paraId="5B85BE18" w14:textId="77777777" w:rsidTr="00794487">
        <w:trPr>
          <w:trHeight w:val="300"/>
        </w:trPr>
        <w:tc>
          <w:tcPr>
            <w:tcW w:w="1699" w:type="dxa"/>
          </w:tcPr>
          <w:p w14:paraId="25CFB3D5"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2C32B152"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5,300</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2FC96072"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12,557</w:t>
            </w:r>
          </w:p>
        </w:tc>
      </w:tr>
      <w:tr w:rsidR="00794487" w:rsidRPr="00B14154" w14:paraId="61B50243" w14:textId="77777777" w:rsidTr="00794487">
        <w:trPr>
          <w:trHeight w:val="300"/>
        </w:trPr>
        <w:tc>
          <w:tcPr>
            <w:tcW w:w="1699" w:type="dxa"/>
          </w:tcPr>
          <w:p w14:paraId="34DA7FE7"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250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3D698AF3"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5,238</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15045170"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12,426</w:t>
            </w:r>
          </w:p>
        </w:tc>
      </w:tr>
      <w:tr w:rsidR="00794487" w:rsidRPr="00B14154" w14:paraId="0590649B" w14:textId="77777777" w:rsidTr="00794487">
        <w:trPr>
          <w:trHeight w:val="300"/>
        </w:trPr>
        <w:tc>
          <w:tcPr>
            <w:tcW w:w="1699" w:type="dxa"/>
          </w:tcPr>
          <w:p w14:paraId="7824B69A"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300</w:t>
            </w:r>
          </w:p>
        </w:tc>
        <w:tc>
          <w:tcPr>
            <w:tcW w:w="1417" w:type="dxa"/>
            <w:tcBorders>
              <w:top w:val="nil"/>
              <w:left w:val="single" w:sz="4" w:space="0" w:color="auto"/>
              <w:bottom w:val="single" w:sz="4" w:space="0" w:color="auto"/>
              <w:right w:val="single" w:sz="8" w:space="0" w:color="auto"/>
            </w:tcBorders>
            <w:shd w:val="clear" w:color="000000" w:fill="FFFFFF"/>
            <w:noWrap/>
            <w:vAlign w:val="bottom"/>
          </w:tcPr>
          <w:p w14:paraId="337E3239"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5,193</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0B598D5A"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12,330</w:t>
            </w:r>
          </w:p>
        </w:tc>
      </w:tr>
      <w:tr w:rsidR="00794487" w:rsidRPr="00B14154" w14:paraId="0CB78E1D" w14:textId="77777777" w:rsidTr="00794487">
        <w:trPr>
          <w:trHeight w:val="300"/>
        </w:trPr>
        <w:tc>
          <w:tcPr>
            <w:tcW w:w="1699" w:type="dxa"/>
          </w:tcPr>
          <w:p w14:paraId="0F70368C"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400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5EE96117"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5,131</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3A3E8D17"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12,199</w:t>
            </w:r>
          </w:p>
        </w:tc>
      </w:tr>
      <w:tr w:rsidR="00794487" w:rsidRPr="00B14154" w14:paraId="5CC34781" w14:textId="77777777" w:rsidTr="00794487">
        <w:trPr>
          <w:trHeight w:val="300"/>
        </w:trPr>
        <w:tc>
          <w:tcPr>
            <w:tcW w:w="1699" w:type="dxa"/>
          </w:tcPr>
          <w:p w14:paraId="78D3B171"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6C4B441E"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5,089</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1E812DB5"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12,111</w:t>
            </w:r>
          </w:p>
        </w:tc>
      </w:tr>
      <w:tr w:rsidR="00794487" w:rsidRPr="00B14154" w14:paraId="7C09622D" w14:textId="77777777" w:rsidTr="00794487">
        <w:trPr>
          <w:trHeight w:val="315"/>
        </w:trPr>
        <w:tc>
          <w:tcPr>
            <w:tcW w:w="1699" w:type="dxa"/>
          </w:tcPr>
          <w:p w14:paraId="4A9AF608"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14:paraId="35DD6666"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4,988</w:t>
            </w: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09AE3A90"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11,897</w:t>
            </w:r>
          </w:p>
        </w:tc>
      </w:tr>
      <w:tr w:rsidR="00794487" w:rsidRPr="00B14154" w14:paraId="7841EFB8" w14:textId="77777777" w:rsidTr="00794487">
        <w:trPr>
          <w:trHeight w:val="375"/>
        </w:trPr>
        <w:tc>
          <w:tcPr>
            <w:tcW w:w="1699" w:type="dxa"/>
          </w:tcPr>
          <w:p w14:paraId="0F085D93"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w:t>
            </w:r>
          </w:p>
        </w:tc>
        <w:tc>
          <w:tcPr>
            <w:tcW w:w="1417" w:type="dxa"/>
            <w:tcBorders>
              <w:top w:val="nil"/>
              <w:left w:val="nil"/>
              <w:bottom w:val="single" w:sz="8" w:space="0" w:color="auto"/>
              <w:right w:val="single" w:sz="8" w:space="0" w:color="auto"/>
            </w:tcBorders>
            <w:shd w:val="clear" w:color="auto" w:fill="auto"/>
            <w:noWrap/>
            <w:vAlign w:val="bottom"/>
          </w:tcPr>
          <w:p w14:paraId="4EFA8261"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4,753</w:t>
            </w:r>
          </w:p>
        </w:tc>
        <w:tc>
          <w:tcPr>
            <w:tcW w:w="1418" w:type="dxa"/>
            <w:tcBorders>
              <w:top w:val="nil"/>
              <w:left w:val="nil"/>
              <w:bottom w:val="single" w:sz="8" w:space="0" w:color="auto"/>
              <w:right w:val="single" w:sz="8" w:space="0" w:color="auto"/>
            </w:tcBorders>
            <w:shd w:val="clear" w:color="auto" w:fill="auto"/>
            <w:noWrap/>
            <w:vAlign w:val="bottom"/>
          </w:tcPr>
          <w:p w14:paraId="7B68A2FE" w14:textId="77777777"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11,408</w:t>
            </w:r>
          </w:p>
        </w:tc>
      </w:tr>
    </w:tbl>
    <w:p w14:paraId="14965304" w14:textId="77777777" w:rsidR="00794487" w:rsidRPr="00567F98" w:rsidRDefault="00794487" w:rsidP="00794487">
      <w:pPr>
        <w:pStyle w:val="SingleTxtG"/>
        <w:spacing w:before="120"/>
      </w:pPr>
      <w:r>
        <w:t>Note</w:t>
      </w:r>
      <w:r w:rsidR="00B16DD0">
        <w:t> :</w:t>
      </w:r>
      <w:r>
        <w:t xml:space="preserve"> si la taille de l’échantillon se situe entre deux valeurs, il faut sélectionner la taille inférieure la plus proche</w:t>
      </w:r>
      <w:r w:rsidR="0008416E">
        <w:t>.</w:t>
      </w:r>
    </w:p>
    <w:p w14:paraId="65FB8CF4" w14:textId="77777777" w:rsidR="00794487" w:rsidRPr="003D4D66" w:rsidRDefault="00794487" w:rsidP="007A056A">
      <w:pPr>
        <w:pStyle w:val="SingleTxtG"/>
        <w:keepNext/>
      </w:pPr>
      <w:r>
        <w:t>h)</w:t>
      </w:r>
      <w:r>
        <w:tab/>
        <w:t>Mesures à prendre si les critères d’acceptation ne sont pas respectés</w:t>
      </w:r>
    </w:p>
    <w:p w14:paraId="7E5B57EF" w14:textId="1F2B4EA1" w:rsidR="00794487" w:rsidRPr="003D4D66" w:rsidRDefault="00794487" w:rsidP="00794487">
      <w:pPr>
        <w:pStyle w:val="SingleTxtG"/>
        <w:ind w:left="1701"/>
      </w:pPr>
      <w:r>
        <w:t xml:space="preserve">Si </w:t>
      </w:r>
      <w:r w:rsidR="00A05CAB">
        <w:t>un</w:t>
      </w:r>
      <w:r>
        <w:t xml:space="preserve"> résultat </w:t>
      </w:r>
      <w:r w:rsidR="00A05CAB">
        <w:t>des tests</w:t>
      </w:r>
      <w:r>
        <w:t xml:space="preserve"> d’éclatement, des </w:t>
      </w:r>
      <w:r w:rsidR="009C07B2">
        <w:t xml:space="preserve">tests </w:t>
      </w:r>
      <w:r>
        <w:t xml:space="preserve">de pelage et corrosion ou </w:t>
      </w:r>
      <w:r w:rsidR="009C07B2">
        <w:t>des tests</w:t>
      </w:r>
      <w:r>
        <w:t xml:space="preserve"> d’adhérence ne respecte pas les critères détaillés dans le tableau ci</w:t>
      </w:r>
      <w:r w:rsidR="0008416E">
        <w:noBreakHyphen/>
      </w:r>
      <w:r>
        <w:t xml:space="preserve">dessus, le </w:t>
      </w:r>
      <w:r w:rsidR="003B201F">
        <w:t>sous-</w:t>
      </w:r>
      <w:r>
        <w:t xml:space="preserve">groupe </w:t>
      </w:r>
      <w:r w:rsidR="003B201F">
        <w:t xml:space="preserve">d’une population de base </w:t>
      </w:r>
      <w:r>
        <w:t>de bouteilles surmoulées potentiellement affecté doit être séparé pour examen et les bouteilles ne doivent pas être remplies, présentées au transport ou utilisées.</w:t>
      </w:r>
    </w:p>
    <w:p w14:paraId="4963130C" w14:textId="02022C83" w:rsidR="00794487" w:rsidRPr="003D4D66" w:rsidRDefault="00794487" w:rsidP="00794487">
      <w:pPr>
        <w:pStyle w:val="SingleTxtG"/>
        <w:ind w:left="1701"/>
      </w:pPr>
      <w:r>
        <w:t xml:space="preserve">En accord avec l’autorité compétente, ses délégués ou l’organisme Xa qui a délivré l’agrément de type, de </w:t>
      </w:r>
      <w:r w:rsidR="009C07B2">
        <w:t>nouveaux tests</w:t>
      </w:r>
      <w:r>
        <w:t xml:space="preserve"> peuvent être effectués pour déterminer la cause de l’échec</w:t>
      </w:r>
      <w:r w:rsidR="003B201F">
        <w:t xml:space="preserve">. </w:t>
      </w:r>
      <w:r w:rsidR="004E65EA">
        <w:t xml:space="preserve">En cas de preuve que </w:t>
      </w:r>
      <w:r w:rsidR="003B201F">
        <w:t>certaines parties du sous-groupe s’avèrent être non affectées</w:t>
      </w:r>
      <w:r>
        <w:t xml:space="preserve"> et</w:t>
      </w:r>
      <w:r w:rsidR="004E65EA">
        <w:t xml:space="preserve"> que leur comportement est identique à la population de base, lesdites</w:t>
      </w:r>
      <w:r w:rsidR="00B16DD0">
        <w:t xml:space="preserve"> </w:t>
      </w:r>
      <w:r>
        <w:t>partie</w:t>
      </w:r>
      <w:r w:rsidR="004E65EA">
        <w:t>s</w:t>
      </w:r>
      <w:r>
        <w:t xml:space="preserve"> du</w:t>
      </w:r>
      <w:r w:rsidRPr="00BE1317">
        <w:t xml:space="preserve"> </w:t>
      </w:r>
      <w:r w:rsidR="004E65EA">
        <w:t>sous-</w:t>
      </w:r>
      <w:r>
        <w:t xml:space="preserve">groupe qui </w:t>
      </w:r>
      <w:r w:rsidR="004E65EA">
        <w:t xml:space="preserve">ne sont </w:t>
      </w:r>
      <w:r>
        <w:t xml:space="preserve">pas </w:t>
      </w:r>
      <w:r w:rsidR="009C07B2">
        <w:t>affectée</w:t>
      </w:r>
      <w:r w:rsidR="004E65EA">
        <w:t>s</w:t>
      </w:r>
      <w:r w:rsidR="009C07B2">
        <w:t xml:space="preserve"> </w:t>
      </w:r>
      <w:r>
        <w:t>peu</w:t>
      </w:r>
      <w:r w:rsidR="004E65EA">
        <w:t>ven</w:t>
      </w:r>
      <w:r>
        <w:t>t être autorisée</w:t>
      </w:r>
      <w:r w:rsidR="004E65EA">
        <w:t>s</w:t>
      </w:r>
      <w:r>
        <w:t xml:space="preserve"> par l’autorité compétente à être remise</w:t>
      </w:r>
      <w:r w:rsidR="004E65EA">
        <w:t>s</w:t>
      </w:r>
      <w:r>
        <w:t xml:space="preserve"> en service.</w:t>
      </w:r>
    </w:p>
    <w:p w14:paraId="78DE931D" w14:textId="210BCD43" w:rsidR="00794487" w:rsidRPr="003D4D66" w:rsidRDefault="00794487" w:rsidP="007A056A">
      <w:pPr>
        <w:pStyle w:val="SingleTxtG"/>
        <w:keepNext/>
      </w:pPr>
      <w:r>
        <w:t>i)</w:t>
      </w:r>
      <w:r>
        <w:tab/>
        <w:t xml:space="preserve">Prescriptions applicables aux centres </w:t>
      </w:r>
      <w:r w:rsidR="00B64E9A">
        <w:t>emplisseurs</w:t>
      </w:r>
    </w:p>
    <w:p w14:paraId="0DBEC4FC" w14:textId="4FAC3527" w:rsidR="00794487" w:rsidRPr="003D4D66" w:rsidRDefault="00794487" w:rsidP="00794487">
      <w:pPr>
        <w:pStyle w:val="SingleTxtG"/>
        <w:ind w:left="1701"/>
      </w:pPr>
      <w:r>
        <w:t xml:space="preserve">Le propriétaire doit mettre à la disposition de l’autorité compétente la preuve que les centres </w:t>
      </w:r>
      <w:r w:rsidR="00B64E9A">
        <w:t>emplisseurs</w:t>
      </w:r>
      <w:r w:rsidR="00B16DD0">
        <w:t> :</w:t>
      </w:r>
    </w:p>
    <w:p w14:paraId="6A97BE5A" w14:textId="77777777" w:rsidR="00794487" w:rsidRPr="003D4D66" w:rsidRDefault="00794487" w:rsidP="007A056A">
      <w:pPr>
        <w:pStyle w:val="Bullet1G"/>
      </w:pPr>
      <w:r>
        <w:t>Respectent la disposition de l’instruction d’emballage P200 (7) et que les prescriptions de la norme sur les inspections préalables au remplissage mentionnées dans le tableau P200 (11) sont satisfaites et appliquées correctement</w:t>
      </w:r>
      <w:r w:rsidR="00B16DD0">
        <w:t> ;</w:t>
      </w:r>
    </w:p>
    <w:p w14:paraId="5A6E757C" w14:textId="5CCC1E27" w:rsidR="00794487" w:rsidRPr="003D4D66" w:rsidRDefault="00794487" w:rsidP="007A056A">
      <w:pPr>
        <w:pStyle w:val="Bullet1G"/>
      </w:pPr>
      <w:r>
        <w:t xml:space="preserve">Disposent de moyens appropriés </w:t>
      </w:r>
      <w:r w:rsidR="00B64E9A">
        <w:t xml:space="preserve">pour </w:t>
      </w:r>
      <w:r>
        <w:t>identifier les bouteilles surmoulées au moyen d’un dispositif d’identification électronique</w:t>
      </w:r>
      <w:r w:rsidR="00B16DD0">
        <w:t> ;</w:t>
      </w:r>
    </w:p>
    <w:p w14:paraId="5A9DFA60" w14:textId="77777777" w:rsidR="00794487" w:rsidRPr="003D4D66" w:rsidRDefault="00794487" w:rsidP="007A056A">
      <w:pPr>
        <w:pStyle w:val="Bullet1G"/>
      </w:pPr>
      <w:r>
        <w:t>Ont accès à la base de données telle que définie à l’alinéa d)</w:t>
      </w:r>
      <w:r w:rsidR="00B16DD0">
        <w:t> ;</w:t>
      </w:r>
    </w:p>
    <w:p w14:paraId="799B1707" w14:textId="77777777" w:rsidR="00794487" w:rsidRPr="003D4D66" w:rsidRDefault="00794487" w:rsidP="007A056A">
      <w:pPr>
        <w:pStyle w:val="Bullet1G"/>
      </w:pPr>
      <w:r>
        <w:t>Ont la capacité de mettre à jour la base de données</w:t>
      </w:r>
      <w:r w:rsidR="00B16DD0">
        <w:t> ;</w:t>
      </w:r>
    </w:p>
    <w:p w14:paraId="4DCF65CC" w14:textId="77777777" w:rsidR="00794487" w:rsidRPr="003D4D66" w:rsidRDefault="00794487" w:rsidP="007A056A">
      <w:pPr>
        <w:pStyle w:val="Bullet1G"/>
      </w:pPr>
      <w:r>
        <w:lastRenderedPageBreak/>
        <w:t>Appliquent un système de qualité conforme</w:t>
      </w:r>
      <w:r w:rsidR="00B16DD0">
        <w:t xml:space="preserve"> </w:t>
      </w:r>
      <w:r>
        <w:t xml:space="preserve">aux normes de la série ISO 9000 ou à des normes </w:t>
      </w:r>
      <w:r w:rsidRPr="007A056A">
        <w:t>équivalentes</w:t>
      </w:r>
      <w:r>
        <w:t xml:space="preserve"> certifié par un organisme indépendant accrédité et reconnu par l’autorité compétente.</w:t>
      </w:r>
      <w:r w:rsidR="00395E58">
        <w:t> ».</w:t>
      </w:r>
    </w:p>
    <w:p w14:paraId="28811F7F" w14:textId="77777777" w:rsidR="00794487" w:rsidRPr="00156154" w:rsidRDefault="00794487" w:rsidP="007A056A">
      <w:pPr>
        <w:pStyle w:val="SingleTxtG"/>
      </w:pPr>
      <w:r>
        <w:t>19.</w:t>
      </w:r>
      <w:r>
        <w:tab/>
        <w:t>Supprimer l’exception « 3.5 et annexe G » pour la norme EN 1439</w:t>
      </w:r>
      <w:r w:rsidR="00E627A6">
        <w:t>:20</w:t>
      </w:r>
      <w:r>
        <w:t>08 dans le tableau P200 (11).</w:t>
      </w:r>
    </w:p>
    <w:p w14:paraId="7CA2238C" w14:textId="77777777" w:rsidR="00794487" w:rsidRDefault="00794487" w:rsidP="007A056A">
      <w:pPr>
        <w:pStyle w:val="SingleTxtG"/>
      </w:pPr>
      <w:r>
        <w:t>20.</w:t>
      </w:r>
      <w:r>
        <w:tab/>
        <w:t>Supprimer l’exception « bouteilles surmoulées » pour EN 14140</w:t>
      </w:r>
      <w:r w:rsidR="00E627A6">
        <w:t>:20</w:t>
      </w:r>
      <w:r>
        <w:t>14 + AC</w:t>
      </w:r>
      <w:r w:rsidR="00E627A6">
        <w:t>:20</w:t>
      </w:r>
      <w:r>
        <w:t>15 dans le tableau du paragraphe 6.2.4.1.</w:t>
      </w:r>
    </w:p>
    <w:p w14:paraId="733ABEF2" w14:textId="77777777" w:rsidR="00F9573C" w:rsidRDefault="00794487" w:rsidP="007A056A">
      <w:pPr>
        <w:pStyle w:val="SingleTxtG"/>
      </w:pPr>
      <w:r>
        <w:t>21.</w:t>
      </w:r>
      <w:r>
        <w:tab/>
        <w:t>Supprimer l’exception « article 3.5, annexe F</w:t>
      </w:r>
      <w:r w:rsidR="007A056A">
        <w:t xml:space="preserve"> et annexe G » pour la norme EN </w:t>
      </w:r>
      <w:r>
        <w:t>16728</w:t>
      </w:r>
      <w:r w:rsidR="00B16DD0">
        <w:t>:</w:t>
      </w:r>
      <w:r>
        <w:t>2016 dans le tableau de la sous-section 6.2.4.2, dans l’attente</w:t>
      </w:r>
      <w:r w:rsidR="00B16DD0">
        <w:t xml:space="preserve"> </w:t>
      </w:r>
      <w:r>
        <w:t>de l’actualisation en cours.</w:t>
      </w:r>
    </w:p>
    <w:p w14:paraId="2FBC4B51" w14:textId="77777777" w:rsidR="00794487" w:rsidRPr="00794487" w:rsidRDefault="00794487" w:rsidP="00794487">
      <w:pPr>
        <w:pStyle w:val="SingleTxtG"/>
        <w:spacing w:before="240" w:after="0"/>
        <w:jc w:val="center"/>
        <w:rPr>
          <w:u w:val="single"/>
        </w:rPr>
      </w:pPr>
      <w:r>
        <w:rPr>
          <w:u w:val="single"/>
        </w:rPr>
        <w:tab/>
      </w:r>
      <w:r>
        <w:rPr>
          <w:u w:val="single"/>
        </w:rPr>
        <w:tab/>
      </w:r>
      <w:r>
        <w:rPr>
          <w:u w:val="single"/>
        </w:rPr>
        <w:tab/>
      </w:r>
    </w:p>
    <w:sectPr w:rsidR="00794487" w:rsidRPr="00794487" w:rsidSect="00832452">
      <w:headerReference w:type="even" r:id="rId13"/>
      <w:headerReference w:type="default" r:id="rId14"/>
      <w:footerReference w:type="even" r:id="rId15"/>
      <w:footerReference w:type="defaul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FEB4F" w14:textId="77777777" w:rsidR="0034411F" w:rsidRDefault="0034411F" w:rsidP="00F95C08">
      <w:pPr>
        <w:spacing w:line="240" w:lineRule="auto"/>
      </w:pPr>
    </w:p>
  </w:endnote>
  <w:endnote w:type="continuationSeparator" w:id="0">
    <w:p w14:paraId="77DD8708" w14:textId="77777777" w:rsidR="0034411F" w:rsidRPr="00AC3823" w:rsidRDefault="0034411F" w:rsidP="00AC3823">
      <w:pPr>
        <w:pStyle w:val="Footer"/>
      </w:pPr>
    </w:p>
  </w:endnote>
  <w:endnote w:type="continuationNotice" w:id="1">
    <w:p w14:paraId="6E9EDBBF" w14:textId="77777777" w:rsidR="0034411F" w:rsidRDefault="003441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390F" w14:textId="2A5083F9" w:rsidR="0034411F" w:rsidRPr="00832452" w:rsidRDefault="0034411F" w:rsidP="00832452">
    <w:pPr>
      <w:pStyle w:val="Footer"/>
      <w:tabs>
        <w:tab w:val="right" w:pos="9638"/>
      </w:tabs>
    </w:pPr>
    <w:r w:rsidRPr="00832452">
      <w:rPr>
        <w:b/>
        <w:sz w:val="18"/>
      </w:rPr>
      <w:fldChar w:fldCharType="begin"/>
    </w:r>
    <w:r w:rsidRPr="00832452">
      <w:rPr>
        <w:b/>
        <w:sz w:val="18"/>
      </w:rPr>
      <w:instrText xml:space="preserve"> PAGE  \* MERGEFORMAT </w:instrText>
    </w:r>
    <w:r w:rsidRPr="00832452">
      <w:rPr>
        <w:b/>
        <w:sz w:val="18"/>
      </w:rPr>
      <w:fldChar w:fldCharType="separate"/>
    </w:r>
    <w:r w:rsidR="003215AD">
      <w:rPr>
        <w:b/>
        <w:noProof/>
        <w:sz w:val="18"/>
      </w:rPr>
      <w:t>8</w:t>
    </w:r>
    <w:r w:rsidRPr="0083245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D879" w14:textId="5192FF49" w:rsidR="0034411F" w:rsidRPr="00832452" w:rsidRDefault="0034411F" w:rsidP="00832452">
    <w:pPr>
      <w:pStyle w:val="Footer"/>
      <w:tabs>
        <w:tab w:val="right" w:pos="9638"/>
      </w:tabs>
      <w:rPr>
        <w:b/>
        <w:sz w:val="18"/>
      </w:rPr>
    </w:pPr>
    <w:r>
      <w:t>GE.17-11322</w:t>
    </w:r>
    <w:r>
      <w:tab/>
    </w:r>
    <w:r w:rsidRPr="00832452">
      <w:rPr>
        <w:b/>
        <w:sz w:val="18"/>
      </w:rPr>
      <w:fldChar w:fldCharType="begin"/>
    </w:r>
    <w:r w:rsidRPr="00832452">
      <w:rPr>
        <w:b/>
        <w:sz w:val="18"/>
      </w:rPr>
      <w:instrText xml:space="preserve"> PAGE  \* MERGEFORMAT </w:instrText>
    </w:r>
    <w:r w:rsidRPr="00832452">
      <w:rPr>
        <w:b/>
        <w:sz w:val="18"/>
      </w:rPr>
      <w:fldChar w:fldCharType="separate"/>
    </w:r>
    <w:r w:rsidR="003215AD">
      <w:rPr>
        <w:b/>
        <w:noProof/>
        <w:sz w:val="18"/>
      </w:rPr>
      <w:t>9</w:t>
    </w:r>
    <w:r w:rsidRPr="008324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BEDE9" w14:textId="77777777" w:rsidR="0034411F" w:rsidRPr="00AC3823" w:rsidRDefault="0034411F" w:rsidP="00AC3823">
      <w:pPr>
        <w:pStyle w:val="Footer"/>
        <w:tabs>
          <w:tab w:val="right" w:pos="2155"/>
        </w:tabs>
        <w:spacing w:after="80" w:line="240" w:lineRule="atLeast"/>
        <w:ind w:left="680"/>
        <w:rPr>
          <w:u w:val="single"/>
        </w:rPr>
      </w:pPr>
      <w:r>
        <w:rPr>
          <w:u w:val="single"/>
        </w:rPr>
        <w:tab/>
      </w:r>
    </w:p>
  </w:footnote>
  <w:footnote w:type="continuationSeparator" w:id="0">
    <w:p w14:paraId="04761FA1" w14:textId="77777777" w:rsidR="0034411F" w:rsidRPr="00AC3823" w:rsidRDefault="0034411F" w:rsidP="00AC3823">
      <w:pPr>
        <w:pStyle w:val="Footer"/>
        <w:tabs>
          <w:tab w:val="right" w:pos="2155"/>
        </w:tabs>
        <w:spacing w:after="80" w:line="240" w:lineRule="atLeast"/>
        <w:ind w:left="680"/>
        <w:rPr>
          <w:u w:val="single"/>
        </w:rPr>
      </w:pPr>
      <w:r>
        <w:rPr>
          <w:u w:val="single"/>
        </w:rPr>
        <w:tab/>
      </w:r>
    </w:p>
  </w:footnote>
  <w:footnote w:type="continuationNotice" w:id="1">
    <w:p w14:paraId="46ADE615" w14:textId="77777777" w:rsidR="0034411F" w:rsidRPr="00AC3823" w:rsidRDefault="0034411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7866" w14:textId="04007BE7" w:rsidR="0034411F" w:rsidRPr="00832452" w:rsidRDefault="003215AD">
    <w:pPr>
      <w:pStyle w:val="Header"/>
    </w:pPr>
    <w:r>
      <w:t>INF.55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5583" w14:textId="378C26A0" w:rsidR="0034411F" w:rsidRPr="00832452" w:rsidRDefault="00BC2C84" w:rsidP="00832452">
    <w:pPr>
      <w:pStyle w:val="Header"/>
      <w:jc w:val="right"/>
    </w:pPr>
    <w:fldSimple w:instr=" TITLE  \* MERGEFORMAT ">
      <w:r w:rsidR="003215AD">
        <w:t>INF.55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93"/>
    <w:rsid w:val="00011F3D"/>
    <w:rsid w:val="00017F94"/>
    <w:rsid w:val="00023842"/>
    <w:rsid w:val="000334F9"/>
    <w:rsid w:val="00045FEB"/>
    <w:rsid w:val="00055497"/>
    <w:rsid w:val="00057B6B"/>
    <w:rsid w:val="000660A0"/>
    <w:rsid w:val="0007796D"/>
    <w:rsid w:val="0008416E"/>
    <w:rsid w:val="000A57D6"/>
    <w:rsid w:val="000A6E49"/>
    <w:rsid w:val="000B7790"/>
    <w:rsid w:val="000C6043"/>
    <w:rsid w:val="000D0440"/>
    <w:rsid w:val="000F636E"/>
    <w:rsid w:val="0011146F"/>
    <w:rsid w:val="00111F2F"/>
    <w:rsid w:val="00135EDB"/>
    <w:rsid w:val="0014365E"/>
    <w:rsid w:val="00143C66"/>
    <w:rsid w:val="00147DDC"/>
    <w:rsid w:val="00176178"/>
    <w:rsid w:val="001F0489"/>
    <w:rsid w:val="001F525A"/>
    <w:rsid w:val="002128D5"/>
    <w:rsid w:val="00223272"/>
    <w:rsid w:val="0024779E"/>
    <w:rsid w:val="00257168"/>
    <w:rsid w:val="00265DA7"/>
    <w:rsid w:val="002744B8"/>
    <w:rsid w:val="00275D31"/>
    <w:rsid w:val="002832AC"/>
    <w:rsid w:val="0029652F"/>
    <w:rsid w:val="002A49BB"/>
    <w:rsid w:val="002A7775"/>
    <w:rsid w:val="002D10C4"/>
    <w:rsid w:val="002D653F"/>
    <w:rsid w:val="002D7C93"/>
    <w:rsid w:val="00305801"/>
    <w:rsid w:val="003215AD"/>
    <w:rsid w:val="0034411F"/>
    <w:rsid w:val="003527B7"/>
    <w:rsid w:val="00372FE5"/>
    <w:rsid w:val="003916DE"/>
    <w:rsid w:val="00391DFC"/>
    <w:rsid w:val="00395E58"/>
    <w:rsid w:val="003B201F"/>
    <w:rsid w:val="004033E4"/>
    <w:rsid w:val="00441C3B"/>
    <w:rsid w:val="004421BA"/>
    <w:rsid w:val="00446FE5"/>
    <w:rsid w:val="00452396"/>
    <w:rsid w:val="004837D8"/>
    <w:rsid w:val="004B1A3A"/>
    <w:rsid w:val="004E2FBC"/>
    <w:rsid w:val="004E468C"/>
    <w:rsid w:val="004E65EA"/>
    <w:rsid w:val="005505B7"/>
    <w:rsid w:val="005724CD"/>
    <w:rsid w:val="005730F6"/>
    <w:rsid w:val="00573BE5"/>
    <w:rsid w:val="005748B4"/>
    <w:rsid w:val="00586ED3"/>
    <w:rsid w:val="0059248C"/>
    <w:rsid w:val="00593A6D"/>
    <w:rsid w:val="00596AA9"/>
    <w:rsid w:val="005B5393"/>
    <w:rsid w:val="005D2F9F"/>
    <w:rsid w:val="00606D18"/>
    <w:rsid w:val="00635C69"/>
    <w:rsid w:val="0066316D"/>
    <w:rsid w:val="00664D84"/>
    <w:rsid w:val="006A097F"/>
    <w:rsid w:val="006B3A40"/>
    <w:rsid w:val="006C4751"/>
    <w:rsid w:val="0071601D"/>
    <w:rsid w:val="00716865"/>
    <w:rsid w:val="00750576"/>
    <w:rsid w:val="007544B8"/>
    <w:rsid w:val="007654CA"/>
    <w:rsid w:val="00794487"/>
    <w:rsid w:val="007A056A"/>
    <w:rsid w:val="007A62E6"/>
    <w:rsid w:val="007B2F9B"/>
    <w:rsid w:val="007C3583"/>
    <w:rsid w:val="007D3D97"/>
    <w:rsid w:val="007E40BD"/>
    <w:rsid w:val="007E656A"/>
    <w:rsid w:val="007F20FA"/>
    <w:rsid w:val="007F54DB"/>
    <w:rsid w:val="00803711"/>
    <w:rsid w:val="0080684C"/>
    <w:rsid w:val="00820752"/>
    <w:rsid w:val="00832452"/>
    <w:rsid w:val="00871C75"/>
    <w:rsid w:val="008776DC"/>
    <w:rsid w:val="008811A7"/>
    <w:rsid w:val="008A522E"/>
    <w:rsid w:val="008C477B"/>
    <w:rsid w:val="008E5C53"/>
    <w:rsid w:val="008F1E24"/>
    <w:rsid w:val="00924FF2"/>
    <w:rsid w:val="00936DC8"/>
    <w:rsid w:val="009446C0"/>
    <w:rsid w:val="009705C8"/>
    <w:rsid w:val="00970A2A"/>
    <w:rsid w:val="00980493"/>
    <w:rsid w:val="009C07B2"/>
    <w:rsid w:val="009C1CF4"/>
    <w:rsid w:val="009D16A0"/>
    <w:rsid w:val="009F42B9"/>
    <w:rsid w:val="009F6B74"/>
    <w:rsid w:val="00A05CAB"/>
    <w:rsid w:val="00A30353"/>
    <w:rsid w:val="00A40D60"/>
    <w:rsid w:val="00A53875"/>
    <w:rsid w:val="00A556AB"/>
    <w:rsid w:val="00A57BFB"/>
    <w:rsid w:val="00AC3823"/>
    <w:rsid w:val="00AD3737"/>
    <w:rsid w:val="00AE323C"/>
    <w:rsid w:val="00AF0CB5"/>
    <w:rsid w:val="00B00181"/>
    <w:rsid w:val="00B00B0D"/>
    <w:rsid w:val="00B12637"/>
    <w:rsid w:val="00B14154"/>
    <w:rsid w:val="00B16DD0"/>
    <w:rsid w:val="00B64E9A"/>
    <w:rsid w:val="00B765F7"/>
    <w:rsid w:val="00B923C2"/>
    <w:rsid w:val="00BA02DC"/>
    <w:rsid w:val="00BA0CA9"/>
    <w:rsid w:val="00BC2C84"/>
    <w:rsid w:val="00BD5F9F"/>
    <w:rsid w:val="00BE19F6"/>
    <w:rsid w:val="00C02897"/>
    <w:rsid w:val="00C14C25"/>
    <w:rsid w:val="00C21489"/>
    <w:rsid w:val="00C37B48"/>
    <w:rsid w:val="00C951D8"/>
    <w:rsid w:val="00C97039"/>
    <w:rsid w:val="00CA3552"/>
    <w:rsid w:val="00CF2C41"/>
    <w:rsid w:val="00CF7059"/>
    <w:rsid w:val="00D0087A"/>
    <w:rsid w:val="00D14616"/>
    <w:rsid w:val="00D25EDE"/>
    <w:rsid w:val="00D32D33"/>
    <w:rsid w:val="00D3439C"/>
    <w:rsid w:val="00D82011"/>
    <w:rsid w:val="00DB1831"/>
    <w:rsid w:val="00DC0E0B"/>
    <w:rsid w:val="00DC49F0"/>
    <w:rsid w:val="00DC617B"/>
    <w:rsid w:val="00DD2BF9"/>
    <w:rsid w:val="00DD3BFD"/>
    <w:rsid w:val="00DF6678"/>
    <w:rsid w:val="00E0299A"/>
    <w:rsid w:val="00E207BA"/>
    <w:rsid w:val="00E20C8B"/>
    <w:rsid w:val="00E43938"/>
    <w:rsid w:val="00E627A6"/>
    <w:rsid w:val="00E85C74"/>
    <w:rsid w:val="00EA6547"/>
    <w:rsid w:val="00EB1332"/>
    <w:rsid w:val="00EE3058"/>
    <w:rsid w:val="00EF2E22"/>
    <w:rsid w:val="00EF7D8F"/>
    <w:rsid w:val="00F338F3"/>
    <w:rsid w:val="00F35BAF"/>
    <w:rsid w:val="00F42203"/>
    <w:rsid w:val="00F660DF"/>
    <w:rsid w:val="00F94664"/>
    <w:rsid w:val="00F9573C"/>
    <w:rsid w:val="00F95C08"/>
    <w:rsid w:val="00FA3179"/>
    <w:rsid w:val="00FC5A9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286F02"/>
  <w15:docId w15:val="{245D1DEB-361C-4AB5-B55D-D43AC167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794487"/>
    <w:rPr>
      <w:rFonts w:ascii="Times New Roman" w:eastAsiaTheme="minorHAnsi" w:hAnsi="Times New Roman" w:cs="Times New Roman"/>
      <w:b/>
      <w:sz w:val="28"/>
      <w:szCs w:val="20"/>
      <w:lang w:eastAsia="en-US"/>
    </w:rPr>
  </w:style>
  <w:style w:type="character" w:customStyle="1" w:styleId="H1GChar">
    <w:name w:val="_ H_1_G Char"/>
    <w:link w:val="H1G"/>
    <w:rsid w:val="00794487"/>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794487"/>
    <w:rPr>
      <w:rFonts w:ascii="Times New Roman" w:eastAsiaTheme="minorHAnsi" w:hAnsi="Times New Roman" w:cs="Times New Roman"/>
      <w:sz w:val="20"/>
      <w:szCs w:val="20"/>
      <w:lang w:eastAsia="en-US"/>
    </w:rPr>
  </w:style>
  <w:style w:type="paragraph" w:customStyle="1" w:styleId="Tabletext9">
    <w:name w:val="Table text (9)"/>
    <w:basedOn w:val="Normal"/>
    <w:rsid w:val="00794487"/>
    <w:pPr>
      <w:suppressAutoHyphens w:val="0"/>
      <w:kinsoku/>
      <w:overflowPunct/>
      <w:autoSpaceDE/>
      <w:autoSpaceDN/>
      <w:adjustRightInd/>
      <w:snapToGrid/>
      <w:spacing w:before="60" w:after="60" w:line="210" w:lineRule="atLeast"/>
      <w:jc w:val="both"/>
    </w:pPr>
    <w:rPr>
      <w:rFonts w:ascii="Arial" w:eastAsia="MS Mincho" w:hAnsi="Arial"/>
      <w:sz w:val="18"/>
      <w:lang w:val="en-GB" w:eastAsia="fr-FR"/>
    </w:rPr>
  </w:style>
  <w:style w:type="character" w:styleId="CommentReference">
    <w:name w:val="annotation reference"/>
    <w:basedOn w:val="DefaultParagraphFont"/>
    <w:uiPriority w:val="99"/>
    <w:semiHidden/>
    <w:unhideWhenUsed/>
    <w:rsid w:val="008E5C53"/>
    <w:rPr>
      <w:sz w:val="16"/>
      <w:szCs w:val="16"/>
    </w:rPr>
  </w:style>
  <w:style w:type="paragraph" w:styleId="CommentText">
    <w:name w:val="annotation text"/>
    <w:basedOn w:val="Normal"/>
    <w:link w:val="CommentTextChar"/>
    <w:uiPriority w:val="99"/>
    <w:semiHidden/>
    <w:unhideWhenUsed/>
    <w:rsid w:val="008E5C53"/>
    <w:pPr>
      <w:spacing w:line="240" w:lineRule="auto"/>
    </w:pPr>
  </w:style>
  <w:style w:type="character" w:customStyle="1" w:styleId="CommentTextChar">
    <w:name w:val="Comment Text Char"/>
    <w:basedOn w:val="DefaultParagraphFont"/>
    <w:link w:val="CommentText"/>
    <w:uiPriority w:val="99"/>
    <w:semiHidden/>
    <w:rsid w:val="008E5C5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E5C53"/>
    <w:rPr>
      <w:b/>
      <w:bCs/>
    </w:rPr>
  </w:style>
  <w:style w:type="character" w:customStyle="1" w:styleId="CommentSubjectChar">
    <w:name w:val="Comment Subject Char"/>
    <w:basedOn w:val="CommentTextChar"/>
    <w:link w:val="CommentSubject"/>
    <w:uiPriority w:val="99"/>
    <w:semiHidden/>
    <w:rsid w:val="008E5C53"/>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2570</Words>
  <Characters>14654</Characters>
  <Application>Microsoft Office Word</Application>
  <DocSecurity>0</DocSecurity>
  <Lines>122</Lines>
  <Paragraphs>34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ECE/TRANS/WP.15/AC.1/2017/33</vt:lpstr>
      <vt:lpstr>ECE/TRANS/WP.15/AC.1/2017/33</vt:lpstr>
      <vt:lpstr>ECE/TRANS/WP.15/AC.1/2017/33</vt:lpstr>
    </vt:vector>
  </TitlesOfParts>
  <Company>DCM</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ECE/TRANS/WP.15/AC.1/2017/33</dc:title>
  <dc:creator>Nicolas MORIN</dc:creator>
  <cp:lastModifiedBy>Christine Barrio-Champeau</cp:lastModifiedBy>
  <cp:revision>3</cp:revision>
  <cp:lastPrinted>2017-08-02T15:04:00Z</cp:lastPrinted>
  <dcterms:created xsi:type="dcterms:W3CDTF">2017-09-27T08:16:00Z</dcterms:created>
  <dcterms:modified xsi:type="dcterms:W3CDTF">2017-09-27T08:18:00Z</dcterms:modified>
</cp:coreProperties>
</file>