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14:paraId="49916307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71BE8" w14:textId="77777777"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66E9E" w14:textId="77777777"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E8D58" w14:textId="2652ADD7" w:rsidR="00B56E9C" w:rsidRPr="00507993" w:rsidRDefault="00CD57D2" w:rsidP="005A14F3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5A14F3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14:paraId="6990D955" w14:textId="77777777"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74EE9141" w14:textId="77777777"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F4762B8" w14:textId="77777777"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70A333A3" w14:textId="77777777"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14:paraId="4000EBBA" w14:textId="72194825"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556628">
        <w:rPr>
          <w:b/>
        </w:rPr>
        <w:t>14</w:t>
      </w:r>
      <w:r w:rsidR="000943F3">
        <w:rPr>
          <w:b/>
        </w:rPr>
        <w:t xml:space="preserve"> August</w:t>
      </w:r>
      <w:r w:rsidR="00CE4B11">
        <w:rPr>
          <w:b/>
        </w:rPr>
        <w:t xml:space="preserve"> 2017</w:t>
      </w:r>
    </w:p>
    <w:p w14:paraId="7E600D9E" w14:textId="77777777" w:rsidR="009D2A5B" w:rsidRDefault="005501AB" w:rsidP="00BB7CD1">
      <w:r>
        <w:t>Geneva</w:t>
      </w:r>
      <w:r w:rsidR="00BB7CD1">
        <w:t xml:space="preserve">, </w:t>
      </w:r>
      <w:r w:rsidR="00D65303">
        <w:t>1</w:t>
      </w:r>
      <w:r>
        <w:t>9</w:t>
      </w:r>
      <w:r w:rsidR="003B311A">
        <w:t>-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A47A60">
        <w:t>7</w:t>
      </w:r>
    </w:p>
    <w:p w14:paraId="45F75870" w14:textId="2502FE60" w:rsidR="00AE4840" w:rsidRPr="00A55B4D" w:rsidRDefault="00AE4840" w:rsidP="00AE4840">
      <w:r w:rsidRPr="00A55B4D">
        <w:t xml:space="preserve">Item </w:t>
      </w:r>
      <w:r w:rsidR="005A14F3">
        <w:t>4</w:t>
      </w:r>
      <w:r w:rsidR="005501AB">
        <w:t xml:space="preserve"> </w:t>
      </w:r>
      <w:r w:rsidRPr="00A55B4D">
        <w:t>of the provisional agenda</w:t>
      </w:r>
    </w:p>
    <w:p w14:paraId="7F3E70AA" w14:textId="59FC3AD1" w:rsidR="00ED7EE7" w:rsidRPr="001F44A3" w:rsidRDefault="001F44A3" w:rsidP="00AE4840">
      <w:pPr>
        <w:rPr>
          <w:b/>
        </w:rPr>
      </w:pPr>
      <w:proofErr w:type="spellStart"/>
      <w:r w:rsidRPr="001F44A3">
        <w:rPr>
          <w:b/>
          <w:bCs/>
        </w:rPr>
        <w:t>Harmonisierung</w:t>
      </w:r>
      <w:proofErr w:type="spellEnd"/>
      <w:r w:rsidRPr="001F44A3">
        <w:rPr>
          <w:b/>
          <w:bCs/>
        </w:rPr>
        <w:t xml:space="preserve"> </w:t>
      </w:r>
      <w:proofErr w:type="spellStart"/>
      <w:r w:rsidRPr="001F44A3">
        <w:rPr>
          <w:b/>
          <w:bCs/>
        </w:rPr>
        <w:t>mit</w:t>
      </w:r>
      <w:proofErr w:type="spellEnd"/>
      <w:r w:rsidRPr="001F44A3">
        <w:rPr>
          <w:b/>
          <w:bCs/>
        </w:rPr>
        <w:t xml:space="preserve"> den UN-</w:t>
      </w:r>
      <w:proofErr w:type="spellStart"/>
      <w:r w:rsidRPr="001F44A3">
        <w:rPr>
          <w:b/>
          <w:bCs/>
        </w:rPr>
        <w:t>Empfehlungen</w:t>
      </w:r>
      <w:proofErr w:type="spellEnd"/>
      <w:r w:rsidRPr="001F44A3"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 w:rsidRPr="001F44A3">
        <w:rPr>
          <w:b/>
          <w:bCs/>
        </w:rPr>
        <w:t>für</w:t>
      </w:r>
      <w:proofErr w:type="spellEnd"/>
      <w:r w:rsidRPr="001F44A3">
        <w:rPr>
          <w:b/>
          <w:bCs/>
        </w:rPr>
        <w:t xml:space="preserve"> die </w:t>
      </w:r>
      <w:proofErr w:type="spellStart"/>
      <w:r w:rsidRPr="001F44A3">
        <w:rPr>
          <w:b/>
          <w:bCs/>
        </w:rPr>
        <w:t>Beförderung</w:t>
      </w:r>
      <w:proofErr w:type="spellEnd"/>
      <w:r w:rsidRPr="001F44A3">
        <w:rPr>
          <w:b/>
          <w:bCs/>
        </w:rPr>
        <w:t xml:space="preserve"> </w:t>
      </w:r>
      <w:proofErr w:type="spellStart"/>
      <w:r w:rsidRPr="001F44A3">
        <w:rPr>
          <w:b/>
          <w:bCs/>
        </w:rPr>
        <w:t>gefährlicher</w:t>
      </w:r>
      <w:proofErr w:type="spellEnd"/>
      <w:r w:rsidRPr="001F44A3">
        <w:rPr>
          <w:b/>
          <w:bCs/>
        </w:rPr>
        <w:t xml:space="preserve"> </w:t>
      </w:r>
      <w:proofErr w:type="spellStart"/>
      <w:r w:rsidRPr="001F44A3">
        <w:rPr>
          <w:b/>
          <w:bCs/>
        </w:rPr>
        <w:t>Güter</w:t>
      </w:r>
      <w:proofErr w:type="spellEnd"/>
    </w:p>
    <w:p w14:paraId="3F9E76A3" w14:textId="46DD78C6" w:rsidR="00D95C8A" w:rsidRPr="009C74F9" w:rsidRDefault="009B1518" w:rsidP="001F44A3">
      <w:pPr>
        <w:pStyle w:val="HChG"/>
      </w:pPr>
      <w:r>
        <w:tab/>
      </w:r>
      <w:r>
        <w:tab/>
      </w:r>
      <w:proofErr w:type="spellStart"/>
      <w:r w:rsidR="001F44A3">
        <w:t>Vorschriften</w:t>
      </w:r>
      <w:proofErr w:type="spellEnd"/>
      <w:r w:rsidR="001F44A3">
        <w:t xml:space="preserve"> </w:t>
      </w:r>
      <w:proofErr w:type="spellStart"/>
      <w:r w:rsidR="001F44A3">
        <w:t>für</w:t>
      </w:r>
      <w:proofErr w:type="spellEnd"/>
      <w:r w:rsidR="001F44A3">
        <w:t xml:space="preserve"> die </w:t>
      </w:r>
      <w:proofErr w:type="spellStart"/>
      <w:r w:rsidR="001F44A3">
        <w:t>Temperaturkontrolle</w:t>
      </w:r>
      <w:proofErr w:type="spellEnd"/>
      <w:r w:rsidR="001F44A3">
        <w:t xml:space="preserve"> in </w:t>
      </w:r>
      <w:proofErr w:type="spellStart"/>
      <w:r w:rsidR="001F44A3">
        <w:t>Kapitel</w:t>
      </w:r>
      <w:proofErr w:type="spellEnd"/>
      <w:r w:rsidR="001F44A3">
        <w:t xml:space="preserve"> 7.1</w:t>
      </w:r>
    </w:p>
    <w:p w14:paraId="259532E0" w14:textId="41DFD33B" w:rsidR="005A14F3" w:rsidRDefault="00D95C8A" w:rsidP="001F44A3">
      <w:pPr>
        <w:pStyle w:val="H1G"/>
      </w:pPr>
      <w:r>
        <w:tab/>
      </w:r>
      <w:r>
        <w:tab/>
      </w:r>
      <w:proofErr w:type="spellStart"/>
      <w:r w:rsidR="001F44A3" w:rsidRPr="00511A7F">
        <w:t>Antrag</w:t>
      </w:r>
      <w:proofErr w:type="spellEnd"/>
      <w:r w:rsidR="001F44A3" w:rsidRPr="00511A7F">
        <w:t xml:space="preserve"> </w:t>
      </w:r>
      <w:proofErr w:type="spellStart"/>
      <w:r w:rsidR="001F44A3">
        <w:t>Deutschlands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5A14F3" w:rsidRPr="00E62341" w14:paraId="28B7D210" w14:textId="77777777" w:rsidTr="005A14F3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14:paraId="57F9E44A" w14:textId="27A8F058" w:rsidR="005A14F3" w:rsidRPr="001F44A3" w:rsidRDefault="005A14F3" w:rsidP="00E441CC">
            <w:pPr>
              <w:tabs>
                <w:tab w:val="left" w:pos="255"/>
              </w:tabs>
              <w:suppressAutoHyphens w:val="0"/>
              <w:spacing w:before="120" w:after="120"/>
              <w:rPr>
                <w:rFonts w:eastAsia="Arial"/>
                <w:i/>
                <w:sz w:val="24"/>
                <w:szCs w:val="24"/>
              </w:rPr>
            </w:pPr>
            <w:r>
              <w:br w:type="page"/>
            </w:r>
            <w:r w:rsidRPr="00E62341">
              <w:rPr>
                <w:rFonts w:eastAsia="Arial"/>
              </w:rPr>
              <w:tab/>
            </w:r>
            <w:r w:rsidR="001F44A3" w:rsidRPr="001F44A3">
              <w:rPr>
                <w:b/>
                <w:i/>
                <w:sz w:val="24"/>
                <w:szCs w:val="24"/>
              </w:rPr>
              <w:t>ZUSAMMENFASSUNG</w:t>
            </w:r>
          </w:p>
        </w:tc>
      </w:tr>
      <w:tr w:rsidR="005A14F3" w:rsidRPr="00E62341" w14:paraId="0A5737AB" w14:textId="77777777" w:rsidTr="005A14F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2F0267DC" w14:textId="282B8954" w:rsidR="005A14F3" w:rsidRPr="00E62341" w:rsidRDefault="001F44A3" w:rsidP="00E441CC">
            <w:pPr>
              <w:pStyle w:val="SingleTxtG"/>
              <w:ind w:left="3402" w:hanging="2268"/>
              <w:rPr>
                <w:b/>
                <w:szCs w:val="22"/>
              </w:rPr>
            </w:pPr>
            <w:proofErr w:type="spellStart"/>
            <w:r>
              <w:rPr>
                <w:b/>
                <w:i/>
              </w:rPr>
              <w:t>Erläuternde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Zusammenfassung</w:t>
            </w:r>
            <w:proofErr w:type="spellEnd"/>
            <w:r w:rsidR="005A14F3" w:rsidRPr="00E62341">
              <w:rPr>
                <w:szCs w:val="22"/>
              </w:rPr>
              <w:t>:</w:t>
            </w:r>
            <w:r w:rsidR="005A14F3" w:rsidRPr="00E62341">
              <w:rPr>
                <w:szCs w:val="22"/>
              </w:rPr>
              <w:tab/>
            </w:r>
            <w:proofErr w:type="spellStart"/>
            <w:r>
              <w:t>Folgeänderungen</w:t>
            </w:r>
            <w:proofErr w:type="spellEnd"/>
            <w:r>
              <w:t xml:space="preserve"> </w:t>
            </w:r>
            <w:proofErr w:type="spellStart"/>
            <w:r>
              <w:t>aufgrund</w:t>
            </w:r>
            <w:proofErr w:type="spellEnd"/>
            <w:r>
              <w:t xml:space="preserve"> der </w:t>
            </w:r>
            <w:proofErr w:type="spellStart"/>
            <w:r>
              <w:t>Überführung</w:t>
            </w:r>
            <w:proofErr w:type="spellEnd"/>
            <w:r>
              <w:t xml:space="preserve"> der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Vorschriften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die </w:t>
            </w:r>
            <w:proofErr w:type="spellStart"/>
            <w:r>
              <w:t>Temperaturkontrolle</w:t>
            </w:r>
            <w:proofErr w:type="spellEnd"/>
            <w:r>
              <w:t xml:space="preserve"> in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neuen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proofErr w:type="spellStart"/>
            <w:r>
              <w:t>Abschnitt</w:t>
            </w:r>
            <w:proofErr w:type="spellEnd"/>
            <w:r>
              <w:t xml:space="preserve"> 7.1.7 ADR/ADN.</w:t>
            </w:r>
          </w:p>
        </w:tc>
      </w:tr>
      <w:tr w:rsidR="005A14F3" w:rsidRPr="00E62341" w14:paraId="35F8186A" w14:textId="77777777" w:rsidTr="005A14F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4EFF5F4E" w14:textId="063A9F2C" w:rsidR="005A14F3" w:rsidRPr="00E62341" w:rsidRDefault="001F44A3" w:rsidP="00E441CC">
            <w:pPr>
              <w:pStyle w:val="SingleTxtG"/>
              <w:ind w:left="3402" w:hanging="2268"/>
              <w:rPr>
                <w:rFonts w:eastAsia="Arial"/>
              </w:rPr>
            </w:pPr>
            <w:proofErr w:type="spellStart"/>
            <w:r>
              <w:rPr>
                <w:b/>
                <w:i/>
              </w:rPr>
              <w:t>Zu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treffende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Entscheidung</w:t>
            </w:r>
            <w:proofErr w:type="spellEnd"/>
            <w:r w:rsidR="005A14F3" w:rsidRPr="00E62341">
              <w:rPr>
                <w:rFonts w:eastAsia="Arial"/>
              </w:rPr>
              <w:t>:</w:t>
            </w:r>
            <w:r w:rsidR="005A14F3" w:rsidRPr="00E62341">
              <w:rPr>
                <w:rFonts w:eastAsia="Arial"/>
              </w:rPr>
              <w:tab/>
            </w:r>
            <w:proofErr w:type="spellStart"/>
            <w:r>
              <w:t>Folgeänderungen</w:t>
            </w:r>
            <w:proofErr w:type="spellEnd"/>
            <w:r>
              <w:t xml:space="preserve"> in </w:t>
            </w:r>
            <w:r w:rsidRPr="00914BF0">
              <w:t xml:space="preserve">den </w:t>
            </w:r>
            <w:proofErr w:type="spellStart"/>
            <w:r w:rsidRPr="00914BF0">
              <w:t>Sondervorschriften</w:t>
            </w:r>
            <w:proofErr w:type="spellEnd"/>
            <w:r w:rsidRPr="00914BF0">
              <w:t xml:space="preserve"> CV20 und </w:t>
            </w:r>
            <w:r>
              <w:tab/>
            </w:r>
            <w:r>
              <w:tab/>
            </w:r>
            <w:r>
              <w:tab/>
            </w:r>
            <w:r w:rsidRPr="00914BF0">
              <w:t xml:space="preserve">CV21 in </w:t>
            </w:r>
            <w:proofErr w:type="spellStart"/>
            <w:r w:rsidRPr="00914BF0">
              <w:t>Abschnitt</w:t>
            </w:r>
            <w:proofErr w:type="spellEnd"/>
            <w:r w:rsidRPr="00914BF0">
              <w:t xml:space="preserve"> 7.5.11 </w:t>
            </w:r>
            <w:proofErr w:type="spellStart"/>
            <w:r w:rsidRPr="00914BF0">
              <w:t>sowie</w:t>
            </w:r>
            <w:proofErr w:type="spellEnd"/>
            <w:r w:rsidRPr="00914BF0">
              <w:t xml:space="preserve"> in </w:t>
            </w:r>
            <w:proofErr w:type="spellStart"/>
            <w:r w:rsidRPr="00914BF0">
              <w:t>Abschnitt</w:t>
            </w:r>
            <w:proofErr w:type="spellEnd"/>
            <w:r w:rsidRPr="00914BF0">
              <w:t xml:space="preserve"> 9.6.2 des </w:t>
            </w:r>
            <w:r>
              <w:tab/>
            </w:r>
            <w:r>
              <w:tab/>
            </w:r>
            <w:r>
              <w:tab/>
            </w:r>
            <w:r w:rsidRPr="00914BF0">
              <w:t>ADR</w:t>
            </w:r>
          </w:p>
        </w:tc>
      </w:tr>
      <w:tr w:rsidR="005A14F3" w:rsidRPr="00E132FB" w14:paraId="2A2629CF" w14:textId="77777777" w:rsidTr="005A14F3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01A87800" w14:textId="77777777" w:rsidR="001F44A3" w:rsidRDefault="001F44A3" w:rsidP="001F44A3">
            <w:pPr>
              <w:pStyle w:val="SingleTxtG"/>
              <w:spacing w:after="0"/>
              <w:ind w:left="3402" w:hanging="2268"/>
              <w:jc w:val="left"/>
            </w:pPr>
            <w:proofErr w:type="spellStart"/>
            <w:r>
              <w:rPr>
                <w:b/>
                <w:i/>
              </w:rPr>
              <w:t>Damit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zusammenhängende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Dokumente</w:t>
            </w:r>
            <w:proofErr w:type="spellEnd"/>
            <w:r w:rsidR="005A14F3" w:rsidRPr="00E62341">
              <w:rPr>
                <w:rFonts w:eastAsia="Arial"/>
              </w:rPr>
              <w:t>:</w:t>
            </w:r>
            <w:r w:rsidR="005A14F3" w:rsidRPr="00E62341">
              <w:rPr>
                <w:rFonts w:eastAsia="Arial"/>
              </w:rPr>
              <w:tab/>
            </w:r>
            <w:r w:rsidR="005A14F3">
              <w:t xml:space="preserve">OTIF/RID/RC/2017/26 </w:t>
            </w:r>
          </w:p>
          <w:p w14:paraId="09CD75A0" w14:textId="170DA610" w:rsidR="005A14F3" w:rsidRPr="00E132FB" w:rsidRDefault="005A14F3" w:rsidP="001F44A3">
            <w:pPr>
              <w:pStyle w:val="SingleTxtG"/>
              <w:ind w:left="4536"/>
              <w:jc w:val="left"/>
            </w:pPr>
            <w:r>
              <w:t>(ECE/TRANS/WP.15/AC.1/2017/26), section 34 and OTIF/RID/RC/2017/26/Add.1 (ECE/TRANS/WP.15/AC.1/2017/26/Add.1)</w:t>
            </w:r>
          </w:p>
        </w:tc>
      </w:tr>
      <w:tr w:rsidR="005A14F3" w:rsidRPr="00E62341" w14:paraId="53825CC9" w14:textId="77777777" w:rsidTr="005A14F3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14:paraId="151EA3E6" w14:textId="77777777" w:rsidR="005A14F3" w:rsidRPr="00E62341" w:rsidRDefault="005A14F3" w:rsidP="00E441CC">
            <w:pPr>
              <w:suppressAutoHyphens w:val="0"/>
              <w:rPr>
                <w:rFonts w:eastAsia="Arial"/>
              </w:rPr>
            </w:pPr>
          </w:p>
        </w:tc>
      </w:tr>
    </w:tbl>
    <w:p w14:paraId="5B4E655A" w14:textId="77777777" w:rsidR="001F44A3" w:rsidRPr="00E02FE8" w:rsidRDefault="005A14F3" w:rsidP="001F44A3">
      <w:pPr>
        <w:pStyle w:val="HChG"/>
      </w:pPr>
      <w:r>
        <w:tab/>
      </w:r>
      <w:r>
        <w:tab/>
      </w:r>
      <w:proofErr w:type="spellStart"/>
      <w:r w:rsidR="001F44A3" w:rsidRPr="00E02FE8">
        <w:t>Einleitung</w:t>
      </w:r>
      <w:proofErr w:type="spellEnd"/>
    </w:p>
    <w:p w14:paraId="4B6F0398" w14:textId="77777777" w:rsidR="001F44A3" w:rsidRDefault="001F44A3" w:rsidP="001F44A3">
      <w:pPr>
        <w:pStyle w:val="SingleTxtG"/>
      </w:pPr>
      <w:r>
        <w:t>1.</w:t>
      </w:r>
      <w:r>
        <w:tab/>
        <w:t xml:space="preserve">Die </w:t>
      </w:r>
      <w:proofErr w:type="spellStart"/>
      <w:r>
        <w:t>Vorschriften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Temperaturkontrolle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Sondervorschrift</w:t>
      </w:r>
      <w:proofErr w:type="spellEnd"/>
      <w:r>
        <w:t xml:space="preserve"> V8 in </w:t>
      </w:r>
      <w:proofErr w:type="spellStart"/>
      <w:r>
        <w:t>Abschnitt</w:t>
      </w:r>
      <w:proofErr w:type="spellEnd"/>
      <w:r>
        <w:t xml:space="preserve"> 7.2.4 ADR in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Abschnitt</w:t>
      </w:r>
      <w:proofErr w:type="spellEnd"/>
      <w:r>
        <w:t xml:space="preserve"> 7.1.7 ADR/ADN </w:t>
      </w:r>
      <w:proofErr w:type="spellStart"/>
      <w:r>
        <w:t>überführt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Sondervorschrift</w:t>
      </w:r>
      <w:proofErr w:type="spellEnd"/>
      <w:r>
        <w:t xml:space="preserve"> V8 </w:t>
      </w:r>
      <w:proofErr w:type="spellStart"/>
      <w:r>
        <w:t>erhält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Wortlaut</w:t>
      </w:r>
      <w:proofErr w:type="spellEnd"/>
      <w:r>
        <w:t xml:space="preserve"> und </w:t>
      </w:r>
      <w:proofErr w:type="spellStart"/>
      <w:r>
        <w:t>verweist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auf den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Abschnitt</w:t>
      </w:r>
      <w:proofErr w:type="spellEnd"/>
      <w:r>
        <w:t xml:space="preserve"> 7.1.7.</w:t>
      </w:r>
    </w:p>
    <w:p w14:paraId="2B91FCC8" w14:textId="77777777" w:rsidR="001F44A3" w:rsidRDefault="001F44A3" w:rsidP="001F44A3">
      <w:pPr>
        <w:pStyle w:val="SingleTxtG"/>
      </w:pPr>
      <w:r>
        <w:t>2.</w:t>
      </w:r>
      <w:r>
        <w:tab/>
        <w:t xml:space="preserve">Dies </w:t>
      </w:r>
      <w:proofErr w:type="spellStart"/>
      <w:r>
        <w:t>erfordert</w:t>
      </w:r>
      <w:proofErr w:type="spellEnd"/>
      <w:r>
        <w:t xml:space="preserve"> </w:t>
      </w:r>
      <w:proofErr w:type="spellStart"/>
      <w:r>
        <w:t>Folgeänderungen</w:t>
      </w:r>
      <w:proofErr w:type="spellEnd"/>
      <w:r>
        <w:t xml:space="preserve"> in den </w:t>
      </w:r>
      <w:proofErr w:type="spellStart"/>
      <w:r>
        <w:t>Sondervorschriften</w:t>
      </w:r>
      <w:proofErr w:type="spellEnd"/>
      <w:r>
        <w:t xml:space="preserve"> CV20 und CV21 in </w:t>
      </w:r>
      <w:proofErr w:type="spellStart"/>
      <w:r>
        <w:t>Abschnitt</w:t>
      </w:r>
      <w:proofErr w:type="spellEnd"/>
      <w:r>
        <w:t xml:space="preserve"> 7.5.11 </w:t>
      </w:r>
      <w:proofErr w:type="spellStart"/>
      <w:r>
        <w:t>sowie</w:t>
      </w:r>
      <w:proofErr w:type="spellEnd"/>
      <w:r>
        <w:t xml:space="preserve"> in </w:t>
      </w:r>
      <w:proofErr w:type="spellStart"/>
      <w:r>
        <w:t>Abschnitt</w:t>
      </w:r>
      <w:proofErr w:type="spellEnd"/>
      <w:r>
        <w:t xml:space="preserve"> 9.6.2 des ADR, in </w:t>
      </w:r>
      <w:proofErr w:type="spellStart"/>
      <w:r>
        <w:t>denen</w:t>
      </w:r>
      <w:proofErr w:type="spellEnd"/>
      <w:r>
        <w:t xml:space="preserve"> auf </w:t>
      </w:r>
      <w:proofErr w:type="spellStart"/>
      <w:r>
        <w:t>bestimmte</w:t>
      </w:r>
      <w:proofErr w:type="spellEnd"/>
      <w:r>
        <w:t xml:space="preserve"> </w:t>
      </w:r>
      <w:proofErr w:type="spellStart"/>
      <w:r>
        <w:t>Absätze</w:t>
      </w:r>
      <w:proofErr w:type="spellEnd"/>
      <w:r>
        <w:t xml:space="preserve"> der </w:t>
      </w:r>
      <w:proofErr w:type="spellStart"/>
      <w:r>
        <w:t>Sondervorschrift</w:t>
      </w:r>
      <w:proofErr w:type="spellEnd"/>
      <w:r>
        <w:t xml:space="preserve"> V8 </w:t>
      </w:r>
      <w:proofErr w:type="spellStart"/>
      <w:r>
        <w:t>Bezug</w:t>
      </w:r>
      <w:proofErr w:type="spellEnd"/>
      <w:r>
        <w:t xml:space="preserve"> </w:t>
      </w:r>
      <w:proofErr w:type="spellStart"/>
      <w:r>
        <w:t>genommen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die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künftig</w:t>
      </w:r>
      <w:proofErr w:type="spellEnd"/>
      <w:r>
        <w:t xml:space="preserve"> in </w:t>
      </w:r>
      <w:proofErr w:type="spellStart"/>
      <w:r>
        <w:t>Abschnitt</w:t>
      </w:r>
      <w:proofErr w:type="spellEnd"/>
      <w:r>
        <w:t xml:space="preserve"> 7.1.7 </w:t>
      </w:r>
      <w:proofErr w:type="spellStart"/>
      <w:r>
        <w:t>befinden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Folgeänderungen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OTIF/RID/RC/2017/26/Add.1 (E</w:t>
      </w:r>
      <w:r w:rsidRPr="003D1354">
        <w:t>CE/TRANS/WP.15/AC.1/2017/26/Add.1</w:t>
      </w:r>
      <w:r>
        <w:t>)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>.</w:t>
      </w:r>
    </w:p>
    <w:p w14:paraId="029E8FA4" w14:textId="6BB6995F" w:rsidR="001F44A3" w:rsidRPr="00E02FE8" w:rsidRDefault="001F44A3" w:rsidP="001F44A3">
      <w:pPr>
        <w:pStyle w:val="HChG"/>
      </w:pPr>
      <w:r>
        <w:tab/>
      </w:r>
      <w:r>
        <w:tab/>
      </w:r>
      <w:proofErr w:type="spellStart"/>
      <w:r w:rsidRPr="00E02FE8">
        <w:t>Antrag</w:t>
      </w:r>
      <w:proofErr w:type="spellEnd"/>
    </w:p>
    <w:p w14:paraId="50ECC8F9" w14:textId="77777777" w:rsidR="001F44A3" w:rsidRDefault="001F44A3" w:rsidP="001F44A3">
      <w:pPr>
        <w:pStyle w:val="SingleTxtG"/>
      </w:pPr>
      <w:r>
        <w:t>3.</w:t>
      </w:r>
      <w:r>
        <w:tab/>
        <w:t xml:space="preserve">Deutschland </w:t>
      </w:r>
      <w:proofErr w:type="spellStart"/>
      <w:r>
        <w:t>schlägt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Änderungen</w:t>
      </w:r>
      <w:proofErr w:type="spellEnd"/>
      <w:r>
        <w:t xml:space="preserve"> </w:t>
      </w:r>
      <w:proofErr w:type="spellStart"/>
      <w:r>
        <w:t>vor</w:t>
      </w:r>
      <w:proofErr w:type="spellEnd"/>
      <w:r>
        <w:t>:</w:t>
      </w:r>
    </w:p>
    <w:p w14:paraId="00FEB533" w14:textId="77777777" w:rsidR="001F44A3" w:rsidRPr="00F725BE" w:rsidRDefault="001F44A3" w:rsidP="001F44A3">
      <w:pPr>
        <w:pStyle w:val="SingleTxtG"/>
        <w:rPr>
          <w:u w:val="single"/>
        </w:rPr>
      </w:pPr>
      <w:r w:rsidRPr="00F725BE">
        <w:rPr>
          <w:u w:val="single"/>
        </w:rPr>
        <w:t xml:space="preserve">In </w:t>
      </w:r>
      <w:proofErr w:type="spellStart"/>
      <w:r w:rsidRPr="00F725BE">
        <w:rPr>
          <w:u w:val="single"/>
        </w:rPr>
        <w:t>Abschnitt</w:t>
      </w:r>
      <w:proofErr w:type="spellEnd"/>
      <w:r w:rsidRPr="00F725BE">
        <w:rPr>
          <w:u w:val="single"/>
        </w:rPr>
        <w:t xml:space="preserve"> 7.5.11, </w:t>
      </w:r>
      <w:proofErr w:type="spellStart"/>
      <w:r w:rsidRPr="00F725BE">
        <w:rPr>
          <w:u w:val="single"/>
        </w:rPr>
        <w:t>Sondervorschrift</w:t>
      </w:r>
      <w:proofErr w:type="spellEnd"/>
      <w:r w:rsidRPr="00F725BE">
        <w:rPr>
          <w:u w:val="single"/>
        </w:rPr>
        <w:t xml:space="preserve"> CV20:</w:t>
      </w:r>
    </w:p>
    <w:p w14:paraId="467A0A04" w14:textId="77777777" w:rsidR="001F44A3" w:rsidRDefault="001F44A3" w:rsidP="001F44A3">
      <w:pPr>
        <w:pStyle w:val="SingleTxtG"/>
      </w:pPr>
      <w:r>
        <w:lastRenderedPageBreak/>
        <w:t>„…</w:t>
      </w:r>
      <w:r w:rsidRPr="000C23E5">
        <w:t xml:space="preserve">und die </w:t>
      </w:r>
      <w:proofErr w:type="spellStart"/>
      <w:r w:rsidRPr="000C23E5">
        <w:t>Sondervorschriften</w:t>
      </w:r>
      <w:proofErr w:type="spellEnd"/>
      <w:r w:rsidRPr="000C23E5">
        <w:t xml:space="preserve"> V 1 und V 8 (5) und (6) des </w:t>
      </w:r>
      <w:proofErr w:type="spellStart"/>
      <w:r w:rsidRPr="000C23E5">
        <w:t>Kapitels</w:t>
      </w:r>
      <w:proofErr w:type="spellEnd"/>
      <w:r w:rsidRPr="000C23E5">
        <w:t xml:space="preserve"> 7.2</w:t>
      </w:r>
      <w:r>
        <w:t xml:space="preserve"> </w:t>
      </w:r>
      <w:proofErr w:type="spellStart"/>
      <w:r>
        <w:t>gelten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>, …</w:t>
      </w:r>
      <w:r w:rsidRPr="000C23E5">
        <w:t>“</w:t>
      </w:r>
      <w:r>
        <w:t xml:space="preserve"> </w:t>
      </w:r>
      <w:proofErr w:type="spellStart"/>
      <w:r>
        <w:t>ersetzen</w:t>
      </w:r>
      <w:proofErr w:type="spellEnd"/>
      <w:r>
        <w:t xml:space="preserve"> </w:t>
      </w:r>
      <w:proofErr w:type="spellStart"/>
      <w:r>
        <w:t>durch</w:t>
      </w:r>
      <w:proofErr w:type="spellEnd"/>
    </w:p>
    <w:p w14:paraId="52DF26E7" w14:textId="77777777" w:rsidR="001F44A3" w:rsidRDefault="001F44A3" w:rsidP="001F44A3">
      <w:pPr>
        <w:pStyle w:val="SingleTxtG"/>
      </w:pPr>
      <w:r>
        <w:t>„…</w:t>
      </w:r>
      <w:r w:rsidRPr="006319FF">
        <w:t xml:space="preserve">und die </w:t>
      </w:r>
      <w:proofErr w:type="spellStart"/>
      <w:r w:rsidRPr="006319FF">
        <w:t>Absätze</w:t>
      </w:r>
      <w:proofErr w:type="spellEnd"/>
      <w:r w:rsidRPr="006319FF">
        <w:t xml:space="preserve"> 7.1.7.4.7 und 7.1.7.4.8 </w:t>
      </w:r>
      <w:proofErr w:type="spellStart"/>
      <w:r w:rsidRPr="006319FF">
        <w:t>sowie</w:t>
      </w:r>
      <w:proofErr w:type="spellEnd"/>
      <w:r w:rsidRPr="006319FF">
        <w:t xml:space="preserve"> die </w:t>
      </w:r>
      <w:proofErr w:type="spellStart"/>
      <w:r w:rsidRPr="006319FF">
        <w:t>Sondervorschrift</w:t>
      </w:r>
      <w:proofErr w:type="spellEnd"/>
      <w:r w:rsidRPr="006319FF">
        <w:t xml:space="preserve"> V1 des </w:t>
      </w:r>
      <w:proofErr w:type="spellStart"/>
      <w:r w:rsidRPr="006319FF">
        <w:t>Kapitels</w:t>
      </w:r>
      <w:proofErr w:type="spellEnd"/>
      <w:r w:rsidRPr="006319FF">
        <w:t xml:space="preserve"> 7.2</w:t>
      </w:r>
      <w:r>
        <w:t xml:space="preserve">gelten </w:t>
      </w:r>
      <w:proofErr w:type="spellStart"/>
      <w:r>
        <w:t>nicht</w:t>
      </w:r>
      <w:proofErr w:type="spellEnd"/>
      <w:r>
        <w:t>, …“</w:t>
      </w:r>
    </w:p>
    <w:p w14:paraId="55E43CFD" w14:textId="77777777" w:rsidR="001F44A3" w:rsidRDefault="001F44A3" w:rsidP="001F44A3">
      <w:pPr>
        <w:pStyle w:val="SingleTxtG"/>
      </w:pPr>
      <w:r>
        <w:t>(</w:t>
      </w:r>
      <w:proofErr w:type="spellStart"/>
      <w:r>
        <w:t>nur</w:t>
      </w:r>
      <w:proofErr w:type="spellEnd"/>
      <w:r>
        <w:t xml:space="preserve"> ADR)</w:t>
      </w:r>
    </w:p>
    <w:p w14:paraId="3D1F26FD" w14:textId="77777777" w:rsidR="001F44A3" w:rsidRPr="00850476" w:rsidRDefault="001F44A3" w:rsidP="001F44A3">
      <w:pPr>
        <w:pStyle w:val="SingleTxtG"/>
        <w:rPr>
          <w:u w:val="single"/>
        </w:rPr>
      </w:pPr>
      <w:r w:rsidRPr="00850476">
        <w:rPr>
          <w:u w:val="single"/>
        </w:rPr>
        <w:t xml:space="preserve">In </w:t>
      </w:r>
      <w:proofErr w:type="spellStart"/>
      <w:r w:rsidRPr="00850476">
        <w:rPr>
          <w:u w:val="single"/>
        </w:rPr>
        <w:t>Abschnitt</w:t>
      </w:r>
      <w:proofErr w:type="spellEnd"/>
      <w:r w:rsidRPr="00850476">
        <w:rPr>
          <w:u w:val="single"/>
        </w:rPr>
        <w:t xml:space="preserve"> 7.5.11, </w:t>
      </w:r>
      <w:proofErr w:type="spellStart"/>
      <w:r w:rsidRPr="00850476">
        <w:rPr>
          <w:u w:val="single"/>
        </w:rPr>
        <w:t>Sondervorschrift</w:t>
      </w:r>
      <w:proofErr w:type="spellEnd"/>
      <w:r w:rsidRPr="00850476">
        <w:rPr>
          <w:u w:val="single"/>
        </w:rPr>
        <w:t xml:space="preserve"> CV21:</w:t>
      </w:r>
    </w:p>
    <w:p w14:paraId="6F2780AA" w14:textId="77777777" w:rsidR="001F44A3" w:rsidRDefault="001F44A3" w:rsidP="001F44A3">
      <w:pPr>
        <w:pStyle w:val="SingleTxtG"/>
      </w:pPr>
      <w:r>
        <w:t>„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Temperaturkontrolle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den </w:t>
      </w:r>
      <w:proofErr w:type="spellStart"/>
      <w:r>
        <w:t>Verfahren</w:t>
      </w:r>
      <w:proofErr w:type="spellEnd"/>
      <w:r>
        <w:t xml:space="preserve"> R2 </w:t>
      </w:r>
      <w:proofErr w:type="spellStart"/>
      <w:r>
        <w:t>oder</w:t>
      </w:r>
      <w:proofErr w:type="spellEnd"/>
      <w:r>
        <w:t xml:space="preserve"> R4 der </w:t>
      </w:r>
      <w:proofErr w:type="spellStart"/>
      <w:r>
        <w:t>Sondervorschrift</w:t>
      </w:r>
      <w:proofErr w:type="spellEnd"/>
      <w:r>
        <w:t xml:space="preserve"> V8 (3) des </w:t>
      </w:r>
      <w:proofErr w:type="spellStart"/>
      <w:r>
        <w:t>Kapitels</w:t>
      </w:r>
      <w:proofErr w:type="spellEnd"/>
      <w:r>
        <w:t xml:space="preserve"> 7.2…“ </w:t>
      </w:r>
      <w:proofErr w:type="spellStart"/>
      <w:r>
        <w:t>ersetzen</w:t>
      </w:r>
      <w:proofErr w:type="spellEnd"/>
      <w:r>
        <w:t xml:space="preserve"> </w:t>
      </w:r>
      <w:proofErr w:type="spellStart"/>
      <w:r>
        <w:t>durch</w:t>
      </w:r>
      <w:proofErr w:type="spellEnd"/>
    </w:p>
    <w:p w14:paraId="597FE1E8" w14:textId="77777777" w:rsidR="001F44A3" w:rsidRDefault="001F44A3" w:rsidP="001F44A3">
      <w:pPr>
        <w:pStyle w:val="SingleTxtG"/>
      </w:pPr>
      <w:r>
        <w:t>„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Temperaturkontrolle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den </w:t>
      </w:r>
      <w:proofErr w:type="spellStart"/>
      <w:r>
        <w:t>inAbsatz</w:t>
      </w:r>
      <w:proofErr w:type="spellEnd"/>
      <w:r>
        <w:t xml:space="preserve"> 7.1.7.4.5 </w:t>
      </w:r>
      <w:proofErr w:type="spellStart"/>
      <w:r>
        <w:t>Buchstabe</w:t>
      </w:r>
      <w:proofErr w:type="spellEnd"/>
      <w:r>
        <w:t xml:space="preserve"> b) </w:t>
      </w:r>
      <w:proofErr w:type="spellStart"/>
      <w:r>
        <w:t>oder</w:t>
      </w:r>
      <w:proofErr w:type="spellEnd"/>
      <w:r>
        <w:t xml:space="preserve"> d)</w:t>
      </w:r>
      <w:proofErr w:type="spellStart"/>
      <w:r>
        <w:t>beschriebenen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>…“</w:t>
      </w:r>
    </w:p>
    <w:p w14:paraId="1A0A6DB5" w14:textId="77777777" w:rsidR="001F44A3" w:rsidRDefault="001F44A3" w:rsidP="001F44A3">
      <w:pPr>
        <w:pStyle w:val="SingleTxtG"/>
      </w:pPr>
      <w:r>
        <w:t>(</w:t>
      </w:r>
      <w:proofErr w:type="spellStart"/>
      <w:r>
        <w:t>nur</w:t>
      </w:r>
      <w:proofErr w:type="spellEnd"/>
      <w:r>
        <w:t xml:space="preserve"> ADR)</w:t>
      </w:r>
    </w:p>
    <w:p w14:paraId="58939019" w14:textId="77777777" w:rsidR="001F44A3" w:rsidRPr="004863D6" w:rsidRDefault="001F44A3" w:rsidP="001F44A3">
      <w:pPr>
        <w:pStyle w:val="SingleTxtG"/>
        <w:rPr>
          <w:u w:val="single"/>
        </w:rPr>
      </w:pPr>
      <w:r w:rsidRPr="004863D6">
        <w:rPr>
          <w:u w:val="single"/>
        </w:rPr>
        <w:t xml:space="preserve">In </w:t>
      </w:r>
      <w:proofErr w:type="spellStart"/>
      <w:r w:rsidRPr="004863D6">
        <w:rPr>
          <w:u w:val="single"/>
        </w:rPr>
        <w:t>Abschnitt</w:t>
      </w:r>
      <w:proofErr w:type="spellEnd"/>
      <w:r w:rsidRPr="004863D6">
        <w:rPr>
          <w:u w:val="single"/>
        </w:rPr>
        <w:t xml:space="preserve"> 9.6.2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Erster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Satz</w:t>
      </w:r>
      <w:proofErr w:type="spellEnd"/>
      <w:r w:rsidRPr="004863D6">
        <w:rPr>
          <w:u w:val="single"/>
        </w:rPr>
        <w:t>:</w:t>
      </w:r>
    </w:p>
    <w:p w14:paraId="300BED7E" w14:textId="77777777" w:rsidR="001F44A3" w:rsidRDefault="001F44A3" w:rsidP="001F44A3">
      <w:pPr>
        <w:pStyle w:val="SingleTxtG"/>
      </w:pPr>
      <w:r>
        <w:t xml:space="preserve">„Die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Vermeidung</w:t>
      </w:r>
      <w:proofErr w:type="spellEnd"/>
      <w:r>
        <w:t xml:space="preserve"> der </w:t>
      </w:r>
      <w:proofErr w:type="spellStart"/>
      <w:r>
        <w:t>Überschreitung</w:t>
      </w:r>
      <w:proofErr w:type="spellEnd"/>
      <w:r>
        <w:t xml:space="preserve"> der </w:t>
      </w:r>
      <w:proofErr w:type="spellStart"/>
      <w:r>
        <w:t>Kontrolltemperatur</w:t>
      </w:r>
      <w:proofErr w:type="spellEnd"/>
      <w:r>
        <w:t xml:space="preserve"> </w:t>
      </w:r>
      <w:proofErr w:type="spellStart"/>
      <w:r>
        <w:t>geeigneten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(R1 </w:t>
      </w:r>
      <w:proofErr w:type="spellStart"/>
      <w:r>
        <w:t>bis</w:t>
      </w:r>
      <w:proofErr w:type="spellEnd"/>
      <w:r>
        <w:t xml:space="preserve"> R5) </w:t>
      </w:r>
      <w:proofErr w:type="spellStart"/>
      <w:r>
        <w:t>sind</w:t>
      </w:r>
      <w:proofErr w:type="spellEnd"/>
      <w:r>
        <w:t xml:space="preserve"> in </w:t>
      </w:r>
      <w:proofErr w:type="spellStart"/>
      <w:r>
        <w:t>Kapitel</w:t>
      </w:r>
      <w:proofErr w:type="spellEnd"/>
      <w:r>
        <w:t xml:space="preserve"> 7.2 </w:t>
      </w:r>
      <w:proofErr w:type="spellStart"/>
      <w:r>
        <w:t>aufgeführt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</w:t>
      </w:r>
      <w:proofErr w:type="spellStart"/>
      <w:r>
        <w:t>Sondervorschrift</w:t>
      </w:r>
      <w:proofErr w:type="spellEnd"/>
      <w:r>
        <w:t xml:space="preserve"> V8 (3)).“ </w:t>
      </w:r>
      <w:proofErr w:type="spellStart"/>
      <w:r>
        <w:t>ersetzen</w:t>
      </w:r>
      <w:proofErr w:type="spellEnd"/>
      <w:r>
        <w:t xml:space="preserve"> </w:t>
      </w:r>
      <w:proofErr w:type="spellStart"/>
      <w:r>
        <w:t>durch</w:t>
      </w:r>
      <w:proofErr w:type="spellEnd"/>
    </w:p>
    <w:p w14:paraId="54A2CF84" w14:textId="77777777" w:rsidR="001F44A3" w:rsidRDefault="001F44A3" w:rsidP="001F44A3">
      <w:pPr>
        <w:pStyle w:val="SingleTxtG"/>
      </w:pPr>
      <w:r>
        <w:t xml:space="preserve">„Die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Vermeidung</w:t>
      </w:r>
      <w:proofErr w:type="spellEnd"/>
      <w:r>
        <w:t xml:space="preserve"> der </w:t>
      </w:r>
      <w:proofErr w:type="spellStart"/>
      <w:r>
        <w:t>Überschreitung</w:t>
      </w:r>
      <w:proofErr w:type="spellEnd"/>
      <w:r>
        <w:t xml:space="preserve"> der </w:t>
      </w:r>
      <w:proofErr w:type="spellStart"/>
      <w:r>
        <w:t>Kontrolltemperatur</w:t>
      </w:r>
      <w:proofErr w:type="spellEnd"/>
      <w:r>
        <w:t xml:space="preserve"> </w:t>
      </w:r>
      <w:proofErr w:type="spellStart"/>
      <w:r>
        <w:t>geeigneten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in </w:t>
      </w:r>
      <w:proofErr w:type="spellStart"/>
      <w:r>
        <w:t>Absatz</w:t>
      </w:r>
      <w:proofErr w:type="spellEnd"/>
      <w:r>
        <w:t xml:space="preserve"> 7.1.7.4.5 </w:t>
      </w:r>
      <w:proofErr w:type="spellStart"/>
      <w:r>
        <w:t>aufgeführt</w:t>
      </w:r>
      <w:proofErr w:type="spellEnd"/>
      <w:r>
        <w:t>.“</w:t>
      </w:r>
    </w:p>
    <w:p w14:paraId="04FFE581" w14:textId="79303B38" w:rsidR="001F44A3" w:rsidRDefault="001F44A3" w:rsidP="001F44A3">
      <w:pPr>
        <w:pStyle w:val="SingleTxtG"/>
      </w:pPr>
      <w:r>
        <w:t>(</w:t>
      </w:r>
      <w:proofErr w:type="spellStart"/>
      <w:r>
        <w:t>nur</w:t>
      </w:r>
      <w:proofErr w:type="spellEnd"/>
      <w:r>
        <w:t xml:space="preserve"> ADR)</w:t>
      </w:r>
    </w:p>
    <w:p w14:paraId="4A5CC6CF" w14:textId="4A0E7AE6" w:rsidR="001F44A3" w:rsidRPr="001F44A3" w:rsidRDefault="001F44A3" w:rsidP="001F44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44A3" w:rsidRPr="001F44A3" w:rsidSect="00BB7FE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877E" w14:textId="77777777" w:rsidR="00C50425" w:rsidRDefault="00C50425"/>
  </w:endnote>
  <w:endnote w:type="continuationSeparator" w:id="0">
    <w:p w14:paraId="6A3248D5" w14:textId="77777777" w:rsidR="00C50425" w:rsidRDefault="00C50425"/>
  </w:endnote>
  <w:endnote w:type="continuationNotice" w:id="1">
    <w:p w14:paraId="59392381" w14:textId="77777777" w:rsidR="00C50425" w:rsidRDefault="00C50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B33D6" w14:textId="7D6D815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556628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282C" w14:textId="06B0A777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5A14F3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23C2" w14:textId="77777777" w:rsidR="00C50425" w:rsidRPr="000B175B" w:rsidRDefault="00C504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FACBD3" w14:textId="77777777" w:rsidR="00C50425" w:rsidRPr="00FC68B7" w:rsidRDefault="00C504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9268F6" w14:textId="77777777" w:rsidR="00C50425" w:rsidRDefault="00C50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7FBE" w14:textId="316CC02C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5A14F3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022D" w14:textId="19CB3575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F7DEF">
      <w:rPr>
        <w:lang w:val="fr-C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3E2158"/>
    <w:multiLevelType w:val="hybridMultilevel"/>
    <w:tmpl w:val="12E08E62"/>
    <w:lvl w:ilvl="0" w:tplc="9E6887C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E64"/>
    <w:multiLevelType w:val="hybridMultilevel"/>
    <w:tmpl w:val="414438D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12"/>
  </w:num>
  <w:num w:numId="17">
    <w:abstractNumId w:val="21"/>
  </w:num>
  <w:num w:numId="18">
    <w:abstractNumId w:val="14"/>
  </w:num>
  <w:num w:numId="19">
    <w:abstractNumId w:val="22"/>
  </w:num>
  <w:num w:numId="20">
    <w:abstractNumId w:val="17"/>
  </w:num>
  <w:num w:numId="21">
    <w:abstractNumId w:val="19"/>
  </w:num>
  <w:num w:numId="22">
    <w:abstractNumId w:val="11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6B1F"/>
    <w:rsid w:val="00050F6B"/>
    <w:rsid w:val="00057E97"/>
    <w:rsid w:val="000671BA"/>
    <w:rsid w:val="00072289"/>
    <w:rsid w:val="00072C8C"/>
    <w:rsid w:val="000733B5"/>
    <w:rsid w:val="00081815"/>
    <w:rsid w:val="000931C0"/>
    <w:rsid w:val="000943F3"/>
    <w:rsid w:val="00095C50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62ED"/>
    <w:rsid w:val="000C7F79"/>
    <w:rsid w:val="000E0415"/>
    <w:rsid w:val="0010391C"/>
    <w:rsid w:val="00104CDA"/>
    <w:rsid w:val="001103AA"/>
    <w:rsid w:val="0011666B"/>
    <w:rsid w:val="00121E05"/>
    <w:rsid w:val="00125117"/>
    <w:rsid w:val="00127D3C"/>
    <w:rsid w:val="00155068"/>
    <w:rsid w:val="00165F3A"/>
    <w:rsid w:val="0018316A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7981"/>
    <w:rsid w:val="001E0B9E"/>
    <w:rsid w:val="001E7B67"/>
    <w:rsid w:val="001F44A3"/>
    <w:rsid w:val="001F4B34"/>
    <w:rsid w:val="001F7435"/>
    <w:rsid w:val="00202DA8"/>
    <w:rsid w:val="00203753"/>
    <w:rsid w:val="002102FF"/>
    <w:rsid w:val="0021082E"/>
    <w:rsid w:val="0021114C"/>
    <w:rsid w:val="0021157B"/>
    <w:rsid w:val="00211E0B"/>
    <w:rsid w:val="002336E0"/>
    <w:rsid w:val="00237690"/>
    <w:rsid w:val="0024023A"/>
    <w:rsid w:val="00243217"/>
    <w:rsid w:val="00252290"/>
    <w:rsid w:val="00256FA8"/>
    <w:rsid w:val="0026532A"/>
    <w:rsid w:val="00267F5F"/>
    <w:rsid w:val="00276945"/>
    <w:rsid w:val="002866F0"/>
    <w:rsid w:val="00286B4D"/>
    <w:rsid w:val="00293582"/>
    <w:rsid w:val="002A3C85"/>
    <w:rsid w:val="002A603B"/>
    <w:rsid w:val="002D4643"/>
    <w:rsid w:val="002D4B6C"/>
    <w:rsid w:val="002F175C"/>
    <w:rsid w:val="002F41D4"/>
    <w:rsid w:val="00302E18"/>
    <w:rsid w:val="003050A4"/>
    <w:rsid w:val="0030606F"/>
    <w:rsid w:val="00321A87"/>
    <w:rsid w:val="003229D8"/>
    <w:rsid w:val="003358CF"/>
    <w:rsid w:val="00345184"/>
    <w:rsid w:val="0034693C"/>
    <w:rsid w:val="00352709"/>
    <w:rsid w:val="003571EA"/>
    <w:rsid w:val="00371178"/>
    <w:rsid w:val="003A6810"/>
    <w:rsid w:val="003B311A"/>
    <w:rsid w:val="003B36D1"/>
    <w:rsid w:val="003C2CC4"/>
    <w:rsid w:val="003C7C2C"/>
    <w:rsid w:val="003D4B23"/>
    <w:rsid w:val="003F6429"/>
    <w:rsid w:val="00400297"/>
    <w:rsid w:val="00410C89"/>
    <w:rsid w:val="00422E03"/>
    <w:rsid w:val="00424AD2"/>
    <w:rsid w:val="004266AC"/>
    <w:rsid w:val="00426B9B"/>
    <w:rsid w:val="004325CB"/>
    <w:rsid w:val="004356D2"/>
    <w:rsid w:val="00442A83"/>
    <w:rsid w:val="0045495B"/>
    <w:rsid w:val="00455F93"/>
    <w:rsid w:val="00461A57"/>
    <w:rsid w:val="00464C81"/>
    <w:rsid w:val="0048397A"/>
    <w:rsid w:val="00483F1B"/>
    <w:rsid w:val="00495210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3C7"/>
    <w:rsid w:val="00546993"/>
    <w:rsid w:val="005501AB"/>
    <w:rsid w:val="00556628"/>
    <w:rsid w:val="005628B6"/>
    <w:rsid w:val="0059363D"/>
    <w:rsid w:val="005A14F3"/>
    <w:rsid w:val="005B3DB3"/>
    <w:rsid w:val="005B4E13"/>
    <w:rsid w:val="005C2DE1"/>
    <w:rsid w:val="005C68F0"/>
    <w:rsid w:val="005D2A29"/>
    <w:rsid w:val="005E2DFF"/>
    <w:rsid w:val="005E625C"/>
    <w:rsid w:val="005E6A77"/>
    <w:rsid w:val="005F7B75"/>
    <w:rsid w:val="005F7DEF"/>
    <w:rsid w:val="006001EE"/>
    <w:rsid w:val="00605042"/>
    <w:rsid w:val="00611FC4"/>
    <w:rsid w:val="006176FB"/>
    <w:rsid w:val="00630BAF"/>
    <w:rsid w:val="00640B26"/>
    <w:rsid w:val="00652CFC"/>
    <w:rsid w:val="00652D0A"/>
    <w:rsid w:val="00656145"/>
    <w:rsid w:val="00656FD6"/>
    <w:rsid w:val="006623D5"/>
    <w:rsid w:val="00662BB6"/>
    <w:rsid w:val="00667F8F"/>
    <w:rsid w:val="006741F1"/>
    <w:rsid w:val="00684C21"/>
    <w:rsid w:val="0069377E"/>
    <w:rsid w:val="006A2530"/>
    <w:rsid w:val="006B1C12"/>
    <w:rsid w:val="006C3589"/>
    <w:rsid w:val="006D37AF"/>
    <w:rsid w:val="006D51D0"/>
    <w:rsid w:val="006E564B"/>
    <w:rsid w:val="006E7191"/>
    <w:rsid w:val="006F1CD0"/>
    <w:rsid w:val="00703577"/>
    <w:rsid w:val="00705894"/>
    <w:rsid w:val="0072632A"/>
    <w:rsid w:val="007327D5"/>
    <w:rsid w:val="007351B4"/>
    <w:rsid w:val="007369C2"/>
    <w:rsid w:val="00760A73"/>
    <w:rsid w:val="007611CF"/>
    <w:rsid w:val="00761787"/>
    <w:rsid w:val="007629C8"/>
    <w:rsid w:val="00764668"/>
    <w:rsid w:val="0077047D"/>
    <w:rsid w:val="00770EAA"/>
    <w:rsid w:val="007724D8"/>
    <w:rsid w:val="00776430"/>
    <w:rsid w:val="00783A95"/>
    <w:rsid w:val="00797575"/>
    <w:rsid w:val="007A0948"/>
    <w:rsid w:val="007A5A7E"/>
    <w:rsid w:val="007B6BA5"/>
    <w:rsid w:val="007C2E47"/>
    <w:rsid w:val="007C3390"/>
    <w:rsid w:val="007C4F4B"/>
    <w:rsid w:val="007E01E9"/>
    <w:rsid w:val="007E63F3"/>
    <w:rsid w:val="007E702F"/>
    <w:rsid w:val="007F1F2D"/>
    <w:rsid w:val="007F6611"/>
    <w:rsid w:val="007F7106"/>
    <w:rsid w:val="007F729F"/>
    <w:rsid w:val="007F7A86"/>
    <w:rsid w:val="008116D7"/>
    <w:rsid w:val="00811920"/>
    <w:rsid w:val="00815AD0"/>
    <w:rsid w:val="008242D7"/>
    <w:rsid w:val="008257B1"/>
    <w:rsid w:val="00826C3D"/>
    <w:rsid w:val="00840F9A"/>
    <w:rsid w:val="008433F2"/>
    <w:rsid w:val="00843767"/>
    <w:rsid w:val="00854501"/>
    <w:rsid w:val="00863760"/>
    <w:rsid w:val="008679D9"/>
    <w:rsid w:val="00871389"/>
    <w:rsid w:val="00880848"/>
    <w:rsid w:val="00883999"/>
    <w:rsid w:val="008850EA"/>
    <w:rsid w:val="00887652"/>
    <w:rsid w:val="008878DE"/>
    <w:rsid w:val="00890269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8E6A1C"/>
    <w:rsid w:val="008F0496"/>
    <w:rsid w:val="00907224"/>
    <w:rsid w:val="009223CA"/>
    <w:rsid w:val="0092392E"/>
    <w:rsid w:val="00940F93"/>
    <w:rsid w:val="0094558F"/>
    <w:rsid w:val="00961690"/>
    <w:rsid w:val="009743C2"/>
    <w:rsid w:val="009760F3"/>
    <w:rsid w:val="0098203C"/>
    <w:rsid w:val="009A0E8D"/>
    <w:rsid w:val="009A6FEF"/>
    <w:rsid w:val="009B1518"/>
    <w:rsid w:val="009B26E7"/>
    <w:rsid w:val="009C414B"/>
    <w:rsid w:val="009C454F"/>
    <w:rsid w:val="009D2A5B"/>
    <w:rsid w:val="009D56CA"/>
    <w:rsid w:val="009E1D8E"/>
    <w:rsid w:val="00A00A3F"/>
    <w:rsid w:val="00A01489"/>
    <w:rsid w:val="00A120E8"/>
    <w:rsid w:val="00A3009E"/>
    <w:rsid w:val="00A3026E"/>
    <w:rsid w:val="00A338F1"/>
    <w:rsid w:val="00A47A60"/>
    <w:rsid w:val="00A57EB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7871"/>
    <w:rsid w:val="00AB2988"/>
    <w:rsid w:val="00AD44C2"/>
    <w:rsid w:val="00AD48FA"/>
    <w:rsid w:val="00AE4840"/>
    <w:rsid w:val="00B00487"/>
    <w:rsid w:val="00B11BB4"/>
    <w:rsid w:val="00B22BC2"/>
    <w:rsid w:val="00B30179"/>
    <w:rsid w:val="00B36690"/>
    <w:rsid w:val="00B421C1"/>
    <w:rsid w:val="00B51AC0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03B8"/>
    <w:rsid w:val="00B81206"/>
    <w:rsid w:val="00B81E12"/>
    <w:rsid w:val="00B8280B"/>
    <w:rsid w:val="00BA2681"/>
    <w:rsid w:val="00BA4044"/>
    <w:rsid w:val="00BA616B"/>
    <w:rsid w:val="00BB7CD1"/>
    <w:rsid w:val="00BB7FE9"/>
    <w:rsid w:val="00BC3FA0"/>
    <w:rsid w:val="00BC74E9"/>
    <w:rsid w:val="00BD55A0"/>
    <w:rsid w:val="00BF15A1"/>
    <w:rsid w:val="00BF68A8"/>
    <w:rsid w:val="00C01CD0"/>
    <w:rsid w:val="00C06BD0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7629A"/>
    <w:rsid w:val="00C87367"/>
    <w:rsid w:val="00CB3E03"/>
    <w:rsid w:val="00CD57D2"/>
    <w:rsid w:val="00CE4A8F"/>
    <w:rsid w:val="00CE4B11"/>
    <w:rsid w:val="00D00610"/>
    <w:rsid w:val="00D2031B"/>
    <w:rsid w:val="00D25FE2"/>
    <w:rsid w:val="00D263A7"/>
    <w:rsid w:val="00D3654F"/>
    <w:rsid w:val="00D41103"/>
    <w:rsid w:val="00D43252"/>
    <w:rsid w:val="00D473CD"/>
    <w:rsid w:val="00D47EEA"/>
    <w:rsid w:val="00D54567"/>
    <w:rsid w:val="00D550D4"/>
    <w:rsid w:val="00D61EEC"/>
    <w:rsid w:val="00D65303"/>
    <w:rsid w:val="00D729FB"/>
    <w:rsid w:val="00D773DF"/>
    <w:rsid w:val="00D80773"/>
    <w:rsid w:val="00D87235"/>
    <w:rsid w:val="00D876F8"/>
    <w:rsid w:val="00D9255F"/>
    <w:rsid w:val="00D95303"/>
    <w:rsid w:val="00D95C8A"/>
    <w:rsid w:val="00D978C6"/>
    <w:rsid w:val="00DA3C1C"/>
    <w:rsid w:val="00DB6CA5"/>
    <w:rsid w:val="00DC2362"/>
    <w:rsid w:val="00DC634C"/>
    <w:rsid w:val="00DD1676"/>
    <w:rsid w:val="00E046DF"/>
    <w:rsid w:val="00E15557"/>
    <w:rsid w:val="00E27346"/>
    <w:rsid w:val="00E665A8"/>
    <w:rsid w:val="00E71BC8"/>
    <w:rsid w:val="00E7260F"/>
    <w:rsid w:val="00E73F5D"/>
    <w:rsid w:val="00E746D9"/>
    <w:rsid w:val="00E77E4E"/>
    <w:rsid w:val="00E8090F"/>
    <w:rsid w:val="00E80DA0"/>
    <w:rsid w:val="00E819C4"/>
    <w:rsid w:val="00E96630"/>
    <w:rsid w:val="00E96736"/>
    <w:rsid w:val="00EA5018"/>
    <w:rsid w:val="00EA6ABB"/>
    <w:rsid w:val="00EC106A"/>
    <w:rsid w:val="00EC32A0"/>
    <w:rsid w:val="00ED7A2A"/>
    <w:rsid w:val="00ED7EE7"/>
    <w:rsid w:val="00EE57F2"/>
    <w:rsid w:val="00EE6B3A"/>
    <w:rsid w:val="00EF0D62"/>
    <w:rsid w:val="00EF1D7F"/>
    <w:rsid w:val="00F01F24"/>
    <w:rsid w:val="00F227A6"/>
    <w:rsid w:val="00F30EB7"/>
    <w:rsid w:val="00F31E5F"/>
    <w:rsid w:val="00F36F0D"/>
    <w:rsid w:val="00F4272A"/>
    <w:rsid w:val="00F4342B"/>
    <w:rsid w:val="00F5279F"/>
    <w:rsid w:val="00F54642"/>
    <w:rsid w:val="00F6100A"/>
    <w:rsid w:val="00F66565"/>
    <w:rsid w:val="00F93781"/>
    <w:rsid w:val="00FA3772"/>
    <w:rsid w:val="00FB613B"/>
    <w:rsid w:val="00FC398D"/>
    <w:rsid w:val="00FC3C87"/>
    <w:rsid w:val="00FC68B7"/>
    <w:rsid w:val="00FD49F1"/>
    <w:rsid w:val="00FE0135"/>
    <w:rsid w:val="00FE106A"/>
    <w:rsid w:val="00FE232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1DD891E9"/>
  <w15:docId w15:val="{48CD8DE4-8C3F-4D8F-87CE-8F345BA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DA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0DA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0D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1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ERAEXT-862870994-72</_dlc_DocId>
    <TaxCatchAll xmlns="37dc432a-8ebf-4af5-8237-268edd3a8664">
      <Value>201</Value>
      <Value>733</Value>
      <Value>458</Value>
      <Value>1122</Value>
      <Value>572</Value>
    </TaxCatchAll>
    <_dlc_DocIdUrl xmlns="37dc432a-8ebf-4af5-8237-268edd3a8664">
      <Url>https://extranet.era.europa.eu/TDG-EC/_layouts/15/DocIdRedir.aspx?ID=ERAEXT-862870994-72</Url>
      <Description>ERAEXT-862870994-72</Description>
    </_dlc_DocIdUrl>
    <Meeting_x0020_date xmlns="37dc432a-8ebf-4af5-8237-268edd3a8664">2017-09-18T22:00:00+00:00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Document</TermName>
          <TermId xmlns="http://schemas.microsoft.com/office/infopath/2007/PartnerControls">9faa2977-25ea-4ed6-974b-53a8139bec3f</TermId>
        </TermInfo>
      </Terms>
    </h70713ed90ce4adeabe454f2aabfa4e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96" ma:contentTypeDescription="" ma:contentTypeScope="" ma:versionID="a95f8e99dea2bc63330984f25a69ba4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43E4-9B35-4DE2-9CC1-95CEA0228BD7}">
  <ds:schemaRefs>
    <ds:schemaRef ds:uri="http://schemas.microsoft.com/office/2006/documentManagement/types"/>
    <ds:schemaRef ds:uri="http://purl.org/dc/terms/"/>
    <ds:schemaRef ds:uri="37dc432a-8ebf-4af5-8237-268edd3a866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A9478D-2791-47BF-A97D-8D2F18B97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FB2FA-09BF-4618-A8EA-4E8158C77B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84E295-152D-4239-82ED-C0E587FAF4F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56838DC-590B-4458-8EF4-01D30790D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6E5C3B-39E2-44B5-9D8A-353A90DB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6</cp:revision>
  <cp:lastPrinted>2017-08-14T12:51:00Z</cp:lastPrinted>
  <dcterms:created xsi:type="dcterms:W3CDTF">2017-08-14T12:54:00Z</dcterms:created>
  <dcterms:modified xsi:type="dcterms:W3CDTF">2017-08-14T13:56:00Z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9b7e45f9-a0a2-4d52-a836-1b0d44fe25e8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458;#Technical Document|9faa2977-25ea-4ed6-974b-53a8139bec3f</vt:lpwstr>
  </property>
</Properties>
</file>