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F0" w:rsidRPr="00BE68B7" w:rsidRDefault="00E15DF0" w:rsidP="00E15DF0">
      <w:pPr>
        <w:suppressAutoHyphens w:val="0"/>
        <w:spacing w:line="240" w:lineRule="auto"/>
        <w:ind w:left="5387" w:right="-286"/>
        <w:outlineLvl w:val="0"/>
        <w:rPr>
          <w:rFonts w:ascii="Arial" w:hAnsi="Arial"/>
          <w:lang w:val="en-US" w:bidi="fr-FR"/>
        </w:rPr>
      </w:pPr>
      <w:bookmarkStart w:id="0" w:name="_GoBack"/>
      <w:bookmarkEnd w:id="0"/>
      <w:r w:rsidRPr="002E0EE4">
        <w:rPr>
          <w:noProof/>
          <w:snapToGrid/>
          <w:lang w:eastAsia="en-GB"/>
        </w:rPr>
        <w:drawing>
          <wp:anchor distT="0" distB="0" distL="114300" distR="114300" simplePos="0" relativeHeight="251661312" behindDoc="0" locked="0" layoutInCell="1" allowOverlap="1" wp14:anchorId="7D24BE11" wp14:editId="059C832C">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5A7">
        <w:rPr>
          <w:rFonts w:ascii="Arial" w:eastAsia="Arial" w:hAnsi="Arial" w:cs="Arial"/>
          <w:bCs/>
          <w:snapToGrid/>
          <w:szCs w:val="24"/>
          <w:lang w:val="en-US" w:eastAsia="de-DE"/>
        </w:rPr>
        <w:t>CCNR-ZKR/ADN/WP.15/AC.2/2017</w:t>
      </w:r>
      <w:r w:rsidRPr="00BE68B7">
        <w:rPr>
          <w:rFonts w:ascii="Arial" w:eastAsia="Arial" w:hAnsi="Arial" w:cs="Arial"/>
          <w:bCs/>
          <w:snapToGrid/>
          <w:szCs w:val="24"/>
          <w:lang w:val="en-US" w:eastAsia="de-DE"/>
        </w:rPr>
        <w:t>/</w:t>
      </w:r>
      <w:r w:rsidR="00DC2B13">
        <w:rPr>
          <w:rFonts w:ascii="Arial" w:eastAsia="Arial" w:hAnsi="Arial" w:cs="Arial"/>
          <w:bCs/>
          <w:snapToGrid/>
          <w:szCs w:val="24"/>
          <w:lang w:val="en-US" w:eastAsia="de-DE"/>
        </w:rPr>
        <w:t>19</w:t>
      </w:r>
    </w:p>
    <w:p w:rsidR="00E15DF0" w:rsidRPr="002E0EE4" w:rsidRDefault="00E15DF0" w:rsidP="00E15DF0">
      <w:pPr>
        <w:tabs>
          <w:tab w:val="left" w:pos="5670"/>
        </w:tabs>
        <w:suppressAutoHyphens w:val="0"/>
        <w:spacing w:line="240" w:lineRule="auto"/>
        <w:ind w:left="5387"/>
        <w:rPr>
          <w:rFonts w:ascii="Arial" w:hAnsi="Arial" w:cs="Arial"/>
          <w:snapToGrid/>
          <w:sz w:val="16"/>
          <w:szCs w:val="24"/>
          <w:lang w:val="de-DE" w:eastAsia="de-DE"/>
        </w:rPr>
      </w:pPr>
      <w:r w:rsidRPr="002E0EE4">
        <w:rPr>
          <w:rFonts w:ascii="Arial" w:hAnsi="Arial" w:cs="Arial"/>
          <w:snapToGrid/>
          <w:sz w:val="16"/>
          <w:szCs w:val="24"/>
          <w:lang w:val="de-DE" w:eastAsia="de-DE"/>
        </w:rPr>
        <w:t>Allgemeine Verteilung</w:t>
      </w:r>
    </w:p>
    <w:p w:rsidR="00E15DF0" w:rsidRPr="002E0EE4" w:rsidRDefault="003317E7" w:rsidP="00E15DF0">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2</w:t>
      </w:r>
      <w:r w:rsidR="00DC2B13">
        <w:rPr>
          <w:rFonts w:ascii="Arial" w:eastAsia="Arial" w:hAnsi="Arial" w:cs="Arial"/>
          <w:snapToGrid/>
          <w:szCs w:val="24"/>
          <w:lang w:val="de-DE" w:eastAsia="de-DE"/>
        </w:rPr>
        <w:t>3</w:t>
      </w:r>
      <w:r w:rsidR="009725A7">
        <w:rPr>
          <w:rFonts w:ascii="Arial" w:eastAsia="Arial" w:hAnsi="Arial" w:cs="Arial"/>
          <w:snapToGrid/>
          <w:szCs w:val="24"/>
          <w:lang w:val="de-DE" w:eastAsia="de-DE"/>
        </w:rPr>
        <w:t xml:space="preserve">. </w:t>
      </w:r>
      <w:r>
        <w:rPr>
          <w:rFonts w:ascii="Arial" w:eastAsia="Arial" w:hAnsi="Arial" w:cs="Arial"/>
          <w:snapToGrid/>
          <w:szCs w:val="24"/>
          <w:lang w:val="de-DE" w:eastAsia="de-DE"/>
        </w:rPr>
        <w:t>M</w:t>
      </w:r>
      <w:r w:rsidR="00DC2B13">
        <w:rPr>
          <w:rFonts w:ascii="Arial" w:eastAsia="Arial" w:hAnsi="Arial" w:cs="Arial"/>
          <w:snapToGrid/>
          <w:szCs w:val="24"/>
          <w:lang w:val="de-DE" w:eastAsia="de-DE"/>
        </w:rPr>
        <w:t>ai</w:t>
      </w:r>
      <w:r w:rsidR="00E15DF0" w:rsidRPr="002E0EE4">
        <w:rPr>
          <w:rFonts w:ascii="Arial" w:eastAsia="Arial" w:hAnsi="Arial" w:cs="Arial"/>
          <w:snapToGrid/>
          <w:szCs w:val="24"/>
          <w:lang w:val="de-DE" w:eastAsia="de-DE"/>
        </w:rPr>
        <w:t xml:space="preserve"> 201</w:t>
      </w:r>
      <w:r>
        <w:rPr>
          <w:rFonts w:ascii="Arial" w:eastAsia="Arial" w:hAnsi="Arial" w:cs="Arial"/>
          <w:snapToGrid/>
          <w:szCs w:val="24"/>
          <w:lang w:val="de-DE" w:eastAsia="de-DE"/>
        </w:rPr>
        <w:t>7</w:t>
      </w:r>
    </w:p>
    <w:p w:rsidR="00E15DF0" w:rsidRPr="002E0EE4" w:rsidRDefault="00E15DF0" w:rsidP="00E15DF0">
      <w:pPr>
        <w:tabs>
          <w:tab w:val="right" w:pos="3856"/>
          <w:tab w:val="left" w:pos="5670"/>
        </w:tabs>
        <w:suppressAutoHyphens w:val="0"/>
        <w:spacing w:line="240" w:lineRule="auto"/>
        <w:ind w:left="5387" w:right="565"/>
        <w:rPr>
          <w:rFonts w:ascii="Arial" w:hAnsi="Arial" w:cs="Arial"/>
          <w:kern w:val="1"/>
          <w:lang w:val="de-DE" w:eastAsia="de-DE"/>
        </w:rPr>
      </w:pPr>
      <w:proofErr w:type="spellStart"/>
      <w:r w:rsidRPr="002E0EE4">
        <w:rPr>
          <w:rFonts w:ascii="Arial" w:eastAsia="Arial" w:hAnsi="Arial" w:cs="Arial"/>
          <w:snapToGrid/>
          <w:sz w:val="16"/>
          <w:szCs w:val="24"/>
          <w:lang w:val="de-DE" w:eastAsia="de-DE"/>
        </w:rPr>
        <w:t>Or</w:t>
      </w:r>
      <w:proofErr w:type="spellEnd"/>
      <w:r w:rsidRPr="002E0EE4">
        <w:rPr>
          <w:rFonts w:ascii="Arial" w:eastAsia="Arial" w:hAnsi="Arial" w:cs="Arial"/>
          <w:snapToGrid/>
          <w:sz w:val="16"/>
          <w:szCs w:val="24"/>
          <w:lang w:val="de-DE" w:eastAsia="de-DE"/>
        </w:rPr>
        <w:t>. DEUTSCH</w:t>
      </w:r>
    </w:p>
    <w:p w:rsidR="00E15DF0" w:rsidRPr="002E0EE4" w:rsidRDefault="00E15DF0" w:rsidP="00E15DF0">
      <w:pPr>
        <w:suppressAutoHyphens w:val="0"/>
        <w:spacing w:line="240" w:lineRule="auto"/>
        <w:rPr>
          <w:rFonts w:ascii="Arial" w:hAnsi="Arial" w:cs="Arial"/>
          <w:snapToGrid/>
          <w:sz w:val="16"/>
          <w:szCs w:val="24"/>
          <w:lang w:val="de-DE" w:eastAsia="de-DE"/>
        </w:rPr>
      </w:pPr>
    </w:p>
    <w:p w:rsidR="00E15DF0" w:rsidRPr="002E0EE4" w:rsidRDefault="00E15DF0" w:rsidP="00E15DF0">
      <w:pPr>
        <w:suppressAutoHyphens w:val="0"/>
        <w:spacing w:line="240" w:lineRule="auto"/>
        <w:rPr>
          <w:rFonts w:ascii="Arial" w:hAnsi="Arial" w:cs="Arial"/>
          <w:snapToGrid/>
          <w:sz w:val="16"/>
          <w:szCs w:val="24"/>
          <w:lang w:val="de-DE" w:eastAsia="de-DE"/>
        </w:rPr>
      </w:pP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GEMEINSAME EXPERTENTAGUNG FÜR DIE DEM</w:t>
      </w: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ÜBEREINKOMMEN ÜBER DIE INTERNATIONALE BEFÖRDERUNG</w:t>
      </w: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VON GEFÄHRLICHEN GÜTERN AUF BINNENWASSERSTRASSEN</w:t>
      </w:r>
    </w:p>
    <w:p w:rsidR="00E15DF0" w:rsidRPr="002E0EE4" w:rsidRDefault="00E15DF0" w:rsidP="00E15DF0">
      <w:pPr>
        <w:tabs>
          <w:tab w:val="left" w:pos="2977"/>
        </w:tabs>
        <w:suppressAutoHyphens w:val="0"/>
        <w:spacing w:line="240" w:lineRule="auto"/>
        <w:ind w:left="3958"/>
        <w:rPr>
          <w:rFonts w:ascii="Arial" w:hAnsi="Arial"/>
          <w:position w:val="2"/>
          <w:sz w:val="16"/>
          <w:szCs w:val="24"/>
          <w:lang w:val="de-DE"/>
        </w:rPr>
      </w:pPr>
      <w:r w:rsidRPr="002E0EE4">
        <w:rPr>
          <w:rFonts w:ascii="Arial" w:hAnsi="Arial"/>
          <w:noProof/>
          <w:sz w:val="16"/>
          <w:szCs w:val="24"/>
          <w:lang w:val="de-DE"/>
        </w:rPr>
        <w:t>BEIGEFÜGTE VERORDNUNG (ADN)</w:t>
      </w: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position w:val="2"/>
          <w:sz w:val="16"/>
          <w:szCs w:val="24"/>
          <w:lang w:val="de-DE"/>
        </w:rPr>
        <w:t>(SICHERHEITSAUSSCHUSS)</w:t>
      </w:r>
    </w:p>
    <w:p w:rsidR="00E15DF0" w:rsidRPr="002E0EE4" w:rsidRDefault="00E15DF0" w:rsidP="00E15DF0">
      <w:pPr>
        <w:tabs>
          <w:tab w:val="left" w:pos="2977"/>
        </w:tabs>
        <w:suppressAutoHyphens w:val="0"/>
        <w:spacing w:line="240" w:lineRule="auto"/>
        <w:ind w:left="3960"/>
        <w:rPr>
          <w:rFonts w:ascii="Arial" w:hAnsi="Arial"/>
          <w:noProof/>
          <w:sz w:val="16"/>
          <w:szCs w:val="24"/>
          <w:lang w:val="de-DE"/>
        </w:rPr>
      </w:pPr>
      <w:r w:rsidRPr="002E0EE4">
        <w:rPr>
          <w:rFonts w:ascii="Arial" w:hAnsi="Arial"/>
          <w:sz w:val="16"/>
          <w:szCs w:val="24"/>
          <w:lang w:val="de-DE"/>
        </w:rPr>
        <w:t>(</w:t>
      </w:r>
      <w:r w:rsidR="000C41C9">
        <w:rPr>
          <w:rFonts w:ascii="Arial" w:hAnsi="Arial"/>
          <w:sz w:val="16"/>
          <w:szCs w:val="24"/>
          <w:lang w:val="de-DE"/>
        </w:rPr>
        <w:t>3</w:t>
      </w:r>
      <w:r w:rsidR="00E02CC8">
        <w:rPr>
          <w:rFonts w:ascii="Arial" w:hAnsi="Arial"/>
          <w:sz w:val="16"/>
          <w:szCs w:val="24"/>
          <w:lang w:val="de-DE"/>
        </w:rPr>
        <w:t>1</w:t>
      </w:r>
      <w:r w:rsidRPr="002E0EE4">
        <w:rPr>
          <w:rFonts w:ascii="Arial" w:hAnsi="Arial"/>
          <w:sz w:val="16"/>
          <w:szCs w:val="24"/>
          <w:lang w:val="de-DE"/>
        </w:rPr>
        <w:t xml:space="preserve">. </w:t>
      </w:r>
      <w:r w:rsidRPr="002E0EE4">
        <w:rPr>
          <w:rFonts w:ascii="Arial" w:hAnsi="Arial"/>
          <w:noProof/>
          <w:sz w:val="16"/>
          <w:szCs w:val="24"/>
          <w:lang w:val="de-DE"/>
        </w:rPr>
        <w:t xml:space="preserve">Tagung, Genf, </w:t>
      </w:r>
      <w:r w:rsidR="00372808" w:rsidRPr="00372808">
        <w:rPr>
          <w:rFonts w:ascii="Arial" w:hAnsi="Arial"/>
          <w:noProof/>
          <w:sz w:val="16"/>
          <w:szCs w:val="24"/>
          <w:lang w:val="de-DE"/>
        </w:rPr>
        <w:t>2</w:t>
      </w:r>
      <w:r w:rsidR="00EE4A3B">
        <w:rPr>
          <w:rFonts w:ascii="Arial" w:hAnsi="Arial"/>
          <w:noProof/>
          <w:sz w:val="16"/>
          <w:szCs w:val="24"/>
          <w:lang w:val="de-DE"/>
        </w:rPr>
        <w:t>8</w:t>
      </w:r>
      <w:r w:rsidR="00372808" w:rsidRPr="00372808">
        <w:rPr>
          <w:rFonts w:ascii="Arial" w:hAnsi="Arial"/>
          <w:noProof/>
          <w:sz w:val="16"/>
          <w:szCs w:val="24"/>
          <w:lang w:val="de-DE"/>
        </w:rPr>
        <w:t xml:space="preserve">. bis </w:t>
      </w:r>
      <w:r w:rsidR="00EE4A3B">
        <w:rPr>
          <w:rFonts w:ascii="Arial" w:hAnsi="Arial"/>
          <w:noProof/>
          <w:sz w:val="16"/>
          <w:szCs w:val="24"/>
          <w:lang w:val="de-DE"/>
        </w:rPr>
        <w:t>31</w:t>
      </w:r>
      <w:r w:rsidR="00372808" w:rsidRPr="00372808">
        <w:rPr>
          <w:rFonts w:ascii="Arial" w:hAnsi="Arial"/>
          <w:noProof/>
          <w:sz w:val="16"/>
          <w:szCs w:val="24"/>
          <w:lang w:val="de-DE"/>
        </w:rPr>
        <w:t xml:space="preserve">. </w:t>
      </w:r>
      <w:r w:rsidR="00EE4A3B">
        <w:rPr>
          <w:rFonts w:ascii="Arial" w:hAnsi="Arial"/>
          <w:noProof/>
          <w:sz w:val="16"/>
          <w:szCs w:val="24"/>
          <w:lang w:val="de-DE"/>
        </w:rPr>
        <w:t>August</w:t>
      </w:r>
      <w:r w:rsidR="00372808" w:rsidRPr="00372808">
        <w:rPr>
          <w:rFonts w:ascii="Arial" w:hAnsi="Arial"/>
          <w:noProof/>
          <w:sz w:val="16"/>
          <w:szCs w:val="24"/>
          <w:lang w:val="de-DE"/>
        </w:rPr>
        <w:t xml:space="preserve"> 2017</w:t>
      </w:r>
      <w:r w:rsidRPr="002E0EE4">
        <w:rPr>
          <w:rFonts w:ascii="Arial" w:hAnsi="Arial"/>
          <w:noProof/>
          <w:sz w:val="16"/>
          <w:szCs w:val="24"/>
          <w:lang w:val="de-DE"/>
        </w:rPr>
        <w:t>)</w:t>
      </w:r>
    </w:p>
    <w:p w:rsidR="00E15DF0" w:rsidRDefault="00E15DF0" w:rsidP="00E15DF0">
      <w:pPr>
        <w:tabs>
          <w:tab w:val="left" w:pos="2977"/>
        </w:tabs>
        <w:suppressAutoHyphens w:val="0"/>
        <w:spacing w:line="240" w:lineRule="auto"/>
        <w:ind w:left="3960"/>
        <w:rPr>
          <w:rFonts w:ascii="Arial" w:hAnsi="Arial" w:cs="Arial"/>
          <w:snapToGrid/>
          <w:sz w:val="16"/>
          <w:szCs w:val="16"/>
          <w:lang w:val="de-DE" w:eastAsia="en-US"/>
        </w:rPr>
      </w:pPr>
      <w:r w:rsidRPr="002E0EE4">
        <w:rPr>
          <w:rFonts w:ascii="Arial" w:hAnsi="Arial" w:cs="Arial"/>
          <w:snapToGrid/>
          <w:sz w:val="16"/>
          <w:szCs w:val="16"/>
          <w:lang w:val="de-DE" w:eastAsia="en-US"/>
        </w:rPr>
        <w:t xml:space="preserve">Punkt </w:t>
      </w:r>
      <w:r w:rsidR="00DC2B13">
        <w:rPr>
          <w:rFonts w:ascii="Arial" w:hAnsi="Arial" w:cs="Arial"/>
          <w:snapToGrid/>
          <w:sz w:val="16"/>
          <w:szCs w:val="16"/>
          <w:lang w:val="de-DE" w:eastAsia="en-US"/>
        </w:rPr>
        <w:t>4b)</w:t>
      </w:r>
      <w:r w:rsidR="00372808">
        <w:rPr>
          <w:rFonts w:ascii="Arial" w:hAnsi="Arial" w:cs="Arial"/>
          <w:snapToGrid/>
          <w:sz w:val="16"/>
          <w:szCs w:val="16"/>
          <w:lang w:val="de-DE" w:eastAsia="en-US"/>
        </w:rPr>
        <w:t xml:space="preserve"> </w:t>
      </w:r>
      <w:r w:rsidRPr="002E0EE4">
        <w:rPr>
          <w:rFonts w:ascii="Arial" w:hAnsi="Arial" w:cs="Arial"/>
          <w:snapToGrid/>
          <w:sz w:val="16"/>
          <w:szCs w:val="16"/>
          <w:lang w:val="de-DE" w:eastAsia="en-US"/>
        </w:rPr>
        <w:t>zur vorläufigen Tagesordnung</w:t>
      </w:r>
    </w:p>
    <w:p w:rsidR="004805AE" w:rsidRPr="004805AE" w:rsidRDefault="004805AE" w:rsidP="004805AE">
      <w:pPr>
        <w:tabs>
          <w:tab w:val="left" w:pos="2977"/>
        </w:tabs>
        <w:suppressAutoHyphens w:val="0"/>
        <w:spacing w:line="240" w:lineRule="auto"/>
        <w:ind w:left="3969" w:right="-2"/>
        <w:rPr>
          <w:rFonts w:ascii="Arial" w:hAnsi="Arial" w:cs="Arial"/>
          <w:b/>
          <w:sz w:val="16"/>
          <w:szCs w:val="16"/>
          <w:lang w:val="de-DE"/>
        </w:rPr>
      </w:pPr>
      <w:r w:rsidRPr="004805AE">
        <w:rPr>
          <w:rFonts w:ascii="Arial" w:hAnsi="Arial" w:cs="Arial"/>
          <w:b/>
          <w:sz w:val="16"/>
          <w:szCs w:val="16"/>
          <w:lang w:val="de-DE"/>
        </w:rPr>
        <w:t>Vorschläge für Änderungen der dem ADN beigefügten Verordnung:</w:t>
      </w:r>
    </w:p>
    <w:p w:rsidR="004805AE" w:rsidRPr="004805AE" w:rsidRDefault="004805AE" w:rsidP="004805AE">
      <w:pPr>
        <w:tabs>
          <w:tab w:val="left" w:pos="2977"/>
        </w:tabs>
        <w:suppressAutoHyphens w:val="0"/>
        <w:spacing w:line="240" w:lineRule="auto"/>
        <w:ind w:left="3969" w:right="-2"/>
        <w:rPr>
          <w:rFonts w:ascii="Arial" w:hAnsi="Arial" w:cs="Arial"/>
          <w:sz w:val="16"/>
          <w:szCs w:val="16"/>
          <w:lang w:val="de-DE"/>
        </w:rPr>
      </w:pPr>
      <w:r w:rsidRPr="004805AE">
        <w:rPr>
          <w:rFonts w:ascii="Arial" w:hAnsi="Arial" w:cs="Arial"/>
          <w:b/>
          <w:sz w:val="16"/>
          <w:szCs w:val="16"/>
          <w:lang w:val="de-DE"/>
        </w:rPr>
        <w:t>Weitere Änderungsvorschläge</w:t>
      </w:r>
    </w:p>
    <w:p w:rsidR="006C380B" w:rsidRDefault="006C380B" w:rsidP="009F0D42">
      <w:pPr>
        <w:widowControl w:val="0"/>
        <w:suppressAutoHyphens w:val="0"/>
        <w:overflowPunct w:val="0"/>
        <w:autoSpaceDE w:val="0"/>
        <w:autoSpaceDN w:val="0"/>
        <w:adjustRightInd w:val="0"/>
        <w:spacing w:line="240" w:lineRule="auto"/>
        <w:ind w:left="1134"/>
        <w:jc w:val="both"/>
        <w:textAlignment w:val="baseline"/>
        <w:rPr>
          <w:b/>
          <w:bCs/>
          <w:snapToGrid/>
          <w:sz w:val="28"/>
          <w:szCs w:val="24"/>
          <w:lang w:val="de-DE"/>
        </w:rPr>
      </w:pPr>
    </w:p>
    <w:p w:rsidR="006C380B" w:rsidRPr="00D748D7" w:rsidRDefault="00D748D7" w:rsidP="003317E7">
      <w:pPr>
        <w:widowControl w:val="0"/>
        <w:suppressAutoHyphens w:val="0"/>
        <w:overflowPunct w:val="0"/>
        <w:autoSpaceDE w:val="0"/>
        <w:autoSpaceDN w:val="0"/>
        <w:adjustRightInd w:val="0"/>
        <w:spacing w:line="240" w:lineRule="auto"/>
        <w:ind w:left="1134"/>
        <w:textAlignment w:val="baseline"/>
        <w:rPr>
          <w:b/>
          <w:bCs/>
          <w:snapToGrid/>
          <w:sz w:val="28"/>
          <w:szCs w:val="24"/>
          <w:lang w:val="de-DE"/>
        </w:rPr>
      </w:pPr>
      <w:r w:rsidRPr="00D748D7">
        <w:rPr>
          <w:b/>
          <w:bCs/>
          <w:snapToGrid/>
          <w:sz w:val="28"/>
          <w:szCs w:val="24"/>
          <w:lang w:val="de-DE"/>
        </w:rPr>
        <w:t xml:space="preserve">Bestimmungen zum Gaspendeln in 1.4.3.3 s), 1.4.3.7.1 j) </w:t>
      </w:r>
      <w:r w:rsidR="00DC2B13">
        <w:rPr>
          <w:b/>
          <w:bCs/>
          <w:snapToGrid/>
          <w:sz w:val="28"/>
          <w:szCs w:val="24"/>
          <w:lang w:val="de-DE"/>
        </w:rPr>
        <w:t xml:space="preserve">und </w:t>
      </w:r>
      <w:r w:rsidRPr="00D748D7">
        <w:rPr>
          <w:b/>
          <w:bCs/>
          <w:snapToGrid/>
          <w:sz w:val="28"/>
          <w:szCs w:val="24"/>
          <w:lang w:val="de-DE"/>
        </w:rPr>
        <w:t>8.6.3</w:t>
      </w:r>
    </w:p>
    <w:p w:rsidR="009F0D42" w:rsidRDefault="009F0D42" w:rsidP="009F0D42">
      <w:pPr>
        <w:widowControl w:val="0"/>
        <w:suppressAutoHyphens w:val="0"/>
        <w:overflowPunct w:val="0"/>
        <w:autoSpaceDE w:val="0"/>
        <w:autoSpaceDN w:val="0"/>
        <w:adjustRightInd w:val="0"/>
        <w:spacing w:line="240" w:lineRule="auto"/>
        <w:ind w:left="1134"/>
        <w:jc w:val="both"/>
        <w:textAlignment w:val="baseline"/>
        <w:rPr>
          <w:rFonts w:ascii="Arial" w:hAnsi="Arial"/>
          <w:b/>
          <w:snapToGrid/>
          <w:color w:val="000000"/>
          <w:lang w:val="de-DE"/>
        </w:rPr>
      </w:pPr>
    </w:p>
    <w:p w:rsidR="00932460" w:rsidRPr="004545E9" w:rsidRDefault="00932460" w:rsidP="009F0D42">
      <w:pPr>
        <w:widowControl w:val="0"/>
        <w:suppressAutoHyphens w:val="0"/>
        <w:overflowPunct w:val="0"/>
        <w:autoSpaceDE w:val="0"/>
        <w:autoSpaceDN w:val="0"/>
        <w:adjustRightInd w:val="0"/>
        <w:spacing w:line="240" w:lineRule="auto"/>
        <w:ind w:left="1134"/>
        <w:jc w:val="both"/>
        <w:textAlignment w:val="baseline"/>
        <w:rPr>
          <w:rFonts w:ascii="Arial" w:hAnsi="Arial"/>
          <w:b/>
          <w:snapToGrid/>
          <w:color w:val="000000"/>
          <w:lang w:val="de-DE"/>
        </w:rPr>
      </w:pPr>
    </w:p>
    <w:p w:rsidR="009F0D42" w:rsidRPr="006C380B" w:rsidRDefault="009F0D42" w:rsidP="006C380B">
      <w:pPr>
        <w:tabs>
          <w:tab w:val="right" w:pos="851"/>
        </w:tabs>
        <w:snapToGrid w:val="0"/>
        <w:spacing w:line="300" w:lineRule="exact"/>
        <w:ind w:left="1134" w:right="1134" w:hanging="1134"/>
        <w:jc w:val="both"/>
        <w:rPr>
          <w:b/>
          <w:snapToGrid/>
          <w:sz w:val="16"/>
          <w:szCs w:val="16"/>
          <w:lang w:val="de-DE"/>
        </w:rPr>
      </w:pPr>
      <w:r w:rsidRPr="004545E9">
        <w:rPr>
          <w:bCs/>
          <w:snapToGrid/>
          <w:sz w:val="28"/>
          <w:szCs w:val="24"/>
          <w:lang w:val="de-DE"/>
        </w:rPr>
        <w:tab/>
      </w:r>
      <w:r w:rsidRPr="004545E9">
        <w:rPr>
          <w:b/>
          <w:bCs/>
          <w:snapToGrid/>
          <w:sz w:val="28"/>
          <w:szCs w:val="24"/>
          <w:lang w:val="de-DE"/>
        </w:rPr>
        <w:tab/>
      </w:r>
      <w:r w:rsidR="00E15DF0" w:rsidRPr="006C380B">
        <w:rPr>
          <w:b/>
          <w:snapToGrid/>
          <w:sz w:val="24"/>
          <w:lang w:val="de-DE"/>
        </w:rPr>
        <w:t xml:space="preserve">Vorgelegt von </w:t>
      </w:r>
      <w:r w:rsidR="00E02CC8">
        <w:rPr>
          <w:b/>
          <w:snapToGrid/>
          <w:sz w:val="24"/>
          <w:lang w:val="de-DE"/>
        </w:rPr>
        <w:t>Österreich</w:t>
      </w:r>
      <w:r w:rsidR="00E15DF0" w:rsidRPr="004545E9">
        <w:rPr>
          <w:b/>
          <w:snapToGrid/>
          <w:sz w:val="16"/>
          <w:szCs w:val="16"/>
          <w:vertAlign w:val="superscript"/>
          <w:lang w:val="de-DE" w:eastAsia="en-US"/>
        </w:rPr>
        <w:footnoteReference w:id="2"/>
      </w:r>
      <w:r w:rsidR="004545E9" w:rsidRPr="006C380B">
        <w:rPr>
          <w:b/>
          <w:snapToGrid/>
          <w:sz w:val="16"/>
          <w:szCs w:val="16"/>
          <w:lang w:val="de-DE"/>
        </w:rPr>
        <w:t>,</w:t>
      </w:r>
      <w:r w:rsidR="004545E9" w:rsidRPr="004545E9">
        <w:rPr>
          <w:b/>
          <w:snapToGrid/>
          <w:sz w:val="16"/>
          <w:szCs w:val="16"/>
          <w:vertAlign w:val="superscript"/>
          <w:lang w:val="de-DE" w:eastAsia="en-US"/>
        </w:rPr>
        <w:footnoteReference w:id="3"/>
      </w:r>
    </w:p>
    <w:p w:rsidR="003317E7" w:rsidRDefault="003317E7" w:rsidP="00D748D7">
      <w:pPr>
        <w:rPr>
          <w:b/>
          <w:snapToGrid/>
          <w:sz w:val="24"/>
          <w:szCs w:val="24"/>
          <w:lang w:val="de-AT" w:eastAsia="de-DE"/>
        </w:rPr>
      </w:pPr>
    </w:p>
    <w:p w:rsidR="00D748D7" w:rsidRPr="00D748D7" w:rsidRDefault="00D748D7" w:rsidP="003317E7">
      <w:pPr>
        <w:ind w:left="1134" w:right="567"/>
        <w:rPr>
          <w:b/>
          <w:snapToGrid/>
          <w:sz w:val="24"/>
          <w:szCs w:val="24"/>
          <w:lang w:val="de-AT" w:eastAsia="de-DE"/>
        </w:rPr>
      </w:pPr>
      <w:r w:rsidRPr="00D748D7">
        <w:rPr>
          <w:b/>
          <w:snapToGrid/>
          <w:sz w:val="24"/>
          <w:szCs w:val="24"/>
          <w:lang w:val="de-AT" w:eastAsia="de-DE"/>
        </w:rPr>
        <w:t>Zu 1.4.3.3</w:t>
      </w:r>
    </w:p>
    <w:p w:rsidR="00D748D7" w:rsidRPr="00D748D7" w:rsidRDefault="00D748D7" w:rsidP="003317E7">
      <w:pPr>
        <w:suppressAutoHyphens w:val="0"/>
        <w:spacing w:line="240" w:lineRule="auto"/>
        <w:ind w:left="1134" w:right="567"/>
        <w:jc w:val="both"/>
        <w:rPr>
          <w:snapToGrid/>
          <w:lang w:val="de-AT" w:eastAsia="de-DE"/>
        </w:rPr>
      </w:pPr>
    </w:p>
    <w:p w:rsidR="00D748D7" w:rsidRPr="00D748D7" w:rsidRDefault="00D748D7" w:rsidP="003317E7">
      <w:pPr>
        <w:suppressAutoHyphens w:val="0"/>
        <w:spacing w:line="240" w:lineRule="auto"/>
        <w:ind w:left="1134" w:right="567"/>
        <w:jc w:val="both"/>
        <w:rPr>
          <w:snapToGrid/>
          <w:lang w:val="de-AT" w:eastAsia="de-DE"/>
        </w:rPr>
      </w:pPr>
      <w:r w:rsidRPr="00D748D7">
        <w:rPr>
          <w:snapToGrid/>
          <w:lang w:val="de-AT" w:eastAsia="de-DE"/>
        </w:rPr>
        <w:t xml:space="preserve">In der englischen Fassung </w:t>
      </w:r>
      <w:proofErr w:type="gramStart"/>
      <w:r w:rsidRPr="00D748D7">
        <w:rPr>
          <w:snapToGrid/>
          <w:lang w:val="de-AT" w:eastAsia="de-DE"/>
        </w:rPr>
        <w:t>enthält</w:t>
      </w:r>
      <w:proofErr w:type="gramEnd"/>
      <w:r w:rsidRPr="00D748D7">
        <w:rPr>
          <w:snapToGrid/>
          <w:lang w:val="de-AT" w:eastAsia="de-DE"/>
        </w:rPr>
        <w:t xml:space="preserve"> 1.2.1 die folgenden Begriffsbestimmungen:</w:t>
      </w:r>
    </w:p>
    <w:p w:rsidR="00D748D7" w:rsidRPr="00D748D7" w:rsidRDefault="00D748D7" w:rsidP="003317E7">
      <w:pPr>
        <w:suppressAutoHyphens w:val="0"/>
        <w:spacing w:line="240" w:lineRule="auto"/>
        <w:ind w:left="1134" w:right="567"/>
        <w:jc w:val="both"/>
        <w:rPr>
          <w:i/>
          <w:snapToGrid/>
          <w:lang w:val="de-AT" w:eastAsia="de-DE"/>
        </w:rPr>
      </w:pPr>
    </w:p>
    <w:p w:rsidR="00D748D7" w:rsidRPr="00D748D7" w:rsidRDefault="00D748D7" w:rsidP="003317E7">
      <w:pPr>
        <w:suppressAutoHyphens w:val="0"/>
        <w:spacing w:line="240" w:lineRule="auto"/>
        <w:ind w:left="1134" w:right="567"/>
        <w:jc w:val="both"/>
        <w:rPr>
          <w:snapToGrid/>
          <w:lang w:val="en-US" w:eastAsia="de-DE"/>
        </w:rPr>
      </w:pPr>
      <w:r w:rsidRPr="00D748D7">
        <w:rPr>
          <w:i/>
          <w:snapToGrid/>
          <w:lang w:val="en-US" w:eastAsia="de-DE"/>
        </w:rPr>
        <w:t>“</w:t>
      </w:r>
      <w:proofErr w:type="spellStart"/>
      <w:r w:rsidRPr="00D748D7">
        <w:rPr>
          <w:i/>
          <w:snapToGrid/>
          <w:lang w:val="en-US" w:eastAsia="de-DE"/>
        </w:rPr>
        <w:t>Vapour</w:t>
      </w:r>
      <w:proofErr w:type="spellEnd"/>
      <w:r w:rsidRPr="00D748D7">
        <w:rPr>
          <w:i/>
          <w:snapToGrid/>
          <w:lang w:val="en-US" w:eastAsia="de-DE"/>
        </w:rPr>
        <w:t xml:space="preserve"> return piping (on shore)</w:t>
      </w:r>
      <w:r w:rsidRPr="00D748D7">
        <w:rPr>
          <w:snapToGrid/>
          <w:lang w:val="en-US" w:eastAsia="de-DE"/>
        </w:rPr>
        <w:t xml:space="preserve"> means a pipe of the shore facility which is connected during loading or unloading to the vessel’s venting piping. This pipe is designed so as to protect the vessel against detonations or the passage of flames from the shore side;”</w:t>
      </w:r>
    </w:p>
    <w:p w:rsidR="00D748D7" w:rsidRPr="00D748D7" w:rsidRDefault="00D748D7" w:rsidP="003317E7">
      <w:pPr>
        <w:suppressAutoHyphens w:val="0"/>
        <w:spacing w:line="240" w:lineRule="auto"/>
        <w:ind w:left="1134" w:right="567"/>
        <w:jc w:val="both"/>
        <w:rPr>
          <w:snapToGrid/>
          <w:lang w:val="en-US" w:eastAsia="de-DE"/>
        </w:rPr>
      </w:pPr>
    </w:p>
    <w:p w:rsidR="00D748D7" w:rsidRPr="00D748D7" w:rsidRDefault="00D748D7" w:rsidP="003317E7">
      <w:pPr>
        <w:suppressAutoHyphens w:val="0"/>
        <w:spacing w:line="240" w:lineRule="auto"/>
        <w:ind w:left="1134" w:right="567"/>
        <w:jc w:val="both"/>
        <w:rPr>
          <w:snapToGrid/>
          <w:lang w:val="en-US" w:eastAsia="de-DE"/>
        </w:rPr>
      </w:pPr>
      <w:r w:rsidRPr="00D748D7">
        <w:rPr>
          <w:snapToGrid/>
          <w:lang w:val="en-US" w:eastAsia="de-DE"/>
        </w:rPr>
        <w:t>“</w:t>
      </w:r>
      <w:r w:rsidRPr="00D748D7">
        <w:rPr>
          <w:i/>
          <w:snapToGrid/>
          <w:lang w:val="en-US" w:eastAsia="de-DE"/>
        </w:rPr>
        <w:t>Venting piping (on board)</w:t>
      </w:r>
      <w:r w:rsidRPr="00D748D7">
        <w:rPr>
          <w:snapToGrid/>
          <w:lang w:val="en-US" w:eastAsia="de-DE"/>
        </w:rPr>
        <w:t xml:space="preserve"> means a pipe of the vessel’s installation connecting one or more cargo tanks to the </w:t>
      </w:r>
      <w:proofErr w:type="spellStart"/>
      <w:r w:rsidRPr="00D748D7">
        <w:rPr>
          <w:snapToGrid/>
          <w:lang w:val="en-US" w:eastAsia="de-DE"/>
        </w:rPr>
        <w:t>vapour</w:t>
      </w:r>
      <w:proofErr w:type="spellEnd"/>
      <w:r w:rsidRPr="00D748D7">
        <w:rPr>
          <w:snapToGrid/>
          <w:lang w:val="en-US" w:eastAsia="de-DE"/>
        </w:rPr>
        <w:t xml:space="preserve"> return piping during loading or unloading. This pipe is fitted with safety valves protecting the cargo tank(s) against unacceptable internal overpressure or vacuums;”</w:t>
      </w:r>
    </w:p>
    <w:p w:rsidR="00D748D7" w:rsidRPr="00D748D7" w:rsidRDefault="00D748D7" w:rsidP="003317E7">
      <w:pPr>
        <w:suppressAutoHyphens w:val="0"/>
        <w:spacing w:line="240" w:lineRule="auto"/>
        <w:ind w:left="1134" w:right="567"/>
        <w:jc w:val="both"/>
        <w:rPr>
          <w:snapToGrid/>
          <w:lang w:val="en-US" w:eastAsia="de-DE"/>
        </w:rPr>
      </w:pPr>
    </w:p>
    <w:p w:rsidR="00D748D7" w:rsidRPr="00D748D7" w:rsidRDefault="00D748D7" w:rsidP="003317E7">
      <w:pPr>
        <w:suppressAutoHyphens w:val="0"/>
        <w:spacing w:line="240" w:lineRule="auto"/>
        <w:ind w:left="1134" w:right="567"/>
        <w:jc w:val="both"/>
        <w:rPr>
          <w:snapToGrid/>
          <w:lang w:val="de-AT" w:eastAsia="de-DE"/>
        </w:rPr>
      </w:pPr>
      <w:r w:rsidRPr="00D748D7">
        <w:rPr>
          <w:snapToGrid/>
          <w:lang w:val="de-AT" w:eastAsia="de-DE"/>
        </w:rPr>
        <w:t xml:space="preserve">1.4.3.3 (s) enthält in der englischen Fassung die folgende Pflicht des </w:t>
      </w:r>
      <w:proofErr w:type="spellStart"/>
      <w:r w:rsidRPr="00D748D7">
        <w:rPr>
          <w:snapToGrid/>
          <w:lang w:val="de-AT" w:eastAsia="de-DE"/>
        </w:rPr>
        <w:t>Befüllers</w:t>
      </w:r>
      <w:proofErr w:type="spellEnd"/>
      <w:r w:rsidRPr="00D748D7">
        <w:rPr>
          <w:snapToGrid/>
          <w:lang w:val="de-AT" w:eastAsia="de-DE"/>
        </w:rPr>
        <w:t>:</w:t>
      </w:r>
    </w:p>
    <w:p w:rsidR="00D748D7" w:rsidRPr="00D748D7" w:rsidRDefault="00D748D7" w:rsidP="003317E7">
      <w:pPr>
        <w:suppressAutoHyphens w:val="0"/>
        <w:spacing w:line="240" w:lineRule="auto"/>
        <w:ind w:left="1134" w:right="567"/>
        <w:jc w:val="both"/>
        <w:rPr>
          <w:snapToGrid/>
          <w:lang w:val="en-US" w:eastAsia="de-DE"/>
        </w:rPr>
      </w:pPr>
      <w:r w:rsidRPr="00D748D7">
        <w:rPr>
          <w:snapToGrid/>
          <w:lang w:val="en-US" w:eastAsia="de-DE"/>
        </w:rPr>
        <w:t>“He shall ascertain that the loading flows conform to the loading and unloading instructions referred to in 9.3.2.25.9 or 9.3.3.25.9 and that the pressure at the crossing-point of the gas discharge pipe or the compensation pipe is not greater than the opening pressure of the high velocity vent valve;”</w:t>
      </w:r>
    </w:p>
    <w:p w:rsidR="00D748D7" w:rsidRPr="00D748D7" w:rsidRDefault="00D748D7" w:rsidP="003317E7">
      <w:pPr>
        <w:suppressAutoHyphens w:val="0"/>
        <w:spacing w:line="240" w:lineRule="auto"/>
        <w:ind w:left="1134" w:right="567"/>
        <w:jc w:val="both"/>
        <w:rPr>
          <w:snapToGrid/>
          <w:lang w:val="en-US" w:eastAsia="de-DE"/>
        </w:rPr>
      </w:pPr>
    </w:p>
    <w:p w:rsidR="00D748D7" w:rsidRPr="00D748D7" w:rsidRDefault="00D748D7" w:rsidP="003317E7">
      <w:pPr>
        <w:suppressAutoHyphens w:val="0"/>
        <w:spacing w:line="240" w:lineRule="auto"/>
        <w:ind w:left="1134" w:right="567"/>
        <w:jc w:val="both"/>
        <w:rPr>
          <w:snapToGrid/>
          <w:lang w:val="de-AT" w:eastAsia="de-DE"/>
        </w:rPr>
      </w:pPr>
      <w:r w:rsidRPr="00D748D7">
        <w:rPr>
          <w:snapToGrid/>
          <w:lang w:val="de-AT" w:eastAsia="de-DE"/>
        </w:rPr>
        <w:t xml:space="preserve">Die in der englischen Fassung verwendeten Ausdrücke “gas </w:t>
      </w:r>
      <w:proofErr w:type="spellStart"/>
      <w:r w:rsidRPr="00D748D7">
        <w:rPr>
          <w:snapToGrid/>
          <w:lang w:val="de-AT" w:eastAsia="de-DE"/>
        </w:rPr>
        <w:t>discharge</w:t>
      </w:r>
      <w:proofErr w:type="spellEnd"/>
      <w:r w:rsidRPr="00D748D7">
        <w:rPr>
          <w:snapToGrid/>
          <w:lang w:val="de-AT" w:eastAsia="de-DE"/>
        </w:rPr>
        <w:t xml:space="preserve"> </w:t>
      </w:r>
      <w:proofErr w:type="spellStart"/>
      <w:r w:rsidRPr="00D748D7">
        <w:rPr>
          <w:snapToGrid/>
          <w:lang w:val="de-AT" w:eastAsia="de-DE"/>
        </w:rPr>
        <w:t>pipe</w:t>
      </w:r>
      <w:proofErr w:type="spellEnd"/>
      <w:r w:rsidRPr="00D748D7">
        <w:rPr>
          <w:snapToGrid/>
          <w:lang w:val="de-AT" w:eastAsia="de-DE"/>
        </w:rPr>
        <w:t>” und “</w:t>
      </w:r>
      <w:proofErr w:type="spellStart"/>
      <w:r w:rsidRPr="00D748D7">
        <w:rPr>
          <w:snapToGrid/>
          <w:lang w:val="de-AT" w:eastAsia="de-DE"/>
        </w:rPr>
        <w:t>compensation</w:t>
      </w:r>
      <w:proofErr w:type="spellEnd"/>
      <w:r w:rsidRPr="00D748D7">
        <w:rPr>
          <w:snapToGrid/>
          <w:lang w:val="de-AT" w:eastAsia="de-DE"/>
        </w:rPr>
        <w:t xml:space="preserve"> </w:t>
      </w:r>
      <w:proofErr w:type="spellStart"/>
      <w:r w:rsidRPr="00D748D7">
        <w:rPr>
          <w:snapToGrid/>
          <w:lang w:val="de-AT" w:eastAsia="de-DE"/>
        </w:rPr>
        <w:t>pipe</w:t>
      </w:r>
      <w:proofErr w:type="spellEnd"/>
      <w:r w:rsidRPr="00D748D7">
        <w:rPr>
          <w:snapToGrid/>
          <w:lang w:val="de-AT" w:eastAsia="de-DE"/>
        </w:rPr>
        <w:t>” sind nicht definiert. In der deutschen Fassung werden die in 1.2.1 definierten Ausdrücke verwendet.</w:t>
      </w:r>
    </w:p>
    <w:p w:rsidR="00D748D7" w:rsidRPr="00D748D7" w:rsidRDefault="00D748D7" w:rsidP="003317E7">
      <w:pPr>
        <w:suppressAutoHyphens w:val="0"/>
        <w:spacing w:line="240" w:lineRule="auto"/>
        <w:ind w:left="1134" w:right="567"/>
        <w:jc w:val="both"/>
        <w:rPr>
          <w:snapToGrid/>
          <w:lang w:val="de-AT" w:eastAsia="de-DE"/>
        </w:rPr>
      </w:pPr>
    </w:p>
    <w:p w:rsidR="00984222" w:rsidRDefault="00984222">
      <w:pPr>
        <w:suppressAutoHyphens w:val="0"/>
        <w:spacing w:line="240" w:lineRule="auto"/>
        <w:rPr>
          <w:b/>
          <w:snapToGrid/>
          <w:lang w:val="de-AT" w:eastAsia="de-DE"/>
        </w:rPr>
      </w:pPr>
      <w:r>
        <w:rPr>
          <w:b/>
          <w:snapToGrid/>
          <w:lang w:val="de-AT" w:eastAsia="de-DE"/>
        </w:rPr>
        <w:br w:type="page"/>
      </w:r>
    </w:p>
    <w:p w:rsidR="00D748D7" w:rsidRPr="00D748D7" w:rsidRDefault="00D748D7" w:rsidP="003317E7">
      <w:pPr>
        <w:suppressAutoHyphens w:val="0"/>
        <w:spacing w:line="240" w:lineRule="auto"/>
        <w:ind w:left="1134" w:right="567"/>
        <w:jc w:val="both"/>
        <w:rPr>
          <w:b/>
          <w:snapToGrid/>
          <w:lang w:val="de-AT" w:eastAsia="de-DE"/>
        </w:rPr>
      </w:pPr>
      <w:r w:rsidRPr="00D748D7">
        <w:rPr>
          <w:b/>
          <w:snapToGrid/>
          <w:lang w:val="de-AT" w:eastAsia="de-DE"/>
        </w:rPr>
        <w:lastRenderedPageBreak/>
        <w:t>Änderungsantrag 1:</w:t>
      </w:r>
    </w:p>
    <w:p w:rsidR="0060174B" w:rsidRDefault="0060174B" w:rsidP="003317E7">
      <w:pPr>
        <w:suppressAutoHyphens w:val="0"/>
        <w:spacing w:line="240" w:lineRule="auto"/>
        <w:ind w:left="1134" w:right="567"/>
        <w:jc w:val="both"/>
        <w:rPr>
          <w:snapToGrid/>
          <w:lang w:val="de-AT" w:eastAsia="de-DE"/>
        </w:rPr>
      </w:pPr>
    </w:p>
    <w:p w:rsidR="00D748D7" w:rsidRPr="00D748D7" w:rsidRDefault="00D748D7" w:rsidP="003317E7">
      <w:pPr>
        <w:suppressAutoHyphens w:val="0"/>
        <w:spacing w:line="240" w:lineRule="auto"/>
        <w:ind w:left="1134" w:right="567"/>
        <w:jc w:val="both"/>
        <w:rPr>
          <w:snapToGrid/>
          <w:lang w:val="de-AT" w:eastAsia="de-DE"/>
        </w:rPr>
      </w:pPr>
      <w:r w:rsidRPr="00D748D7">
        <w:rPr>
          <w:snapToGrid/>
          <w:lang w:val="de-AT" w:eastAsia="de-DE"/>
        </w:rPr>
        <w:t xml:space="preserve">Ersetze in der englischen Fassung von 1.4.3.3 (s) “gas </w:t>
      </w:r>
      <w:proofErr w:type="spellStart"/>
      <w:r w:rsidRPr="00D748D7">
        <w:rPr>
          <w:snapToGrid/>
          <w:lang w:val="de-AT" w:eastAsia="de-DE"/>
        </w:rPr>
        <w:t>discharge</w:t>
      </w:r>
      <w:proofErr w:type="spellEnd"/>
      <w:r w:rsidRPr="00D748D7">
        <w:rPr>
          <w:snapToGrid/>
          <w:lang w:val="de-AT" w:eastAsia="de-DE"/>
        </w:rPr>
        <w:t xml:space="preserve"> </w:t>
      </w:r>
      <w:proofErr w:type="spellStart"/>
      <w:r w:rsidRPr="00D748D7">
        <w:rPr>
          <w:snapToGrid/>
          <w:lang w:val="de-AT" w:eastAsia="de-DE"/>
        </w:rPr>
        <w:t>pipe</w:t>
      </w:r>
      <w:proofErr w:type="spellEnd"/>
      <w:r w:rsidRPr="00D748D7">
        <w:rPr>
          <w:snapToGrid/>
          <w:lang w:val="de-AT" w:eastAsia="de-DE"/>
        </w:rPr>
        <w:t xml:space="preserve"> </w:t>
      </w:r>
      <w:proofErr w:type="spellStart"/>
      <w:r w:rsidRPr="00D748D7">
        <w:rPr>
          <w:snapToGrid/>
          <w:lang w:val="de-AT" w:eastAsia="de-DE"/>
        </w:rPr>
        <w:t>or</w:t>
      </w:r>
      <w:proofErr w:type="spellEnd"/>
      <w:r w:rsidRPr="00D748D7">
        <w:rPr>
          <w:snapToGrid/>
          <w:lang w:val="de-AT" w:eastAsia="de-DE"/>
        </w:rPr>
        <w:t xml:space="preserve"> </w:t>
      </w:r>
      <w:proofErr w:type="spellStart"/>
      <w:r w:rsidRPr="00D748D7">
        <w:rPr>
          <w:snapToGrid/>
          <w:lang w:val="de-AT" w:eastAsia="de-DE"/>
        </w:rPr>
        <w:t>the</w:t>
      </w:r>
      <w:proofErr w:type="spellEnd"/>
      <w:r w:rsidRPr="00D748D7">
        <w:rPr>
          <w:snapToGrid/>
          <w:lang w:val="de-AT" w:eastAsia="de-DE"/>
        </w:rPr>
        <w:t xml:space="preserve"> </w:t>
      </w:r>
      <w:proofErr w:type="spellStart"/>
      <w:r w:rsidRPr="00D748D7">
        <w:rPr>
          <w:snapToGrid/>
          <w:lang w:val="de-AT" w:eastAsia="de-DE"/>
        </w:rPr>
        <w:t>compensation</w:t>
      </w:r>
      <w:proofErr w:type="spellEnd"/>
      <w:r w:rsidRPr="00D748D7">
        <w:rPr>
          <w:snapToGrid/>
          <w:lang w:val="de-AT" w:eastAsia="de-DE"/>
        </w:rPr>
        <w:t xml:space="preserve"> </w:t>
      </w:r>
      <w:proofErr w:type="spellStart"/>
      <w:r w:rsidRPr="00D748D7">
        <w:rPr>
          <w:snapToGrid/>
          <w:lang w:val="de-AT" w:eastAsia="de-DE"/>
        </w:rPr>
        <w:t>pipe</w:t>
      </w:r>
      <w:proofErr w:type="spellEnd"/>
      <w:r w:rsidRPr="00D748D7">
        <w:rPr>
          <w:snapToGrid/>
          <w:lang w:val="de-AT" w:eastAsia="de-DE"/>
        </w:rPr>
        <w:t>” durch “</w:t>
      </w:r>
      <w:proofErr w:type="spellStart"/>
      <w:r w:rsidRPr="00D748D7">
        <w:rPr>
          <w:snapToGrid/>
          <w:lang w:val="de-AT" w:eastAsia="de-DE"/>
        </w:rPr>
        <w:t>vapour</w:t>
      </w:r>
      <w:proofErr w:type="spellEnd"/>
      <w:r w:rsidRPr="00D748D7">
        <w:rPr>
          <w:snapToGrid/>
          <w:lang w:val="de-AT" w:eastAsia="de-DE"/>
        </w:rPr>
        <w:t xml:space="preserve"> </w:t>
      </w:r>
      <w:proofErr w:type="spellStart"/>
      <w:r w:rsidRPr="00D748D7">
        <w:rPr>
          <w:snapToGrid/>
          <w:lang w:val="de-AT" w:eastAsia="de-DE"/>
        </w:rPr>
        <w:t>return</w:t>
      </w:r>
      <w:proofErr w:type="spellEnd"/>
      <w:r w:rsidRPr="00D748D7">
        <w:rPr>
          <w:snapToGrid/>
          <w:lang w:val="de-AT" w:eastAsia="de-DE"/>
        </w:rPr>
        <w:t xml:space="preserve"> </w:t>
      </w:r>
      <w:proofErr w:type="spellStart"/>
      <w:r w:rsidRPr="00D748D7">
        <w:rPr>
          <w:snapToGrid/>
          <w:lang w:val="de-AT" w:eastAsia="de-DE"/>
        </w:rPr>
        <w:t>piping</w:t>
      </w:r>
      <w:proofErr w:type="spellEnd"/>
      <w:r w:rsidRPr="00D748D7">
        <w:rPr>
          <w:snapToGrid/>
          <w:lang w:val="de-AT" w:eastAsia="de-DE"/>
        </w:rPr>
        <w:t xml:space="preserve"> </w:t>
      </w:r>
      <w:proofErr w:type="spellStart"/>
      <w:r w:rsidRPr="00D748D7">
        <w:rPr>
          <w:snapToGrid/>
          <w:lang w:val="de-AT" w:eastAsia="de-DE"/>
        </w:rPr>
        <w:t>or</w:t>
      </w:r>
      <w:proofErr w:type="spellEnd"/>
      <w:r w:rsidRPr="00D748D7">
        <w:rPr>
          <w:snapToGrid/>
          <w:lang w:val="de-AT" w:eastAsia="de-DE"/>
        </w:rPr>
        <w:t xml:space="preserve"> </w:t>
      </w:r>
      <w:proofErr w:type="spellStart"/>
      <w:r w:rsidRPr="00D748D7">
        <w:rPr>
          <w:snapToGrid/>
          <w:lang w:val="de-AT" w:eastAsia="de-DE"/>
        </w:rPr>
        <w:t>venting</w:t>
      </w:r>
      <w:proofErr w:type="spellEnd"/>
      <w:r w:rsidRPr="00D748D7">
        <w:rPr>
          <w:snapToGrid/>
          <w:lang w:val="de-AT" w:eastAsia="de-DE"/>
        </w:rPr>
        <w:t xml:space="preserve"> </w:t>
      </w:r>
      <w:proofErr w:type="spellStart"/>
      <w:r w:rsidRPr="00D748D7">
        <w:rPr>
          <w:snapToGrid/>
          <w:lang w:val="de-AT" w:eastAsia="de-DE"/>
        </w:rPr>
        <w:t>piping</w:t>
      </w:r>
      <w:proofErr w:type="spellEnd"/>
      <w:r w:rsidRPr="00D748D7">
        <w:rPr>
          <w:snapToGrid/>
          <w:lang w:val="de-AT" w:eastAsia="de-DE"/>
        </w:rPr>
        <w:t>”.</w:t>
      </w:r>
    </w:p>
    <w:p w:rsidR="00D748D7" w:rsidRDefault="00D748D7" w:rsidP="003317E7">
      <w:pPr>
        <w:suppressAutoHyphens w:val="0"/>
        <w:spacing w:line="240" w:lineRule="auto"/>
        <w:ind w:left="1134" w:right="567"/>
        <w:jc w:val="both"/>
        <w:rPr>
          <w:snapToGrid/>
          <w:lang w:val="de-AT" w:eastAsia="de-DE"/>
        </w:rPr>
      </w:pPr>
    </w:p>
    <w:p w:rsidR="00984222" w:rsidRPr="00D748D7" w:rsidRDefault="00984222" w:rsidP="003317E7">
      <w:pPr>
        <w:suppressAutoHyphens w:val="0"/>
        <w:spacing w:line="240" w:lineRule="auto"/>
        <w:ind w:left="1134" w:right="567"/>
        <w:jc w:val="both"/>
        <w:rPr>
          <w:snapToGrid/>
          <w:lang w:val="de-AT" w:eastAsia="de-DE"/>
        </w:rPr>
      </w:pPr>
    </w:p>
    <w:p w:rsidR="00D748D7" w:rsidRPr="00D748D7" w:rsidRDefault="00D748D7" w:rsidP="003317E7">
      <w:pPr>
        <w:suppressAutoHyphens w:val="0"/>
        <w:spacing w:line="240" w:lineRule="auto"/>
        <w:ind w:left="1134" w:right="567"/>
        <w:jc w:val="both"/>
        <w:rPr>
          <w:b/>
          <w:snapToGrid/>
          <w:lang w:val="de-AT" w:eastAsia="de-DE"/>
        </w:rPr>
      </w:pPr>
      <w:r w:rsidRPr="00D748D7">
        <w:rPr>
          <w:b/>
          <w:snapToGrid/>
          <w:lang w:val="de-AT" w:eastAsia="de-DE"/>
        </w:rPr>
        <w:t>Zu 1.4.3.7.1</w:t>
      </w:r>
    </w:p>
    <w:p w:rsidR="00D748D7" w:rsidRPr="00D748D7" w:rsidRDefault="00D748D7" w:rsidP="003317E7">
      <w:pPr>
        <w:suppressAutoHyphens w:val="0"/>
        <w:spacing w:line="240" w:lineRule="auto"/>
        <w:ind w:left="1134" w:right="567"/>
        <w:jc w:val="both"/>
        <w:rPr>
          <w:snapToGrid/>
          <w:lang w:val="de-AT" w:eastAsia="de-DE"/>
        </w:rPr>
      </w:pPr>
    </w:p>
    <w:p w:rsidR="00D748D7" w:rsidRPr="00D748D7" w:rsidRDefault="00D748D7" w:rsidP="003317E7">
      <w:pPr>
        <w:suppressAutoHyphens w:val="0"/>
        <w:spacing w:line="240" w:lineRule="auto"/>
        <w:ind w:left="1134" w:right="567"/>
        <w:jc w:val="both"/>
        <w:rPr>
          <w:snapToGrid/>
          <w:lang w:val="de-AT" w:eastAsia="de-DE"/>
        </w:rPr>
      </w:pPr>
      <w:r w:rsidRPr="00D748D7">
        <w:rPr>
          <w:snapToGrid/>
          <w:lang w:val="de-AT" w:eastAsia="de-DE"/>
        </w:rPr>
        <w:t>Die englische Fassung von 1.4.3.7.1 (j) enthält die folgende Pflicht des Entladers:</w:t>
      </w:r>
    </w:p>
    <w:p w:rsidR="0060174B" w:rsidRDefault="0060174B" w:rsidP="003317E7">
      <w:pPr>
        <w:suppressAutoHyphens w:val="0"/>
        <w:spacing w:line="240" w:lineRule="auto"/>
        <w:ind w:left="1134" w:right="567"/>
        <w:jc w:val="both"/>
        <w:rPr>
          <w:snapToGrid/>
          <w:lang w:val="en-US" w:eastAsia="de-DE"/>
        </w:rPr>
      </w:pPr>
    </w:p>
    <w:p w:rsidR="00D748D7" w:rsidRPr="00D748D7" w:rsidRDefault="00D748D7" w:rsidP="003317E7">
      <w:pPr>
        <w:suppressAutoHyphens w:val="0"/>
        <w:spacing w:line="240" w:lineRule="auto"/>
        <w:ind w:left="1134" w:right="567"/>
        <w:jc w:val="both"/>
        <w:rPr>
          <w:snapToGrid/>
          <w:lang w:val="en-US" w:eastAsia="de-DE"/>
        </w:rPr>
      </w:pPr>
      <w:r w:rsidRPr="00D748D7">
        <w:rPr>
          <w:snapToGrid/>
          <w:lang w:val="en-US" w:eastAsia="de-DE"/>
        </w:rPr>
        <w:t>“</w:t>
      </w:r>
      <w:r w:rsidRPr="00D748D7">
        <w:rPr>
          <w:iCs/>
          <w:snapToGrid/>
          <w:lang w:val="en-US" w:eastAsia="de-DE"/>
        </w:rPr>
        <w:t>Ascertain that the unloading flows conform to the instructions on loading and unloading flows referred to in</w:t>
      </w:r>
      <w:r w:rsidRPr="00D748D7">
        <w:rPr>
          <w:snapToGrid/>
          <w:lang w:val="en-US" w:eastAsia="de-DE"/>
        </w:rPr>
        <w:t xml:space="preserve"> 9.3.2.25.9 or 9.3.3.25.9 and that the pressure at the connecting-point of the gas discharge pipe or the gas return pipe does not exceed the opening pressure of the high velocity vent valve;”</w:t>
      </w:r>
    </w:p>
    <w:p w:rsidR="00D748D7" w:rsidRPr="00D748D7" w:rsidRDefault="00D748D7" w:rsidP="003317E7">
      <w:pPr>
        <w:suppressAutoHyphens w:val="0"/>
        <w:spacing w:line="240" w:lineRule="auto"/>
        <w:ind w:left="1134" w:right="567"/>
        <w:jc w:val="both"/>
        <w:rPr>
          <w:snapToGrid/>
          <w:lang w:val="en-US" w:eastAsia="de-DE"/>
        </w:rPr>
      </w:pPr>
    </w:p>
    <w:p w:rsidR="00D748D7" w:rsidRPr="00D748D7" w:rsidRDefault="00D748D7" w:rsidP="003317E7">
      <w:pPr>
        <w:suppressAutoHyphens w:val="0"/>
        <w:spacing w:line="240" w:lineRule="auto"/>
        <w:ind w:left="1134" w:right="567"/>
        <w:jc w:val="both"/>
        <w:rPr>
          <w:snapToGrid/>
          <w:lang w:val="de-AT" w:eastAsia="de-DE"/>
        </w:rPr>
      </w:pPr>
      <w:r w:rsidRPr="00D748D7">
        <w:rPr>
          <w:snapToGrid/>
          <w:lang w:val="de-AT" w:eastAsia="de-DE"/>
        </w:rPr>
        <w:t xml:space="preserve">Die in der englischen Fassung verwendeten Ausdrücke “gas </w:t>
      </w:r>
      <w:proofErr w:type="spellStart"/>
      <w:r w:rsidRPr="00D748D7">
        <w:rPr>
          <w:snapToGrid/>
          <w:lang w:val="de-AT" w:eastAsia="de-DE"/>
        </w:rPr>
        <w:t>discharge</w:t>
      </w:r>
      <w:proofErr w:type="spellEnd"/>
      <w:r w:rsidRPr="00D748D7">
        <w:rPr>
          <w:snapToGrid/>
          <w:lang w:val="de-AT" w:eastAsia="de-DE"/>
        </w:rPr>
        <w:t xml:space="preserve"> </w:t>
      </w:r>
      <w:proofErr w:type="spellStart"/>
      <w:r w:rsidRPr="00D748D7">
        <w:rPr>
          <w:snapToGrid/>
          <w:lang w:val="de-AT" w:eastAsia="de-DE"/>
        </w:rPr>
        <w:t>pipe</w:t>
      </w:r>
      <w:proofErr w:type="spellEnd"/>
      <w:r w:rsidRPr="00D748D7">
        <w:rPr>
          <w:snapToGrid/>
          <w:lang w:val="de-AT" w:eastAsia="de-DE"/>
        </w:rPr>
        <w:t xml:space="preserve">” und “gas </w:t>
      </w:r>
      <w:proofErr w:type="spellStart"/>
      <w:r w:rsidRPr="00D748D7">
        <w:rPr>
          <w:snapToGrid/>
          <w:lang w:val="de-AT" w:eastAsia="de-DE"/>
        </w:rPr>
        <w:t>return</w:t>
      </w:r>
      <w:proofErr w:type="spellEnd"/>
      <w:r w:rsidRPr="00D748D7">
        <w:rPr>
          <w:snapToGrid/>
          <w:lang w:val="de-AT" w:eastAsia="de-DE"/>
        </w:rPr>
        <w:t xml:space="preserve"> </w:t>
      </w:r>
      <w:proofErr w:type="spellStart"/>
      <w:r w:rsidRPr="00D748D7">
        <w:rPr>
          <w:snapToGrid/>
          <w:lang w:val="de-AT" w:eastAsia="de-DE"/>
        </w:rPr>
        <w:t>pipe</w:t>
      </w:r>
      <w:proofErr w:type="spellEnd"/>
      <w:r w:rsidRPr="00D748D7">
        <w:rPr>
          <w:snapToGrid/>
          <w:lang w:val="de-AT" w:eastAsia="de-DE"/>
        </w:rPr>
        <w:t>” sind nicht definiert. In der deutschen Fassung werden die in 1.2.1 definierten Ausdrücke verwendet.</w:t>
      </w:r>
    </w:p>
    <w:p w:rsidR="00984222" w:rsidRDefault="00984222" w:rsidP="003317E7">
      <w:pPr>
        <w:suppressAutoHyphens w:val="0"/>
        <w:spacing w:line="240" w:lineRule="auto"/>
        <w:ind w:left="1134" w:right="567"/>
        <w:jc w:val="both"/>
        <w:rPr>
          <w:snapToGrid/>
          <w:lang w:val="de-AT" w:eastAsia="de-DE"/>
        </w:rPr>
      </w:pPr>
    </w:p>
    <w:p w:rsidR="00984222" w:rsidRPr="00D748D7" w:rsidRDefault="00984222" w:rsidP="003317E7">
      <w:pPr>
        <w:suppressAutoHyphens w:val="0"/>
        <w:spacing w:line="240" w:lineRule="auto"/>
        <w:ind w:left="1134" w:right="567"/>
        <w:jc w:val="both"/>
        <w:rPr>
          <w:snapToGrid/>
          <w:lang w:val="de-AT" w:eastAsia="de-DE"/>
        </w:rPr>
      </w:pPr>
    </w:p>
    <w:p w:rsidR="00D748D7" w:rsidRPr="00D748D7" w:rsidRDefault="00D748D7" w:rsidP="003317E7">
      <w:pPr>
        <w:suppressAutoHyphens w:val="0"/>
        <w:spacing w:line="240" w:lineRule="auto"/>
        <w:ind w:left="1134" w:right="567"/>
        <w:jc w:val="both"/>
        <w:rPr>
          <w:b/>
          <w:snapToGrid/>
          <w:lang w:val="de-DE" w:eastAsia="de-DE"/>
        </w:rPr>
      </w:pPr>
      <w:r w:rsidRPr="00D748D7">
        <w:rPr>
          <w:b/>
          <w:snapToGrid/>
          <w:lang w:val="de-DE" w:eastAsia="de-DE"/>
        </w:rPr>
        <w:t>Änderungsantrag 2:</w:t>
      </w:r>
    </w:p>
    <w:p w:rsidR="0060174B" w:rsidRDefault="0060174B" w:rsidP="003317E7">
      <w:pPr>
        <w:suppressAutoHyphens w:val="0"/>
        <w:spacing w:line="240" w:lineRule="auto"/>
        <w:ind w:left="1134" w:right="567"/>
        <w:jc w:val="both"/>
        <w:rPr>
          <w:snapToGrid/>
          <w:lang w:val="de-DE" w:eastAsia="de-DE"/>
        </w:rPr>
      </w:pPr>
    </w:p>
    <w:p w:rsidR="00D748D7" w:rsidRPr="00D748D7" w:rsidRDefault="00D748D7" w:rsidP="003317E7">
      <w:pPr>
        <w:suppressAutoHyphens w:val="0"/>
        <w:spacing w:line="240" w:lineRule="auto"/>
        <w:ind w:left="1134" w:right="567"/>
        <w:jc w:val="both"/>
        <w:rPr>
          <w:snapToGrid/>
          <w:lang w:val="de-DE" w:eastAsia="de-DE"/>
        </w:rPr>
      </w:pPr>
      <w:r w:rsidRPr="00D748D7">
        <w:rPr>
          <w:snapToGrid/>
          <w:lang w:val="de-DE" w:eastAsia="de-DE"/>
        </w:rPr>
        <w:t xml:space="preserve">Ersetze in der englischen Fassung von 1.4.3.7.1 (j) “gas </w:t>
      </w:r>
      <w:proofErr w:type="spellStart"/>
      <w:r w:rsidRPr="00D748D7">
        <w:rPr>
          <w:snapToGrid/>
          <w:lang w:val="de-DE" w:eastAsia="de-DE"/>
        </w:rPr>
        <w:t>discharge</w:t>
      </w:r>
      <w:proofErr w:type="spellEnd"/>
      <w:r w:rsidRPr="00D748D7">
        <w:rPr>
          <w:snapToGrid/>
          <w:lang w:val="de-DE" w:eastAsia="de-DE"/>
        </w:rPr>
        <w:t xml:space="preserve"> </w:t>
      </w:r>
      <w:proofErr w:type="spellStart"/>
      <w:r w:rsidRPr="00D748D7">
        <w:rPr>
          <w:snapToGrid/>
          <w:lang w:val="de-DE" w:eastAsia="de-DE"/>
        </w:rPr>
        <w:t>pipe</w:t>
      </w:r>
      <w:proofErr w:type="spellEnd"/>
      <w:r w:rsidRPr="00D748D7">
        <w:rPr>
          <w:snapToGrid/>
          <w:lang w:val="de-DE" w:eastAsia="de-DE"/>
        </w:rPr>
        <w:t xml:space="preserve"> </w:t>
      </w:r>
      <w:proofErr w:type="spellStart"/>
      <w:r w:rsidRPr="00D748D7">
        <w:rPr>
          <w:snapToGrid/>
          <w:lang w:val="de-DE" w:eastAsia="de-DE"/>
        </w:rPr>
        <w:t>or</w:t>
      </w:r>
      <w:proofErr w:type="spellEnd"/>
      <w:r w:rsidRPr="00D748D7">
        <w:rPr>
          <w:snapToGrid/>
          <w:lang w:val="de-DE" w:eastAsia="de-DE"/>
        </w:rPr>
        <w:t xml:space="preserve"> </w:t>
      </w:r>
      <w:proofErr w:type="spellStart"/>
      <w:r w:rsidRPr="00D748D7">
        <w:rPr>
          <w:snapToGrid/>
          <w:lang w:val="de-DE" w:eastAsia="de-DE"/>
        </w:rPr>
        <w:t>the</w:t>
      </w:r>
      <w:proofErr w:type="spellEnd"/>
      <w:r w:rsidRPr="00D748D7">
        <w:rPr>
          <w:snapToGrid/>
          <w:lang w:val="de-DE" w:eastAsia="de-DE"/>
        </w:rPr>
        <w:t xml:space="preserve"> gas </w:t>
      </w:r>
      <w:proofErr w:type="spellStart"/>
      <w:r w:rsidRPr="00D748D7">
        <w:rPr>
          <w:snapToGrid/>
          <w:lang w:val="de-DE" w:eastAsia="de-DE"/>
        </w:rPr>
        <w:t>return</w:t>
      </w:r>
      <w:proofErr w:type="spellEnd"/>
      <w:r w:rsidRPr="00D748D7">
        <w:rPr>
          <w:snapToGrid/>
          <w:lang w:val="de-DE" w:eastAsia="de-DE"/>
        </w:rPr>
        <w:t xml:space="preserve"> </w:t>
      </w:r>
      <w:proofErr w:type="spellStart"/>
      <w:r w:rsidRPr="00D748D7">
        <w:rPr>
          <w:snapToGrid/>
          <w:lang w:val="de-DE" w:eastAsia="de-DE"/>
        </w:rPr>
        <w:t>pipe</w:t>
      </w:r>
      <w:proofErr w:type="spellEnd"/>
      <w:r w:rsidRPr="00D748D7">
        <w:rPr>
          <w:snapToGrid/>
          <w:lang w:val="de-DE" w:eastAsia="de-DE"/>
        </w:rPr>
        <w:t>” durch “</w:t>
      </w:r>
      <w:proofErr w:type="spellStart"/>
      <w:r w:rsidRPr="00D748D7">
        <w:rPr>
          <w:snapToGrid/>
          <w:lang w:val="de-DE" w:eastAsia="de-DE"/>
        </w:rPr>
        <w:t>vapour</w:t>
      </w:r>
      <w:proofErr w:type="spellEnd"/>
      <w:r w:rsidRPr="00D748D7">
        <w:rPr>
          <w:snapToGrid/>
          <w:lang w:val="de-DE" w:eastAsia="de-DE"/>
        </w:rPr>
        <w:t xml:space="preserve"> </w:t>
      </w:r>
      <w:proofErr w:type="spellStart"/>
      <w:r w:rsidRPr="00D748D7">
        <w:rPr>
          <w:snapToGrid/>
          <w:lang w:val="de-DE" w:eastAsia="de-DE"/>
        </w:rPr>
        <w:t>return</w:t>
      </w:r>
      <w:proofErr w:type="spellEnd"/>
      <w:r w:rsidRPr="00D748D7">
        <w:rPr>
          <w:snapToGrid/>
          <w:lang w:val="de-DE" w:eastAsia="de-DE"/>
        </w:rPr>
        <w:t xml:space="preserve"> </w:t>
      </w:r>
      <w:proofErr w:type="spellStart"/>
      <w:r w:rsidRPr="00D748D7">
        <w:rPr>
          <w:snapToGrid/>
          <w:lang w:val="de-DE" w:eastAsia="de-DE"/>
        </w:rPr>
        <w:t>piping</w:t>
      </w:r>
      <w:proofErr w:type="spellEnd"/>
      <w:r w:rsidRPr="00D748D7">
        <w:rPr>
          <w:snapToGrid/>
          <w:lang w:val="de-DE" w:eastAsia="de-DE"/>
        </w:rPr>
        <w:t xml:space="preserve"> </w:t>
      </w:r>
      <w:proofErr w:type="spellStart"/>
      <w:r w:rsidRPr="00D748D7">
        <w:rPr>
          <w:snapToGrid/>
          <w:lang w:val="de-DE" w:eastAsia="de-DE"/>
        </w:rPr>
        <w:t>or</w:t>
      </w:r>
      <w:proofErr w:type="spellEnd"/>
      <w:r w:rsidRPr="00D748D7">
        <w:rPr>
          <w:snapToGrid/>
          <w:lang w:val="de-DE" w:eastAsia="de-DE"/>
        </w:rPr>
        <w:t xml:space="preserve"> </w:t>
      </w:r>
      <w:proofErr w:type="spellStart"/>
      <w:r w:rsidRPr="00D748D7">
        <w:rPr>
          <w:snapToGrid/>
          <w:lang w:val="de-DE" w:eastAsia="de-DE"/>
        </w:rPr>
        <w:t>venting</w:t>
      </w:r>
      <w:proofErr w:type="spellEnd"/>
      <w:r w:rsidRPr="00D748D7">
        <w:rPr>
          <w:snapToGrid/>
          <w:lang w:val="de-DE" w:eastAsia="de-DE"/>
        </w:rPr>
        <w:t xml:space="preserve"> </w:t>
      </w:r>
      <w:proofErr w:type="spellStart"/>
      <w:r w:rsidRPr="00D748D7">
        <w:rPr>
          <w:snapToGrid/>
          <w:lang w:val="de-DE" w:eastAsia="de-DE"/>
        </w:rPr>
        <w:t>piping</w:t>
      </w:r>
      <w:proofErr w:type="spellEnd"/>
      <w:r w:rsidRPr="00D748D7">
        <w:rPr>
          <w:snapToGrid/>
          <w:lang w:val="de-DE" w:eastAsia="de-DE"/>
        </w:rPr>
        <w:t>”.</w:t>
      </w:r>
    </w:p>
    <w:p w:rsidR="00D748D7" w:rsidRPr="00D748D7" w:rsidRDefault="00D748D7" w:rsidP="003317E7">
      <w:pPr>
        <w:suppressAutoHyphens w:val="0"/>
        <w:spacing w:line="240" w:lineRule="auto"/>
        <w:ind w:left="1134" w:right="567"/>
        <w:jc w:val="both"/>
        <w:rPr>
          <w:snapToGrid/>
          <w:lang w:val="de-DE" w:eastAsia="de-DE"/>
        </w:rPr>
      </w:pPr>
    </w:p>
    <w:p w:rsidR="00D748D7" w:rsidRPr="00D748D7" w:rsidRDefault="00D748D7" w:rsidP="003317E7">
      <w:pPr>
        <w:suppressAutoHyphens w:val="0"/>
        <w:spacing w:line="240" w:lineRule="auto"/>
        <w:ind w:left="1134" w:right="567"/>
        <w:jc w:val="both"/>
        <w:rPr>
          <w:snapToGrid/>
          <w:lang w:val="de-AT" w:eastAsia="de-DE"/>
        </w:rPr>
      </w:pPr>
      <w:r w:rsidRPr="00D748D7">
        <w:rPr>
          <w:snapToGrid/>
          <w:lang w:val="de-AT" w:eastAsia="de-DE"/>
        </w:rPr>
        <w:t>Gemäß 1.4.3.7.1 i) und j) hat der Entlader hat sicherzustellen, dass in der Gasrückfuhrleitung, wenn diese gemäß Absatz 7.2.4.25.5 erforderlich ist, eine Flammendurchschlagsicherung vorhanden ist, welche das Schiff gegen Detonation und Flammendurchschlag von Land aus schützt, und dass die Löschrate in Übereinstimmung mit der Instruktion für die Lade- und Löschraten nach Absatz 9.3.2.25.9 oder 9.3.3.25.9 ist und der Druck an der Übergabestelle der Gasrückfuhr- oder Gasabfuhrleitung den Öffnungsdruck des Hochgeschwindigkeitsventils nicht übersteigt.</w:t>
      </w:r>
    </w:p>
    <w:p w:rsidR="00D748D7" w:rsidRPr="00D748D7" w:rsidRDefault="00D748D7" w:rsidP="003317E7">
      <w:pPr>
        <w:suppressAutoHyphens w:val="0"/>
        <w:spacing w:line="240" w:lineRule="auto"/>
        <w:ind w:left="1134" w:right="567"/>
        <w:jc w:val="both"/>
        <w:rPr>
          <w:snapToGrid/>
          <w:lang w:val="de-AT" w:eastAsia="de-DE"/>
        </w:rPr>
      </w:pPr>
    </w:p>
    <w:p w:rsidR="00D748D7" w:rsidRPr="00D748D7" w:rsidRDefault="00D748D7" w:rsidP="003317E7">
      <w:pPr>
        <w:suppressAutoHyphens w:val="0"/>
        <w:spacing w:line="240" w:lineRule="auto"/>
        <w:ind w:left="1134" w:right="567"/>
        <w:jc w:val="both"/>
        <w:rPr>
          <w:snapToGrid/>
          <w:lang w:val="de-AT" w:eastAsia="de-DE"/>
        </w:rPr>
      </w:pPr>
    </w:p>
    <w:p w:rsidR="00D748D7" w:rsidRPr="00D748D7" w:rsidRDefault="00D748D7" w:rsidP="003317E7">
      <w:pPr>
        <w:suppressAutoHyphens w:val="0"/>
        <w:spacing w:line="240" w:lineRule="auto"/>
        <w:ind w:left="1134" w:right="567"/>
        <w:jc w:val="both"/>
        <w:rPr>
          <w:b/>
          <w:snapToGrid/>
          <w:lang w:val="de-AT" w:eastAsia="de-DE"/>
        </w:rPr>
      </w:pPr>
      <w:r w:rsidRPr="00D748D7">
        <w:rPr>
          <w:b/>
          <w:snapToGrid/>
          <w:lang w:val="de-AT" w:eastAsia="de-DE"/>
        </w:rPr>
        <w:t>Zu 8.6.3</w:t>
      </w:r>
    </w:p>
    <w:p w:rsidR="00D748D7" w:rsidRPr="00D748D7" w:rsidRDefault="00D748D7" w:rsidP="003317E7">
      <w:pPr>
        <w:suppressAutoHyphens w:val="0"/>
        <w:spacing w:line="240" w:lineRule="auto"/>
        <w:ind w:left="1134" w:right="567"/>
        <w:jc w:val="both"/>
        <w:rPr>
          <w:snapToGrid/>
          <w:lang w:val="de-AT" w:eastAsia="de-DE"/>
        </w:rPr>
      </w:pPr>
    </w:p>
    <w:p w:rsidR="00D748D7" w:rsidRPr="00D748D7" w:rsidRDefault="00D748D7" w:rsidP="003317E7">
      <w:pPr>
        <w:suppressAutoHyphens w:val="0"/>
        <w:spacing w:line="240" w:lineRule="auto"/>
        <w:ind w:left="1134" w:right="567"/>
        <w:jc w:val="both"/>
        <w:rPr>
          <w:snapToGrid/>
          <w:lang w:val="de-AT" w:eastAsia="de-DE"/>
        </w:rPr>
      </w:pPr>
      <w:r w:rsidRPr="00D748D7">
        <w:rPr>
          <w:snapToGrid/>
          <w:lang w:val="de-AT" w:eastAsia="de-DE"/>
        </w:rPr>
        <w:t>Die Frage 12.1 in der Prüfliste in 8.6.3 lautet:</w:t>
      </w:r>
    </w:p>
    <w:p w:rsidR="0060174B" w:rsidRDefault="0060174B" w:rsidP="003317E7">
      <w:pPr>
        <w:suppressAutoHyphens w:val="0"/>
        <w:spacing w:line="240" w:lineRule="auto"/>
        <w:ind w:left="1134" w:right="567"/>
        <w:jc w:val="both"/>
        <w:rPr>
          <w:snapToGrid/>
          <w:lang w:val="de-AT" w:eastAsia="de-DE"/>
        </w:rPr>
      </w:pPr>
    </w:p>
    <w:p w:rsidR="00D748D7" w:rsidRPr="00D748D7" w:rsidRDefault="00D748D7" w:rsidP="003317E7">
      <w:pPr>
        <w:suppressAutoHyphens w:val="0"/>
        <w:spacing w:line="240" w:lineRule="auto"/>
        <w:ind w:left="1134" w:right="567"/>
        <w:jc w:val="both"/>
        <w:rPr>
          <w:snapToGrid/>
          <w:lang w:val="de-AT" w:eastAsia="de-DE"/>
        </w:rPr>
      </w:pPr>
      <w:r w:rsidRPr="00D748D7">
        <w:rPr>
          <w:snapToGrid/>
          <w:lang w:val="de-AT" w:eastAsia="de-DE"/>
        </w:rPr>
        <w:t>„Ist die Gasabfuhrleitung bei der Beladung des Schiffes an die Gasrückfuhrleitung an Land (soweit erforderlich bzw. vorhanden) angeschlossen?“</w:t>
      </w:r>
    </w:p>
    <w:p w:rsidR="00D748D7" w:rsidRPr="00D748D7" w:rsidRDefault="00D748D7" w:rsidP="003317E7">
      <w:pPr>
        <w:suppressAutoHyphens w:val="0"/>
        <w:spacing w:line="240" w:lineRule="auto"/>
        <w:ind w:left="1134" w:right="567"/>
        <w:jc w:val="both"/>
        <w:rPr>
          <w:snapToGrid/>
          <w:lang w:val="de-AT" w:eastAsia="de-DE"/>
        </w:rPr>
      </w:pPr>
    </w:p>
    <w:p w:rsidR="00D748D7" w:rsidRPr="00D748D7" w:rsidRDefault="00D748D7" w:rsidP="003317E7">
      <w:pPr>
        <w:suppressAutoHyphens w:val="0"/>
        <w:spacing w:line="240" w:lineRule="auto"/>
        <w:ind w:left="1134" w:right="567"/>
        <w:jc w:val="both"/>
        <w:rPr>
          <w:snapToGrid/>
          <w:lang w:val="de-AT" w:eastAsia="de-DE"/>
        </w:rPr>
      </w:pPr>
      <w:r w:rsidRPr="00D748D7">
        <w:rPr>
          <w:snapToGrid/>
          <w:lang w:val="de-AT" w:eastAsia="de-DE"/>
        </w:rPr>
        <w:t xml:space="preserve">Es gibt keine Frage zum Anschluss der Leitungen beim Entladen. Dies steht im Widerspruch zu den Pflichten des Entladers. </w:t>
      </w:r>
    </w:p>
    <w:p w:rsidR="00D748D7" w:rsidRDefault="00D748D7" w:rsidP="003317E7">
      <w:pPr>
        <w:suppressAutoHyphens w:val="0"/>
        <w:spacing w:line="240" w:lineRule="auto"/>
        <w:ind w:left="1134" w:right="567"/>
        <w:jc w:val="both"/>
        <w:rPr>
          <w:snapToGrid/>
          <w:lang w:val="de-AT" w:eastAsia="de-DE"/>
        </w:rPr>
      </w:pPr>
    </w:p>
    <w:p w:rsidR="00984222" w:rsidRPr="00D748D7" w:rsidRDefault="00984222" w:rsidP="003317E7">
      <w:pPr>
        <w:suppressAutoHyphens w:val="0"/>
        <w:spacing w:line="240" w:lineRule="auto"/>
        <w:ind w:left="1134" w:right="567"/>
        <w:jc w:val="both"/>
        <w:rPr>
          <w:snapToGrid/>
          <w:lang w:val="de-AT" w:eastAsia="de-DE"/>
        </w:rPr>
      </w:pPr>
    </w:p>
    <w:p w:rsidR="00D748D7" w:rsidRPr="00D748D7" w:rsidRDefault="00D748D7" w:rsidP="003317E7">
      <w:pPr>
        <w:suppressAutoHyphens w:val="0"/>
        <w:spacing w:line="240" w:lineRule="auto"/>
        <w:ind w:left="1134" w:right="567"/>
        <w:jc w:val="both"/>
        <w:rPr>
          <w:b/>
          <w:snapToGrid/>
          <w:lang w:val="de-AT" w:eastAsia="de-DE"/>
        </w:rPr>
      </w:pPr>
      <w:r w:rsidRPr="00D748D7">
        <w:rPr>
          <w:b/>
          <w:snapToGrid/>
          <w:lang w:val="de-AT" w:eastAsia="de-DE"/>
        </w:rPr>
        <w:t>Änderungsantrag 3:</w:t>
      </w:r>
    </w:p>
    <w:p w:rsidR="0060174B" w:rsidRDefault="0060174B" w:rsidP="003317E7">
      <w:pPr>
        <w:suppressAutoHyphens w:val="0"/>
        <w:spacing w:line="240" w:lineRule="auto"/>
        <w:ind w:left="1134" w:right="567"/>
        <w:jc w:val="both"/>
        <w:rPr>
          <w:snapToGrid/>
          <w:lang w:val="de-AT" w:eastAsia="de-DE"/>
        </w:rPr>
      </w:pPr>
    </w:p>
    <w:p w:rsidR="00D748D7" w:rsidRPr="00D748D7" w:rsidRDefault="00D748D7" w:rsidP="003317E7">
      <w:pPr>
        <w:suppressAutoHyphens w:val="0"/>
        <w:spacing w:line="240" w:lineRule="auto"/>
        <w:ind w:left="1134" w:right="567"/>
        <w:jc w:val="both"/>
        <w:rPr>
          <w:snapToGrid/>
          <w:lang w:val="de-AT" w:eastAsia="de-DE"/>
        </w:rPr>
      </w:pPr>
      <w:r w:rsidRPr="00D748D7">
        <w:rPr>
          <w:snapToGrid/>
          <w:lang w:val="de-AT" w:eastAsia="de-DE"/>
        </w:rPr>
        <w:t>In der Frage 12.1 in der Prüfliste in 8.6.3 entfällt „bei der Beladung des Schiffes“.</w:t>
      </w:r>
    </w:p>
    <w:p w:rsidR="0060174B" w:rsidRDefault="0060174B" w:rsidP="003317E7">
      <w:pPr>
        <w:suppressAutoHyphens w:val="0"/>
        <w:spacing w:line="240" w:lineRule="auto"/>
        <w:ind w:left="1134" w:right="567"/>
        <w:jc w:val="both"/>
        <w:rPr>
          <w:snapToGrid/>
          <w:lang w:val="de-AT" w:eastAsia="de-DE"/>
        </w:rPr>
      </w:pPr>
    </w:p>
    <w:p w:rsidR="00D748D7" w:rsidRPr="00D748D7" w:rsidRDefault="00D748D7" w:rsidP="003317E7">
      <w:pPr>
        <w:suppressAutoHyphens w:val="0"/>
        <w:spacing w:line="240" w:lineRule="auto"/>
        <w:ind w:left="1134" w:right="567"/>
        <w:jc w:val="both"/>
        <w:rPr>
          <w:snapToGrid/>
          <w:lang w:val="de-AT" w:eastAsia="de-DE"/>
        </w:rPr>
      </w:pPr>
      <w:r w:rsidRPr="00D748D7">
        <w:rPr>
          <w:snapToGrid/>
          <w:lang w:val="de-AT" w:eastAsia="de-DE"/>
        </w:rPr>
        <w:t>Die Fußnote zu Frage 12.2 in der Prüfliste entfällt.</w:t>
      </w:r>
    </w:p>
    <w:p w:rsidR="00D748D7" w:rsidRPr="00D748D7" w:rsidRDefault="00D748D7" w:rsidP="003317E7">
      <w:pPr>
        <w:suppressAutoHyphens w:val="0"/>
        <w:spacing w:line="240" w:lineRule="auto"/>
        <w:ind w:left="1134" w:right="567"/>
        <w:jc w:val="both"/>
        <w:rPr>
          <w:snapToGrid/>
          <w:lang w:val="de-AT" w:eastAsia="de-DE"/>
        </w:rPr>
      </w:pPr>
    </w:p>
    <w:p w:rsidR="00D748D7" w:rsidRPr="00D748D7" w:rsidRDefault="00D748D7" w:rsidP="003317E7">
      <w:pPr>
        <w:suppressAutoHyphens w:val="0"/>
        <w:spacing w:line="240" w:lineRule="auto"/>
        <w:ind w:left="1134" w:right="567"/>
        <w:jc w:val="both"/>
        <w:rPr>
          <w:snapToGrid/>
          <w:lang w:val="de-AT" w:eastAsia="de-DE"/>
        </w:rPr>
      </w:pPr>
    </w:p>
    <w:p w:rsidR="00984222" w:rsidRDefault="00984222">
      <w:pPr>
        <w:suppressAutoHyphens w:val="0"/>
        <w:spacing w:line="240" w:lineRule="auto"/>
        <w:rPr>
          <w:b/>
          <w:snapToGrid/>
          <w:lang w:val="de-DE" w:eastAsia="de-DE"/>
        </w:rPr>
      </w:pPr>
      <w:r>
        <w:rPr>
          <w:b/>
          <w:snapToGrid/>
          <w:lang w:val="de-DE" w:eastAsia="de-DE"/>
        </w:rPr>
        <w:br w:type="page"/>
      </w:r>
    </w:p>
    <w:p w:rsidR="00D748D7" w:rsidRPr="00D748D7" w:rsidRDefault="00D748D7" w:rsidP="003317E7">
      <w:pPr>
        <w:suppressAutoHyphens w:val="0"/>
        <w:spacing w:line="240" w:lineRule="auto"/>
        <w:ind w:left="1134" w:right="567"/>
        <w:jc w:val="both"/>
        <w:rPr>
          <w:b/>
          <w:snapToGrid/>
          <w:lang w:val="de-DE" w:eastAsia="de-DE"/>
        </w:rPr>
      </w:pPr>
      <w:r w:rsidRPr="00D748D7">
        <w:rPr>
          <w:b/>
          <w:snapToGrid/>
          <w:lang w:val="de-DE" w:eastAsia="de-DE"/>
        </w:rPr>
        <w:lastRenderedPageBreak/>
        <w:t>Zu 1.2.1, “Entlader”</w:t>
      </w:r>
    </w:p>
    <w:p w:rsidR="00D748D7" w:rsidRPr="00D748D7" w:rsidRDefault="00D748D7" w:rsidP="003317E7">
      <w:pPr>
        <w:suppressAutoHyphens w:val="0"/>
        <w:spacing w:line="240" w:lineRule="auto"/>
        <w:ind w:left="1134" w:right="567"/>
        <w:jc w:val="both"/>
        <w:rPr>
          <w:snapToGrid/>
          <w:lang w:val="de-DE" w:eastAsia="de-DE"/>
        </w:rPr>
      </w:pPr>
    </w:p>
    <w:p w:rsidR="00D748D7" w:rsidRPr="00D748D7" w:rsidRDefault="00D748D7" w:rsidP="003317E7">
      <w:pPr>
        <w:suppressAutoHyphens w:val="0"/>
        <w:spacing w:line="240" w:lineRule="auto"/>
        <w:ind w:left="1134" w:right="567"/>
        <w:jc w:val="both"/>
        <w:rPr>
          <w:snapToGrid/>
          <w:lang w:val="de-AT" w:eastAsia="de-DE"/>
        </w:rPr>
      </w:pPr>
      <w:r w:rsidRPr="00D748D7">
        <w:rPr>
          <w:snapToGrid/>
          <w:lang w:val="de-AT" w:eastAsia="de-DE"/>
        </w:rPr>
        <w:t>Darüber hinaus könnte der Sicherheitsausschuss beraten, ob die Begriffsbestimmung für den “Entlader” in 1.2.1 ausreichend klar ist:</w:t>
      </w:r>
    </w:p>
    <w:p w:rsidR="00D748D7" w:rsidRPr="00D748D7" w:rsidRDefault="00D748D7" w:rsidP="003317E7">
      <w:pPr>
        <w:suppressAutoHyphens w:val="0"/>
        <w:spacing w:line="240" w:lineRule="auto"/>
        <w:ind w:left="1134" w:right="567"/>
        <w:jc w:val="both"/>
        <w:rPr>
          <w:snapToGrid/>
          <w:lang w:val="de-AT" w:eastAsia="de-DE"/>
        </w:rPr>
      </w:pPr>
    </w:p>
    <w:p w:rsidR="00D748D7" w:rsidRPr="00D748D7" w:rsidRDefault="00D748D7" w:rsidP="003317E7">
      <w:pPr>
        <w:suppressAutoHyphens w:val="0"/>
        <w:spacing w:line="240" w:lineRule="auto"/>
        <w:ind w:left="1134" w:right="567"/>
        <w:jc w:val="both"/>
        <w:rPr>
          <w:snapToGrid/>
          <w:lang w:val="de-AT" w:eastAsia="de-DE"/>
        </w:rPr>
      </w:pPr>
      <w:r w:rsidRPr="00D748D7">
        <w:rPr>
          <w:snapToGrid/>
          <w:lang w:val="de-AT" w:eastAsia="de-DE"/>
        </w:rPr>
        <w:t>„Entlader: Das Unternehmen, das</w:t>
      </w:r>
    </w:p>
    <w:p w:rsidR="00D748D7" w:rsidRPr="00D748D7" w:rsidRDefault="00D748D7" w:rsidP="0060174B">
      <w:pPr>
        <w:suppressAutoHyphens w:val="0"/>
        <w:spacing w:before="60" w:line="240" w:lineRule="auto"/>
        <w:ind w:left="1560" w:right="567" w:hanging="426"/>
        <w:jc w:val="both"/>
        <w:rPr>
          <w:snapToGrid/>
          <w:lang w:val="de-AT" w:eastAsia="de-DE"/>
        </w:rPr>
      </w:pPr>
      <w:r w:rsidRPr="00D748D7">
        <w:rPr>
          <w:snapToGrid/>
          <w:lang w:val="de-AT" w:eastAsia="de-DE"/>
        </w:rPr>
        <w:t>a)</w:t>
      </w:r>
      <w:r w:rsidRPr="00D748D7">
        <w:rPr>
          <w:snapToGrid/>
          <w:lang w:val="de-AT" w:eastAsia="de-DE"/>
        </w:rPr>
        <w:tab/>
        <w:t>einen Container, Schüttgut-Container, MEGC, Tankcontainer oder ortsbeweglichen Tank von einem Beförderungsmittel absetzt oder</w:t>
      </w:r>
    </w:p>
    <w:p w:rsidR="00D748D7" w:rsidRPr="00D748D7" w:rsidRDefault="00D748D7" w:rsidP="0060174B">
      <w:pPr>
        <w:suppressAutoHyphens w:val="0"/>
        <w:spacing w:before="60" w:line="240" w:lineRule="auto"/>
        <w:ind w:left="1560" w:right="567" w:hanging="426"/>
        <w:jc w:val="both"/>
        <w:rPr>
          <w:snapToGrid/>
          <w:lang w:val="de-AT" w:eastAsia="de-DE"/>
        </w:rPr>
      </w:pPr>
      <w:r w:rsidRPr="00D748D7">
        <w:rPr>
          <w:snapToGrid/>
          <w:lang w:val="de-AT" w:eastAsia="de-DE"/>
        </w:rPr>
        <w:t>b)</w:t>
      </w:r>
      <w:r w:rsidRPr="00D748D7">
        <w:rPr>
          <w:snapToGrid/>
          <w:lang w:val="de-AT" w:eastAsia="de-DE"/>
        </w:rPr>
        <w:tab/>
        <w:t>verpackte gefährliche Güter, Kleincontainer oder ortsbewegliche Tanks aus oder von einem Beförderungsmittel oder Container entlädt oder</w:t>
      </w:r>
    </w:p>
    <w:p w:rsidR="00D748D7" w:rsidRPr="00D748D7" w:rsidRDefault="00D748D7" w:rsidP="0060174B">
      <w:pPr>
        <w:suppressAutoHyphens w:val="0"/>
        <w:spacing w:before="60" w:line="240" w:lineRule="auto"/>
        <w:ind w:left="1560" w:right="567" w:hanging="426"/>
        <w:jc w:val="both"/>
        <w:rPr>
          <w:snapToGrid/>
          <w:lang w:val="de-AT" w:eastAsia="de-DE"/>
        </w:rPr>
      </w:pPr>
      <w:r w:rsidRPr="00D748D7">
        <w:rPr>
          <w:snapToGrid/>
          <w:lang w:val="de-AT" w:eastAsia="de-DE"/>
        </w:rPr>
        <w:t>c)</w:t>
      </w:r>
      <w:r w:rsidRPr="00D748D7">
        <w:rPr>
          <w:snapToGrid/>
          <w:lang w:val="de-AT" w:eastAsia="de-DE"/>
        </w:rPr>
        <w:tab/>
        <w:t xml:space="preserve">gefährliche Güter aus einem </w:t>
      </w:r>
      <w:proofErr w:type="spellStart"/>
      <w:r w:rsidRPr="00D748D7">
        <w:rPr>
          <w:snapToGrid/>
          <w:lang w:val="de-AT" w:eastAsia="de-DE"/>
        </w:rPr>
        <w:t>Ladetank</w:t>
      </w:r>
      <w:proofErr w:type="spellEnd"/>
      <w:r w:rsidRPr="00D748D7">
        <w:rPr>
          <w:snapToGrid/>
          <w:lang w:val="de-AT" w:eastAsia="de-DE"/>
        </w:rPr>
        <w:t>, Tankfahrzeug, abnehmbaren Tank, Aufsetztank, ortsbeweglichen Tank oder Tankcontainer oder aus einem Batteriewagen, Batterie-Fahrzeug, MEMU oder MEGC oder aus einem Beförderungsmittel, Großcontainer oder Kleincontainer für Güter in loser Schüttung oder aus einem Schüttgut-Container entlädt;</w:t>
      </w:r>
    </w:p>
    <w:p w:rsidR="003317E7" w:rsidRDefault="00D748D7" w:rsidP="0060174B">
      <w:pPr>
        <w:suppressAutoHyphens w:val="0"/>
        <w:spacing w:before="60" w:line="240" w:lineRule="auto"/>
        <w:ind w:left="1560" w:right="567" w:hanging="426"/>
        <w:jc w:val="both"/>
        <w:rPr>
          <w:snapToGrid/>
          <w:lang w:val="de-AT" w:eastAsia="de-DE"/>
        </w:rPr>
      </w:pPr>
      <w:r w:rsidRPr="00D748D7">
        <w:rPr>
          <w:snapToGrid/>
          <w:lang w:val="de-AT" w:eastAsia="de-DE"/>
        </w:rPr>
        <w:t>d)</w:t>
      </w:r>
      <w:r w:rsidRPr="00D748D7">
        <w:rPr>
          <w:snapToGrid/>
          <w:lang w:val="de-AT" w:eastAsia="de-DE"/>
        </w:rPr>
        <w:tab/>
        <w:t>ein Fahrzeug oder einen Wagen von einem Schiff absetzt.“</w:t>
      </w:r>
    </w:p>
    <w:p w:rsidR="00D748D7" w:rsidRPr="00D748D7" w:rsidRDefault="00D748D7" w:rsidP="003317E7">
      <w:pPr>
        <w:suppressAutoHyphens w:val="0"/>
        <w:spacing w:line="240" w:lineRule="auto"/>
        <w:ind w:left="1134" w:right="567" w:hanging="426"/>
        <w:jc w:val="both"/>
        <w:rPr>
          <w:snapToGrid/>
          <w:lang w:val="de-AT" w:eastAsia="de-DE"/>
        </w:rPr>
      </w:pPr>
    </w:p>
    <w:p w:rsidR="00D748D7" w:rsidRPr="00D748D7" w:rsidRDefault="00D748D7" w:rsidP="003317E7">
      <w:pPr>
        <w:suppressAutoHyphens w:val="0"/>
        <w:spacing w:line="240" w:lineRule="auto"/>
        <w:ind w:left="1134" w:right="567"/>
        <w:jc w:val="both"/>
        <w:rPr>
          <w:snapToGrid/>
          <w:lang w:val="de-AT" w:eastAsia="de-DE"/>
        </w:rPr>
      </w:pPr>
      <w:r w:rsidRPr="00D748D7">
        <w:rPr>
          <w:snapToGrid/>
          <w:lang w:val="de-AT" w:eastAsia="de-DE"/>
        </w:rPr>
        <w:t xml:space="preserve">Wer ist der Entlader, wenn die Ladung aus dem </w:t>
      </w:r>
      <w:proofErr w:type="spellStart"/>
      <w:r w:rsidRPr="00D748D7">
        <w:rPr>
          <w:snapToGrid/>
          <w:lang w:val="de-AT" w:eastAsia="de-DE"/>
        </w:rPr>
        <w:t>Ladetank</w:t>
      </w:r>
      <w:proofErr w:type="spellEnd"/>
      <w:r w:rsidRPr="00D748D7">
        <w:rPr>
          <w:snapToGrid/>
          <w:lang w:val="de-AT" w:eastAsia="de-DE"/>
        </w:rPr>
        <w:t xml:space="preserve"> des Schiffes mit den bordeigenen Pumpen entladen wird? Ist es der Beförderer, der die gefährlichen Güter aktiv entlädt oder ist es die Landseite, die </w:t>
      </w:r>
      <w:r>
        <w:rPr>
          <w:snapToGrid/>
          <w:lang w:val="de-AT" w:eastAsia="de-DE"/>
        </w:rPr>
        <w:t>die Güter nur passiv empfängt?</w:t>
      </w:r>
    </w:p>
    <w:p w:rsidR="00D748D7" w:rsidRDefault="00D748D7" w:rsidP="003317E7">
      <w:pPr>
        <w:suppressAutoHyphens w:val="0"/>
        <w:spacing w:line="240" w:lineRule="auto"/>
        <w:ind w:left="1134" w:right="567"/>
        <w:rPr>
          <w:snapToGrid/>
          <w:lang w:val="de-AT" w:eastAsia="de-DE"/>
        </w:rPr>
      </w:pPr>
    </w:p>
    <w:p w:rsidR="00D748D7" w:rsidRPr="00D748D7" w:rsidRDefault="00D748D7" w:rsidP="003317E7">
      <w:pPr>
        <w:suppressAutoHyphens w:val="0"/>
        <w:spacing w:line="240" w:lineRule="auto"/>
        <w:ind w:left="1134" w:right="567"/>
        <w:jc w:val="both"/>
        <w:rPr>
          <w:snapToGrid/>
          <w:lang w:val="de-AT" w:eastAsia="de-DE"/>
        </w:rPr>
      </w:pPr>
      <w:r w:rsidRPr="00D748D7">
        <w:rPr>
          <w:snapToGrid/>
          <w:lang w:val="de-AT" w:eastAsia="de-DE"/>
        </w:rPr>
        <w:t xml:space="preserve">Wird die Landseite als Entlader gesehen, fallen gemäß der Begriffsbestimmung für „Entladen“ (Alle Tätigkeiten, die vom Entlader gemäß der Begriffsbestimmung von Entlader vorgenommen werden.)  alle Tätigkeiten, die während des Entladens vom Beförderer durchgeführt werden, nicht unter den Begriff Entladen. </w:t>
      </w:r>
    </w:p>
    <w:p w:rsidR="0060174B" w:rsidRDefault="0060174B" w:rsidP="003317E7">
      <w:pPr>
        <w:suppressAutoHyphens w:val="0"/>
        <w:spacing w:line="240" w:lineRule="auto"/>
        <w:ind w:left="1134" w:right="567"/>
        <w:jc w:val="both"/>
        <w:rPr>
          <w:snapToGrid/>
          <w:lang w:val="de-AT" w:eastAsia="de-DE"/>
        </w:rPr>
      </w:pPr>
    </w:p>
    <w:p w:rsidR="00D748D7" w:rsidRPr="00D748D7" w:rsidRDefault="00D748D7" w:rsidP="003317E7">
      <w:pPr>
        <w:suppressAutoHyphens w:val="0"/>
        <w:spacing w:line="240" w:lineRule="auto"/>
        <w:ind w:left="1134" w:right="567"/>
        <w:jc w:val="both"/>
        <w:rPr>
          <w:snapToGrid/>
          <w:lang w:val="de-AT" w:eastAsia="de-DE"/>
        </w:rPr>
      </w:pPr>
      <w:r w:rsidRPr="00D748D7">
        <w:rPr>
          <w:snapToGrid/>
          <w:lang w:val="de-AT" w:eastAsia="de-DE"/>
        </w:rPr>
        <w:t>Daraus würde z.B. folgen, dass der „Verantwortliche für das Entladen eines Schubleichters“ in 1.6.8 nur ein Bediensteter des Entladers sein kann.</w:t>
      </w:r>
    </w:p>
    <w:p w:rsidR="00D748D7" w:rsidRPr="00D748D7" w:rsidRDefault="00D748D7" w:rsidP="003317E7">
      <w:pPr>
        <w:suppressAutoHyphens w:val="0"/>
        <w:spacing w:line="240" w:lineRule="auto"/>
        <w:ind w:left="1134" w:right="567"/>
        <w:jc w:val="both"/>
        <w:rPr>
          <w:snapToGrid/>
          <w:lang w:val="de-AT" w:eastAsia="de-DE"/>
        </w:rPr>
      </w:pPr>
    </w:p>
    <w:p w:rsidR="00D748D7" w:rsidRDefault="00D748D7" w:rsidP="003317E7">
      <w:pPr>
        <w:suppressAutoHyphens w:val="0"/>
        <w:spacing w:line="240" w:lineRule="auto"/>
        <w:ind w:left="1134" w:right="567"/>
        <w:jc w:val="both"/>
        <w:rPr>
          <w:snapToGrid/>
          <w:lang w:val="de-AT" w:eastAsia="de-DE"/>
        </w:rPr>
      </w:pPr>
      <w:r w:rsidRPr="00D748D7">
        <w:rPr>
          <w:snapToGrid/>
          <w:lang w:val="de-AT" w:eastAsia="de-DE"/>
        </w:rPr>
        <w:t>Der Sicherheitsausschuss könnte beraten, ob Änderungen des Textes erforderlich sind, oder z.B. eine Interpretation des Sicherheitsausschusses ausreichend ist.</w:t>
      </w:r>
    </w:p>
    <w:p w:rsidR="00D748D7" w:rsidRPr="00D748D7" w:rsidRDefault="00D748D7" w:rsidP="003317E7">
      <w:pPr>
        <w:suppressAutoHyphens w:val="0"/>
        <w:spacing w:line="240" w:lineRule="auto"/>
        <w:ind w:left="1134" w:right="567"/>
        <w:jc w:val="both"/>
        <w:rPr>
          <w:bCs/>
          <w:snapToGrid/>
          <w:lang w:val="de-AT" w:eastAsia="de-DE"/>
        </w:rPr>
      </w:pPr>
    </w:p>
    <w:p w:rsidR="00BD7264" w:rsidRPr="00D748D7" w:rsidRDefault="0004012A" w:rsidP="003317E7">
      <w:pPr>
        <w:tabs>
          <w:tab w:val="left" w:pos="1985"/>
        </w:tabs>
        <w:suppressAutoHyphens w:val="0"/>
        <w:autoSpaceDE w:val="0"/>
        <w:autoSpaceDN w:val="0"/>
        <w:adjustRightInd w:val="0"/>
        <w:ind w:left="1134" w:right="567"/>
        <w:jc w:val="center"/>
        <w:rPr>
          <w:lang w:val="fr-FR"/>
        </w:rPr>
      </w:pPr>
      <w:r w:rsidRPr="00D748D7">
        <w:rPr>
          <w:lang w:val="fr-FR"/>
        </w:rPr>
        <w:t>***</w:t>
      </w:r>
    </w:p>
    <w:sectPr w:rsidR="00BD7264" w:rsidRPr="00D748D7" w:rsidSect="005F30BB">
      <w:headerReference w:type="even" r:id="rId10"/>
      <w:headerReference w:type="default" r:id="rId11"/>
      <w:footerReference w:type="even" r:id="rId12"/>
      <w:footerReference w:type="default" r:id="rId13"/>
      <w:pgSz w:w="11907" w:h="16839"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A12" w:rsidRDefault="00361A12">
      <w:pPr>
        <w:rPr>
          <w:szCs w:val="24"/>
        </w:rPr>
      </w:pPr>
    </w:p>
  </w:endnote>
  <w:endnote w:type="continuationSeparator" w:id="0">
    <w:p w:rsidR="00361A12" w:rsidRDefault="00361A12">
      <w:pPr>
        <w:rPr>
          <w:szCs w:val="24"/>
        </w:rPr>
      </w:pPr>
    </w:p>
  </w:endnote>
  <w:endnote w:type="continuationNotice" w:id="1">
    <w:p w:rsidR="00361A12" w:rsidRDefault="00361A12">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E345CE" w:rsidRDefault="00361A12" w:rsidP="0004012A">
    <w:pPr>
      <w:pStyle w:val="Footer"/>
      <w:jc w:val="right"/>
      <w:rPr>
        <w:rFonts w:ascii="Arial" w:hAnsi="Arial"/>
        <w:noProof/>
        <w:snapToGrid/>
        <w:sz w:val="12"/>
        <w:szCs w:val="24"/>
        <w:lang w:val="en-US"/>
      </w:rPr>
    </w:pPr>
    <w:r>
      <w:rPr>
        <w:rFonts w:ascii="Arial" w:hAnsi="Arial"/>
        <w:noProof/>
        <w:snapToGrid/>
        <w:sz w:val="12"/>
        <w:szCs w:val="24"/>
        <w:lang w:val="en-US"/>
      </w:rPr>
      <w:t>mm/adn_wp15_ac2_201</w:t>
    </w:r>
    <w:r w:rsidR="000B32A6">
      <w:rPr>
        <w:rFonts w:ascii="Arial" w:hAnsi="Arial"/>
        <w:noProof/>
        <w:snapToGrid/>
        <w:sz w:val="12"/>
        <w:szCs w:val="24"/>
        <w:lang w:val="en-US"/>
      </w:rPr>
      <w:t>7</w:t>
    </w:r>
    <w:r>
      <w:rPr>
        <w:rFonts w:ascii="Arial" w:hAnsi="Arial"/>
        <w:noProof/>
        <w:snapToGrid/>
        <w:sz w:val="12"/>
        <w:szCs w:val="24"/>
        <w:lang w:val="en-US"/>
      </w:rPr>
      <w:t>_</w:t>
    </w:r>
    <w:r w:rsidR="00DC2B13">
      <w:rPr>
        <w:rFonts w:ascii="Arial" w:hAnsi="Arial"/>
        <w:noProof/>
        <w:snapToGrid/>
        <w:sz w:val="12"/>
        <w:szCs w:val="24"/>
        <w:lang w:val="en-US"/>
      </w:rPr>
      <w:t>19</w:t>
    </w:r>
    <w:r>
      <w:rPr>
        <w:rFonts w:ascii="Arial" w:hAnsi="Arial"/>
        <w:noProof/>
        <w:snapToGrid/>
        <w:sz w:val="12"/>
        <w:szCs w:val="24"/>
        <w:lang w:val="en-US"/>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951A0F" w:rsidRDefault="006C380B" w:rsidP="00951A0F">
    <w:pPr>
      <w:pStyle w:val="Footer"/>
      <w:jc w:val="right"/>
      <w:rPr>
        <w:lang w:val="fr-FR"/>
      </w:rPr>
    </w:pPr>
    <w:r>
      <w:rPr>
        <w:rFonts w:ascii="Arial" w:hAnsi="Arial"/>
        <w:noProof/>
        <w:snapToGrid/>
        <w:sz w:val="12"/>
        <w:szCs w:val="24"/>
        <w:lang w:val="en-US"/>
      </w:rPr>
      <w:t>mm/adn_wp15_ac2_2017_</w:t>
    </w:r>
    <w:r w:rsidR="00DC2B13">
      <w:rPr>
        <w:rFonts w:ascii="Arial" w:hAnsi="Arial"/>
        <w:noProof/>
        <w:snapToGrid/>
        <w:sz w:val="12"/>
        <w:szCs w:val="24"/>
        <w:lang w:val="en-US"/>
      </w:rPr>
      <w:t>19</w:t>
    </w:r>
    <w:r>
      <w:rPr>
        <w:rFonts w:ascii="Arial" w:hAnsi="Arial"/>
        <w:noProof/>
        <w:snapToGrid/>
        <w:sz w:val="12"/>
        <w:szCs w:val="24"/>
        <w:lang w:val="en-US"/>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A12" w:rsidRDefault="00361A12">
      <w:pPr>
        <w:tabs>
          <w:tab w:val="right" w:pos="2155"/>
        </w:tabs>
        <w:spacing w:after="80"/>
        <w:ind w:left="680"/>
        <w:rPr>
          <w:szCs w:val="24"/>
          <w:u w:val="single"/>
        </w:rPr>
      </w:pPr>
      <w:r>
        <w:rPr>
          <w:szCs w:val="24"/>
          <w:u w:val="single"/>
        </w:rPr>
        <w:tab/>
      </w:r>
    </w:p>
  </w:footnote>
  <w:footnote w:type="continuationSeparator" w:id="0">
    <w:p w:rsidR="00361A12" w:rsidRDefault="00361A12">
      <w:pPr>
        <w:tabs>
          <w:tab w:val="left" w:pos="2155"/>
        </w:tabs>
        <w:spacing w:after="80"/>
        <w:ind w:left="680"/>
        <w:rPr>
          <w:szCs w:val="24"/>
          <w:u w:val="single"/>
        </w:rPr>
      </w:pPr>
      <w:r>
        <w:rPr>
          <w:szCs w:val="24"/>
          <w:u w:val="single"/>
        </w:rPr>
        <w:tab/>
      </w:r>
    </w:p>
  </w:footnote>
  <w:footnote w:type="continuationNotice" w:id="1">
    <w:p w:rsidR="00361A12" w:rsidRDefault="00361A12">
      <w:pPr>
        <w:rPr>
          <w:szCs w:val="24"/>
        </w:rPr>
      </w:pPr>
    </w:p>
  </w:footnote>
  <w:footnote w:id="2">
    <w:p w:rsidR="00361A12" w:rsidRPr="005F667A" w:rsidRDefault="00361A12" w:rsidP="00E15DF0">
      <w:pPr>
        <w:pStyle w:val="FootnoteText"/>
        <w:ind w:left="284" w:hanging="284"/>
        <w:rPr>
          <w:sz w:val="16"/>
          <w:szCs w:val="16"/>
          <w:lang w:val="de-DE"/>
        </w:rPr>
      </w:pPr>
      <w:r w:rsidRPr="0061638E">
        <w:rPr>
          <w:rStyle w:val="FootnoteReference"/>
          <w:sz w:val="16"/>
          <w:szCs w:val="16"/>
        </w:rPr>
        <w:footnoteRef/>
      </w:r>
      <w:r w:rsidRPr="005F667A">
        <w:rPr>
          <w:sz w:val="16"/>
          <w:szCs w:val="16"/>
          <w:lang w:val="de-DE"/>
        </w:rPr>
        <w:t xml:space="preserve"> </w:t>
      </w:r>
      <w:r w:rsidRPr="005F667A">
        <w:rPr>
          <w:sz w:val="16"/>
          <w:szCs w:val="16"/>
          <w:lang w:val="de-DE"/>
        </w:rPr>
        <w:tab/>
        <w:t>Von der UN-ECE in Englisch, Französisch und Russisch unter dem Aktenzeichen ECE/TRANS/WP.15/AC.2/</w:t>
      </w:r>
      <w:r>
        <w:rPr>
          <w:sz w:val="16"/>
          <w:szCs w:val="16"/>
          <w:lang w:val="de-DE"/>
        </w:rPr>
        <w:t>201</w:t>
      </w:r>
      <w:r w:rsidR="000C41C9">
        <w:rPr>
          <w:sz w:val="16"/>
          <w:szCs w:val="16"/>
          <w:lang w:val="de-DE"/>
        </w:rPr>
        <w:t>7</w:t>
      </w:r>
      <w:r w:rsidRPr="005F667A">
        <w:rPr>
          <w:sz w:val="16"/>
          <w:szCs w:val="16"/>
          <w:lang w:val="de-DE"/>
        </w:rPr>
        <w:t>/</w:t>
      </w:r>
      <w:r w:rsidR="00DC2B13">
        <w:rPr>
          <w:sz w:val="16"/>
          <w:szCs w:val="16"/>
          <w:lang w:val="de-DE"/>
        </w:rPr>
        <w:t>19</w:t>
      </w:r>
      <w:r>
        <w:rPr>
          <w:sz w:val="16"/>
          <w:szCs w:val="16"/>
          <w:lang w:val="de-DE"/>
        </w:rPr>
        <w:t xml:space="preserve"> </w:t>
      </w:r>
      <w:r w:rsidRPr="005F667A">
        <w:rPr>
          <w:sz w:val="16"/>
          <w:szCs w:val="16"/>
          <w:lang w:val="de-DE"/>
        </w:rPr>
        <w:t>verteilt.</w:t>
      </w:r>
    </w:p>
  </w:footnote>
  <w:footnote w:id="3">
    <w:p w:rsidR="00361A12" w:rsidRPr="00447333" w:rsidRDefault="00361A12" w:rsidP="004545E9">
      <w:pPr>
        <w:pStyle w:val="FootnoteText"/>
        <w:tabs>
          <w:tab w:val="clear" w:pos="1021"/>
          <w:tab w:val="left" w:pos="284"/>
        </w:tabs>
        <w:ind w:left="284" w:hanging="284"/>
        <w:rPr>
          <w:sz w:val="16"/>
          <w:szCs w:val="16"/>
          <w:lang w:val="de-DE"/>
        </w:rPr>
      </w:pPr>
      <w:r>
        <w:rPr>
          <w:rStyle w:val="FootnoteReference"/>
        </w:rPr>
        <w:footnoteRef/>
      </w:r>
      <w:r w:rsidRPr="00447333">
        <w:rPr>
          <w:lang w:val="de-DE"/>
        </w:rPr>
        <w:t xml:space="preserve"> </w:t>
      </w:r>
      <w:r>
        <w:rPr>
          <w:lang w:val="de-DE"/>
        </w:rPr>
        <w:tab/>
      </w:r>
      <w:r w:rsidRPr="00447333">
        <w:rPr>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C9" w:rsidRDefault="00361A12" w:rsidP="0004012A">
    <w:pPr>
      <w:pStyle w:val="Header"/>
      <w:pBdr>
        <w:bottom w:val="none" w:sz="0" w:space="0" w:color="auto"/>
      </w:pBdr>
      <w:rPr>
        <w:rFonts w:ascii="Arial" w:hAnsi="Arial"/>
        <w:b w:val="0"/>
        <w:sz w:val="16"/>
        <w:szCs w:val="16"/>
        <w:lang w:val="en-US"/>
      </w:rPr>
    </w:pPr>
    <w:r w:rsidRPr="00BE68B7">
      <w:rPr>
        <w:rFonts w:ascii="Arial" w:hAnsi="Arial"/>
        <w:b w:val="0"/>
        <w:sz w:val="16"/>
        <w:szCs w:val="16"/>
        <w:lang w:val="en-US"/>
      </w:rPr>
      <w:t>CCNR-ZKR/ADN/WP.15/AC.2/201</w:t>
    </w:r>
    <w:r w:rsidR="000B32A6">
      <w:rPr>
        <w:rFonts w:ascii="Arial" w:hAnsi="Arial"/>
        <w:b w:val="0"/>
        <w:sz w:val="16"/>
        <w:szCs w:val="16"/>
        <w:lang w:val="en-US"/>
      </w:rPr>
      <w:t>7/</w:t>
    </w:r>
    <w:r w:rsidR="00DC2B13">
      <w:rPr>
        <w:rFonts w:ascii="Arial" w:hAnsi="Arial"/>
        <w:b w:val="0"/>
        <w:sz w:val="16"/>
        <w:szCs w:val="16"/>
        <w:lang w:val="en-US"/>
      </w:rPr>
      <w:t>19</w:t>
    </w:r>
  </w:p>
  <w:p w:rsidR="00361A12" w:rsidRPr="008F1455" w:rsidRDefault="00361A12" w:rsidP="0004012A">
    <w:pPr>
      <w:pStyle w:val="Header"/>
      <w:pBdr>
        <w:bottom w:val="none" w:sz="0" w:space="0" w:color="auto"/>
      </w:pBdr>
      <w:rPr>
        <w:rFonts w:ascii="Arial" w:hAnsi="Arial"/>
        <w:b w:val="0"/>
        <w:sz w:val="16"/>
        <w:szCs w:val="16"/>
      </w:rPr>
    </w:pPr>
    <w:proofErr w:type="spellStart"/>
    <w:r>
      <w:rPr>
        <w:rFonts w:ascii="Arial" w:hAnsi="Arial"/>
        <w:b w:val="0"/>
        <w:sz w:val="16"/>
        <w:szCs w:val="16"/>
      </w:rPr>
      <w:t>Seite</w:t>
    </w:r>
    <w:proofErr w:type="spellEnd"/>
    <w:r w:rsidRPr="008F1455">
      <w:rPr>
        <w:rFonts w:ascii="Arial" w:hAnsi="Arial"/>
        <w:b w:val="0"/>
        <w:sz w:val="16"/>
        <w:szCs w:val="16"/>
      </w:rPr>
      <w:t xml:space="preserv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967CC3">
      <w:rPr>
        <w:rFonts w:ascii="Arial" w:hAnsi="Arial"/>
        <w:b w:val="0"/>
        <w:noProof/>
        <w:sz w:val="16"/>
        <w:szCs w:val="16"/>
      </w:rPr>
      <w:t>2</w:t>
    </w:r>
    <w:r w:rsidRPr="008F1455">
      <w:rPr>
        <w:rFonts w:ascii="Arial" w:hAnsi="Arial"/>
        <w:b w:val="0"/>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12" w:rsidRPr="008F1455" w:rsidRDefault="00361A12" w:rsidP="0004012A">
    <w:pPr>
      <w:pStyle w:val="Header"/>
      <w:pBdr>
        <w:bottom w:val="none" w:sz="0" w:space="0" w:color="auto"/>
      </w:pBdr>
      <w:jc w:val="right"/>
      <w:rPr>
        <w:rFonts w:ascii="Arial" w:hAnsi="Arial"/>
        <w:b w:val="0"/>
        <w:sz w:val="16"/>
        <w:szCs w:val="16"/>
        <w:lang w:val="fr-FR"/>
      </w:rPr>
    </w:pPr>
    <w:r w:rsidRPr="008F1455">
      <w:rPr>
        <w:rFonts w:ascii="Arial" w:hAnsi="Arial"/>
        <w:b w:val="0"/>
        <w:sz w:val="16"/>
        <w:szCs w:val="16"/>
        <w:lang w:val="fr-FR"/>
      </w:rPr>
      <w:t>CCNR-ZKR/ADN/WP.15/AC.2/201</w:t>
    </w:r>
    <w:r w:rsidR="00D748D7">
      <w:rPr>
        <w:rFonts w:ascii="Arial" w:hAnsi="Arial"/>
        <w:b w:val="0"/>
        <w:sz w:val="16"/>
        <w:szCs w:val="16"/>
        <w:lang w:val="fr-FR"/>
      </w:rPr>
      <w:t>7/</w:t>
    </w:r>
    <w:r w:rsidR="00DC2B13">
      <w:rPr>
        <w:rFonts w:ascii="Arial" w:hAnsi="Arial"/>
        <w:b w:val="0"/>
        <w:sz w:val="16"/>
        <w:szCs w:val="16"/>
        <w:lang w:val="fr-FR"/>
      </w:rPr>
      <w:t>19</w:t>
    </w:r>
  </w:p>
  <w:p w:rsidR="00361A12" w:rsidRPr="008F1455" w:rsidRDefault="00372808" w:rsidP="0004012A">
    <w:pPr>
      <w:pStyle w:val="Header"/>
      <w:pBdr>
        <w:bottom w:val="none" w:sz="0" w:space="0" w:color="auto"/>
      </w:pBdr>
      <w:jc w:val="right"/>
      <w:rPr>
        <w:rFonts w:ascii="Arial" w:hAnsi="Arial"/>
        <w:b w:val="0"/>
        <w:sz w:val="16"/>
        <w:szCs w:val="16"/>
      </w:rPr>
    </w:pPr>
    <w:proofErr w:type="spellStart"/>
    <w:r>
      <w:rPr>
        <w:rFonts w:ascii="Arial" w:hAnsi="Arial"/>
        <w:b w:val="0"/>
        <w:sz w:val="16"/>
        <w:szCs w:val="16"/>
      </w:rPr>
      <w:t>Seite</w:t>
    </w:r>
    <w:proofErr w:type="spellEnd"/>
    <w:r w:rsidR="00361A12" w:rsidRPr="008F1455">
      <w:rPr>
        <w:rFonts w:ascii="Arial" w:hAnsi="Arial"/>
        <w:b w:val="0"/>
        <w:sz w:val="16"/>
        <w:szCs w:val="16"/>
      </w:rPr>
      <w:t xml:space="preserve"> </w:t>
    </w:r>
    <w:r w:rsidR="00361A12" w:rsidRPr="008F1455">
      <w:rPr>
        <w:rFonts w:ascii="Arial" w:hAnsi="Arial"/>
        <w:b w:val="0"/>
        <w:sz w:val="16"/>
        <w:szCs w:val="16"/>
      </w:rPr>
      <w:fldChar w:fldCharType="begin"/>
    </w:r>
    <w:r w:rsidR="00361A12" w:rsidRPr="008F1455">
      <w:rPr>
        <w:rFonts w:ascii="Arial" w:hAnsi="Arial"/>
        <w:b w:val="0"/>
        <w:sz w:val="16"/>
        <w:szCs w:val="16"/>
      </w:rPr>
      <w:instrText xml:space="preserve"> PAGE  \* MERGEFORMAT </w:instrText>
    </w:r>
    <w:r w:rsidR="00361A12" w:rsidRPr="008F1455">
      <w:rPr>
        <w:rFonts w:ascii="Arial" w:hAnsi="Arial"/>
        <w:b w:val="0"/>
        <w:sz w:val="16"/>
        <w:szCs w:val="16"/>
      </w:rPr>
      <w:fldChar w:fldCharType="separate"/>
    </w:r>
    <w:r w:rsidR="00967CC3">
      <w:rPr>
        <w:rFonts w:ascii="Arial" w:hAnsi="Arial"/>
        <w:b w:val="0"/>
        <w:noProof/>
        <w:sz w:val="16"/>
        <w:szCs w:val="16"/>
      </w:rPr>
      <w:t>3</w:t>
    </w:r>
    <w:r w:rsidR="00361A12" w:rsidRPr="008F1455">
      <w:rPr>
        <w:rFonts w:ascii="Arial" w:hAnsi="Arial"/>
        <w:b w:val="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nsid w:val="39EA16C0"/>
    <w:multiLevelType w:val="hybridMultilevel"/>
    <w:tmpl w:val="BDFAA804"/>
    <w:lvl w:ilvl="0" w:tplc="B00897C4">
      <w:start w:val="1"/>
      <w:numFmt w:val="decimal"/>
      <w:lvlText w:val="%1."/>
      <w:lvlJc w:val="left"/>
      <w:pPr>
        <w:ind w:left="1974" w:hanging="840"/>
      </w:pPr>
      <w:rPr>
        <w:rFonts w:hint="default"/>
        <w:sz w:val="22"/>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5">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7">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9">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1">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2">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4">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5">
    <w:nsid w:val="54E22E6B"/>
    <w:multiLevelType w:val="hybridMultilevel"/>
    <w:tmpl w:val="61FA08C8"/>
    <w:lvl w:ilvl="0" w:tplc="2D3EEBB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7">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8">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3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5">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6">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7">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39">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2"/>
  </w:num>
  <w:num w:numId="4">
    <w:abstractNumId w:val="6"/>
  </w:num>
  <w:num w:numId="5">
    <w:abstractNumId w:val="37"/>
  </w:num>
  <w:num w:numId="6">
    <w:abstractNumId w:val="4"/>
  </w:num>
  <w:num w:numId="7">
    <w:abstractNumId w:val="7"/>
  </w:num>
  <w:num w:numId="8">
    <w:abstractNumId w:val="23"/>
  </w:num>
  <w:num w:numId="9">
    <w:abstractNumId w:val="14"/>
  </w:num>
  <w:num w:numId="10">
    <w:abstractNumId w:val="8"/>
  </w:num>
  <w:num w:numId="11">
    <w:abstractNumId w:val="26"/>
  </w:num>
  <w:num w:numId="12">
    <w:abstractNumId w:val="5"/>
  </w:num>
  <w:num w:numId="13">
    <w:abstractNumId w:val="35"/>
  </w:num>
  <w:num w:numId="14">
    <w:abstractNumId w:val="9"/>
  </w:num>
  <w:num w:numId="15">
    <w:abstractNumId w:val="39"/>
  </w:num>
  <w:num w:numId="16">
    <w:abstractNumId w:val="33"/>
  </w:num>
  <w:num w:numId="17">
    <w:abstractNumId w:val="22"/>
  </w:num>
  <w:num w:numId="18">
    <w:abstractNumId w:val="16"/>
  </w:num>
  <w:num w:numId="19">
    <w:abstractNumId w:val="24"/>
  </w:num>
  <w:num w:numId="20">
    <w:abstractNumId w:val="10"/>
  </w:num>
  <w:num w:numId="21">
    <w:abstractNumId w:val="30"/>
  </w:num>
  <w:num w:numId="22">
    <w:abstractNumId w:val="38"/>
  </w:num>
  <w:num w:numId="23">
    <w:abstractNumId w:val="31"/>
  </w:num>
  <w:num w:numId="24">
    <w:abstractNumId w:val="19"/>
  </w:num>
  <w:num w:numId="25">
    <w:abstractNumId w:val="29"/>
  </w:num>
  <w:num w:numId="26">
    <w:abstractNumId w:val="18"/>
  </w:num>
  <w:num w:numId="27">
    <w:abstractNumId w:val="17"/>
  </w:num>
  <w:num w:numId="28">
    <w:abstractNumId w:val="34"/>
  </w:num>
  <w:num w:numId="29">
    <w:abstractNumId w:val="20"/>
  </w:num>
  <w:num w:numId="30">
    <w:abstractNumId w:val="28"/>
  </w:num>
  <w:num w:numId="31">
    <w:abstractNumId w:val="21"/>
  </w:num>
  <w:num w:numId="32">
    <w:abstractNumId w:val="27"/>
  </w:num>
  <w:num w:numId="33">
    <w:abstractNumId w:val="3"/>
  </w:num>
  <w:num w:numId="34">
    <w:abstractNumId w:val="12"/>
  </w:num>
  <w:num w:numId="35">
    <w:abstractNumId w:val="36"/>
  </w:num>
  <w:num w:numId="36">
    <w:abstractNumId w:val="15"/>
  </w:num>
  <w:num w:numId="37">
    <w:abstractNumId w:val="2"/>
  </w:num>
  <w:num w:numId="38">
    <w:abstractNumId w:val="11"/>
  </w:num>
  <w:num w:numId="39">
    <w:abstractNumId w:val="13"/>
  </w:num>
  <w:num w:numId="40">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1364"/>
    <w:rsid w:val="00001C32"/>
    <w:rsid w:val="000053C5"/>
    <w:rsid w:val="00010CCD"/>
    <w:rsid w:val="00020B06"/>
    <w:rsid w:val="0002116F"/>
    <w:rsid w:val="00024FB3"/>
    <w:rsid w:val="00030C06"/>
    <w:rsid w:val="00031537"/>
    <w:rsid w:val="000355BD"/>
    <w:rsid w:val="00035613"/>
    <w:rsid w:val="00037CC1"/>
    <w:rsid w:val="0004012A"/>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613C"/>
    <w:rsid w:val="000907FA"/>
    <w:rsid w:val="000931C0"/>
    <w:rsid w:val="00095E3D"/>
    <w:rsid w:val="00097767"/>
    <w:rsid w:val="000A0570"/>
    <w:rsid w:val="000A446A"/>
    <w:rsid w:val="000A52E3"/>
    <w:rsid w:val="000B175B"/>
    <w:rsid w:val="000B1C22"/>
    <w:rsid w:val="000B32A6"/>
    <w:rsid w:val="000B3A0F"/>
    <w:rsid w:val="000B5909"/>
    <w:rsid w:val="000B6729"/>
    <w:rsid w:val="000B6B5B"/>
    <w:rsid w:val="000B7ECB"/>
    <w:rsid w:val="000C023D"/>
    <w:rsid w:val="000C038D"/>
    <w:rsid w:val="000C41C9"/>
    <w:rsid w:val="000C4400"/>
    <w:rsid w:val="000C67EE"/>
    <w:rsid w:val="000C7258"/>
    <w:rsid w:val="000D14D1"/>
    <w:rsid w:val="000D1E8D"/>
    <w:rsid w:val="000D4601"/>
    <w:rsid w:val="000D57E8"/>
    <w:rsid w:val="000E0415"/>
    <w:rsid w:val="000E520B"/>
    <w:rsid w:val="000E566D"/>
    <w:rsid w:val="000E7062"/>
    <w:rsid w:val="000E7BD0"/>
    <w:rsid w:val="000F1374"/>
    <w:rsid w:val="000F2981"/>
    <w:rsid w:val="00101C30"/>
    <w:rsid w:val="001025CF"/>
    <w:rsid w:val="001066C5"/>
    <w:rsid w:val="00111C23"/>
    <w:rsid w:val="00113E8D"/>
    <w:rsid w:val="00113FC7"/>
    <w:rsid w:val="00120D79"/>
    <w:rsid w:val="00121B98"/>
    <w:rsid w:val="001220B8"/>
    <w:rsid w:val="00123A7B"/>
    <w:rsid w:val="00126927"/>
    <w:rsid w:val="00131A08"/>
    <w:rsid w:val="0013213F"/>
    <w:rsid w:val="0013574C"/>
    <w:rsid w:val="00135BA5"/>
    <w:rsid w:val="00136129"/>
    <w:rsid w:val="00137A57"/>
    <w:rsid w:val="001422F4"/>
    <w:rsid w:val="001426C0"/>
    <w:rsid w:val="00146FF1"/>
    <w:rsid w:val="001471A5"/>
    <w:rsid w:val="00151BFD"/>
    <w:rsid w:val="00155C78"/>
    <w:rsid w:val="00161846"/>
    <w:rsid w:val="0016237E"/>
    <w:rsid w:val="001628F5"/>
    <w:rsid w:val="00172CF3"/>
    <w:rsid w:val="001730D3"/>
    <w:rsid w:val="0017426A"/>
    <w:rsid w:val="00174EA5"/>
    <w:rsid w:val="001817E0"/>
    <w:rsid w:val="00181A2A"/>
    <w:rsid w:val="00181F1E"/>
    <w:rsid w:val="001870ED"/>
    <w:rsid w:val="00191685"/>
    <w:rsid w:val="00193460"/>
    <w:rsid w:val="001938F0"/>
    <w:rsid w:val="00194E53"/>
    <w:rsid w:val="001A1048"/>
    <w:rsid w:val="001A148C"/>
    <w:rsid w:val="001A2704"/>
    <w:rsid w:val="001A4ED5"/>
    <w:rsid w:val="001B3169"/>
    <w:rsid w:val="001B3934"/>
    <w:rsid w:val="001B4857"/>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1454"/>
    <w:rsid w:val="00211E0B"/>
    <w:rsid w:val="002161C2"/>
    <w:rsid w:val="002165DC"/>
    <w:rsid w:val="00224AA7"/>
    <w:rsid w:val="00225418"/>
    <w:rsid w:val="00231733"/>
    <w:rsid w:val="00236DE8"/>
    <w:rsid w:val="002405A7"/>
    <w:rsid w:val="00242C50"/>
    <w:rsid w:val="00242D7E"/>
    <w:rsid w:val="002478DF"/>
    <w:rsid w:val="00250C0B"/>
    <w:rsid w:val="00250D22"/>
    <w:rsid w:val="00252025"/>
    <w:rsid w:val="00252334"/>
    <w:rsid w:val="00252B1A"/>
    <w:rsid w:val="00256528"/>
    <w:rsid w:val="00256C6B"/>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B431F"/>
    <w:rsid w:val="002B50AC"/>
    <w:rsid w:val="002B7E5F"/>
    <w:rsid w:val="002C017B"/>
    <w:rsid w:val="002C03A7"/>
    <w:rsid w:val="002C2D92"/>
    <w:rsid w:val="002C3A68"/>
    <w:rsid w:val="002C49BA"/>
    <w:rsid w:val="002C59A6"/>
    <w:rsid w:val="002C5B89"/>
    <w:rsid w:val="002C5C89"/>
    <w:rsid w:val="002C6ACD"/>
    <w:rsid w:val="002C7C88"/>
    <w:rsid w:val="002D0E0E"/>
    <w:rsid w:val="002D19AD"/>
    <w:rsid w:val="002D4125"/>
    <w:rsid w:val="002D652F"/>
    <w:rsid w:val="002E0DF2"/>
    <w:rsid w:val="002E0EE4"/>
    <w:rsid w:val="002E1352"/>
    <w:rsid w:val="002F594A"/>
    <w:rsid w:val="00300698"/>
    <w:rsid w:val="00304304"/>
    <w:rsid w:val="003107FA"/>
    <w:rsid w:val="0031437A"/>
    <w:rsid w:val="00314C4D"/>
    <w:rsid w:val="00315F72"/>
    <w:rsid w:val="003229D8"/>
    <w:rsid w:val="00323726"/>
    <w:rsid w:val="00324FA1"/>
    <w:rsid w:val="00326EAB"/>
    <w:rsid w:val="0033023C"/>
    <w:rsid w:val="003317E7"/>
    <w:rsid w:val="00332291"/>
    <w:rsid w:val="00333876"/>
    <w:rsid w:val="0033408B"/>
    <w:rsid w:val="00335A85"/>
    <w:rsid w:val="0033745A"/>
    <w:rsid w:val="00350559"/>
    <w:rsid w:val="00350DE1"/>
    <w:rsid w:val="00354544"/>
    <w:rsid w:val="003545F4"/>
    <w:rsid w:val="00361A12"/>
    <w:rsid w:val="003630AA"/>
    <w:rsid w:val="003632F3"/>
    <w:rsid w:val="003641EF"/>
    <w:rsid w:val="003709C2"/>
    <w:rsid w:val="00370F68"/>
    <w:rsid w:val="00371FB2"/>
    <w:rsid w:val="00372808"/>
    <w:rsid w:val="00375D3A"/>
    <w:rsid w:val="00380A4E"/>
    <w:rsid w:val="003820C5"/>
    <w:rsid w:val="0038591B"/>
    <w:rsid w:val="00385F86"/>
    <w:rsid w:val="0039277A"/>
    <w:rsid w:val="00395B0F"/>
    <w:rsid w:val="00395B51"/>
    <w:rsid w:val="003972E0"/>
    <w:rsid w:val="003A1EBD"/>
    <w:rsid w:val="003A3950"/>
    <w:rsid w:val="003B071E"/>
    <w:rsid w:val="003B0BDF"/>
    <w:rsid w:val="003B1FD7"/>
    <w:rsid w:val="003B3F7F"/>
    <w:rsid w:val="003B4590"/>
    <w:rsid w:val="003B507C"/>
    <w:rsid w:val="003B5C22"/>
    <w:rsid w:val="003B7822"/>
    <w:rsid w:val="003C1867"/>
    <w:rsid w:val="003C2CC4"/>
    <w:rsid w:val="003C2E87"/>
    <w:rsid w:val="003C3936"/>
    <w:rsid w:val="003C5DF2"/>
    <w:rsid w:val="003C70C8"/>
    <w:rsid w:val="003D0F99"/>
    <w:rsid w:val="003D2B8F"/>
    <w:rsid w:val="003D34BE"/>
    <w:rsid w:val="003D3B4A"/>
    <w:rsid w:val="003D4B23"/>
    <w:rsid w:val="003D620D"/>
    <w:rsid w:val="003E11C5"/>
    <w:rsid w:val="003E2153"/>
    <w:rsid w:val="003E34F3"/>
    <w:rsid w:val="003E6688"/>
    <w:rsid w:val="003E7A98"/>
    <w:rsid w:val="003F1ED3"/>
    <w:rsid w:val="003F3B18"/>
    <w:rsid w:val="003F4A0B"/>
    <w:rsid w:val="003F729B"/>
    <w:rsid w:val="003F72C8"/>
    <w:rsid w:val="00400769"/>
    <w:rsid w:val="00403952"/>
    <w:rsid w:val="004049D8"/>
    <w:rsid w:val="00407014"/>
    <w:rsid w:val="004152DA"/>
    <w:rsid w:val="00415889"/>
    <w:rsid w:val="00417E2F"/>
    <w:rsid w:val="00421563"/>
    <w:rsid w:val="00423439"/>
    <w:rsid w:val="00424A17"/>
    <w:rsid w:val="004307E7"/>
    <w:rsid w:val="004316DA"/>
    <w:rsid w:val="004325CB"/>
    <w:rsid w:val="00433C98"/>
    <w:rsid w:val="00434E37"/>
    <w:rsid w:val="00442733"/>
    <w:rsid w:val="00446793"/>
    <w:rsid w:val="00446DE4"/>
    <w:rsid w:val="0044788E"/>
    <w:rsid w:val="0045017B"/>
    <w:rsid w:val="00452BB4"/>
    <w:rsid w:val="004535E7"/>
    <w:rsid w:val="0045394D"/>
    <w:rsid w:val="004545E9"/>
    <w:rsid w:val="0045575E"/>
    <w:rsid w:val="004578CF"/>
    <w:rsid w:val="004644C6"/>
    <w:rsid w:val="00466C98"/>
    <w:rsid w:val="004743AE"/>
    <w:rsid w:val="0047563F"/>
    <w:rsid w:val="004805AE"/>
    <w:rsid w:val="00480BB9"/>
    <w:rsid w:val="00481194"/>
    <w:rsid w:val="00481AC6"/>
    <w:rsid w:val="00481C01"/>
    <w:rsid w:val="004835E7"/>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9D2"/>
    <w:rsid w:val="004B5816"/>
    <w:rsid w:val="004C0580"/>
    <w:rsid w:val="004C5912"/>
    <w:rsid w:val="004C7BD2"/>
    <w:rsid w:val="004D2AF1"/>
    <w:rsid w:val="004D785F"/>
    <w:rsid w:val="004D7A03"/>
    <w:rsid w:val="004E2C8B"/>
    <w:rsid w:val="004E6760"/>
    <w:rsid w:val="004E74FC"/>
    <w:rsid w:val="004F13C8"/>
    <w:rsid w:val="004F17B7"/>
    <w:rsid w:val="004F1BE5"/>
    <w:rsid w:val="004F2C14"/>
    <w:rsid w:val="004F312F"/>
    <w:rsid w:val="004F4FBF"/>
    <w:rsid w:val="004F6071"/>
    <w:rsid w:val="004F750B"/>
    <w:rsid w:val="00501AA2"/>
    <w:rsid w:val="00503228"/>
    <w:rsid w:val="00505384"/>
    <w:rsid w:val="00513283"/>
    <w:rsid w:val="005134CA"/>
    <w:rsid w:val="0051520D"/>
    <w:rsid w:val="0051600A"/>
    <w:rsid w:val="005166F9"/>
    <w:rsid w:val="00516773"/>
    <w:rsid w:val="0052122E"/>
    <w:rsid w:val="00521ECF"/>
    <w:rsid w:val="00526A9F"/>
    <w:rsid w:val="00526E25"/>
    <w:rsid w:val="00527CFD"/>
    <w:rsid w:val="0053266F"/>
    <w:rsid w:val="005337C8"/>
    <w:rsid w:val="00536424"/>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72177"/>
    <w:rsid w:val="00573165"/>
    <w:rsid w:val="00580C8B"/>
    <w:rsid w:val="00580ED5"/>
    <w:rsid w:val="00587F3C"/>
    <w:rsid w:val="00590B15"/>
    <w:rsid w:val="0059380F"/>
    <w:rsid w:val="005A0417"/>
    <w:rsid w:val="005A0851"/>
    <w:rsid w:val="005A1D62"/>
    <w:rsid w:val="005A21DC"/>
    <w:rsid w:val="005A56C5"/>
    <w:rsid w:val="005A5D33"/>
    <w:rsid w:val="005A63C6"/>
    <w:rsid w:val="005B0C72"/>
    <w:rsid w:val="005B353D"/>
    <w:rsid w:val="005B3DB3"/>
    <w:rsid w:val="005B4CE0"/>
    <w:rsid w:val="005C173D"/>
    <w:rsid w:val="005C3653"/>
    <w:rsid w:val="005C6DF8"/>
    <w:rsid w:val="005D3642"/>
    <w:rsid w:val="005D3FE8"/>
    <w:rsid w:val="005D7718"/>
    <w:rsid w:val="005E286B"/>
    <w:rsid w:val="005E7C6F"/>
    <w:rsid w:val="005F2595"/>
    <w:rsid w:val="005F2BD2"/>
    <w:rsid w:val="005F30BB"/>
    <w:rsid w:val="005F3E0D"/>
    <w:rsid w:val="005F4208"/>
    <w:rsid w:val="005F441C"/>
    <w:rsid w:val="005F667A"/>
    <w:rsid w:val="005F6B61"/>
    <w:rsid w:val="005F6E62"/>
    <w:rsid w:val="0060174B"/>
    <w:rsid w:val="00601D72"/>
    <w:rsid w:val="0060248B"/>
    <w:rsid w:val="00603334"/>
    <w:rsid w:val="00603EBA"/>
    <w:rsid w:val="00606CF1"/>
    <w:rsid w:val="00610834"/>
    <w:rsid w:val="00611FC4"/>
    <w:rsid w:val="00617178"/>
    <w:rsid w:val="006176FB"/>
    <w:rsid w:val="0062304B"/>
    <w:rsid w:val="006249FB"/>
    <w:rsid w:val="00626B1C"/>
    <w:rsid w:val="00627ED0"/>
    <w:rsid w:val="00630B7D"/>
    <w:rsid w:val="00631FF4"/>
    <w:rsid w:val="006353A0"/>
    <w:rsid w:val="006364CC"/>
    <w:rsid w:val="00637CA2"/>
    <w:rsid w:val="00640B26"/>
    <w:rsid w:val="00642C2E"/>
    <w:rsid w:val="00644FED"/>
    <w:rsid w:val="0064585E"/>
    <w:rsid w:val="006517B6"/>
    <w:rsid w:val="00651FC8"/>
    <w:rsid w:val="00665595"/>
    <w:rsid w:val="006659D9"/>
    <w:rsid w:val="00665BFA"/>
    <w:rsid w:val="006679D1"/>
    <w:rsid w:val="00673795"/>
    <w:rsid w:val="00676EEB"/>
    <w:rsid w:val="00682DD7"/>
    <w:rsid w:val="0068316E"/>
    <w:rsid w:val="00683296"/>
    <w:rsid w:val="006833A6"/>
    <w:rsid w:val="0068441D"/>
    <w:rsid w:val="00690D91"/>
    <w:rsid w:val="0069157F"/>
    <w:rsid w:val="00692279"/>
    <w:rsid w:val="00695384"/>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380B"/>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473"/>
    <w:rsid w:val="00703780"/>
    <w:rsid w:val="00705359"/>
    <w:rsid w:val="007078D5"/>
    <w:rsid w:val="00707EE3"/>
    <w:rsid w:val="0071009B"/>
    <w:rsid w:val="00710632"/>
    <w:rsid w:val="00710E99"/>
    <w:rsid w:val="00712D44"/>
    <w:rsid w:val="00714AFC"/>
    <w:rsid w:val="00715157"/>
    <w:rsid w:val="00715E93"/>
    <w:rsid w:val="00715F12"/>
    <w:rsid w:val="00717597"/>
    <w:rsid w:val="007177A5"/>
    <w:rsid w:val="00717E9A"/>
    <w:rsid w:val="00720053"/>
    <w:rsid w:val="00722811"/>
    <w:rsid w:val="00723ECD"/>
    <w:rsid w:val="0072632A"/>
    <w:rsid w:val="00726CBE"/>
    <w:rsid w:val="0072750B"/>
    <w:rsid w:val="007309DE"/>
    <w:rsid w:val="0073465B"/>
    <w:rsid w:val="00734C2D"/>
    <w:rsid w:val="00737E85"/>
    <w:rsid w:val="00740176"/>
    <w:rsid w:val="007425B4"/>
    <w:rsid w:val="007431FB"/>
    <w:rsid w:val="00743AA0"/>
    <w:rsid w:val="00744294"/>
    <w:rsid w:val="007502C4"/>
    <w:rsid w:val="0075038C"/>
    <w:rsid w:val="00751197"/>
    <w:rsid w:val="0075241D"/>
    <w:rsid w:val="0075310B"/>
    <w:rsid w:val="0075352F"/>
    <w:rsid w:val="00756A00"/>
    <w:rsid w:val="00757B9F"/>
    <w:rsid w:val="00760E3C"/>
    <w:rsid w:val="00762551"/>
    <w:rsid w:val="0076336D"/>
    <w:rsid w:val="00763D35"/>
    <w:rsid w:val="007668D3"/>
    <w:rsid w:val="00766EC7"/>
    <w:rsid w:val="007674B0"/>
    <w:rsid w:val="0077083D"/>
    <w:rsid w:val="00774068"/>
    <w:rsid w:val="00777BDB"/>
    <w:rsid w:val="007838FF"/>
    <w:rsid w:val="00787CE3"/>
    <w:rsid w:val="00792806"/>
    <w:rsid w:val="007939A6"/>
    <w:rsid w:val="00797065"/>
    <w:rsid w:val="00797099"/>
    <w:rsid w:val="007A01FC"/>
    <w:rsid w:val="007A08D3"/>
    <w:rsid w:val="007A1A3F"/>
    <w:rsid w:val="007A3C01"/>
    <w:rsid w:val="007A3C0B"/>
    <w:rsid w:val="007B64F2"/>
    <w:rsid w:val="007B6BA5"/>
    <w:rsid w:val="007B7B1E"/>
    <w:rsid w:val="007C169B"/>
    <w:rsid w:val="007C3390"/>
    <w:rsid w:val="007C4F4B"/>
    <w:rsid w:val="007C7A4E"/>
    <w:rsid w:val="007D64B1"/>
    <w:rsid w:val="007E2878"/>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2D7"/>
    <w:rsid w:val="008244A4"/>
    <w:rsid w:val="00825A28"/>
    <w:rsid w:val="0082761D"/>
    <w:rsid w:val="00827E05"/>
    <w:rsid w:val="008305E5"/>
    <w:rsid w:val="008311A3"/>
    <w:rsid w:val="008333C7"/>
    <w:rsid w:val="00836A0C"/>
    <w:rsid w:val="00837A3F"/>
    <w:rsid w:val="0084125D"/>
    <w:rsid w:val="00842AFA"/>
    <w:rsid w:val="00842B7B"/>
    <w:rsid w:val="00844584"/>
    <w:rsid w:val="00845E42"/>
    <w:rsid w:val="00853E16"/>
    <w:rsid w:val="0085417D"/>
    <w:rsid w:val="008550E6"/>
    <w:rsid w:val="00861AFA"/>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4FF2"/>
    <w:rsid w:val="00894FF5"/>
    <w:rsid w:val="00896CBD"/>
    <w:rsid w:val="008978BC"/>
    <w:rsid w:val="008979B1"/>
    <w:rsid w:val="008A0994"/>
    <w:rsid w:val="008A1480"/>
    <w:rsid w:val="008A1DFC"/>
    <w:rsid w:val="008A2229"/>
    <w:rsid w:val="008A227E"/>
    <w:rsid w:val="008A31E3"/>
    <w:rsid w:val="008A3F15"/>
    <w:rsid w:val="008A6B25"/>
    <w:rsid w:val="008A6C4F"/>
    <w:rsid w:val="008A7A81"/>
    <w:rsid w:val="008B70D8"/>
    <w:rsid w:val="008C57B1"/>
    <w:rsid w:val="008C78C7"/>
    <w:rsid w:val="008D054A"/>
    <w:rsid w:val="008D3C1D"/>
    <w:rsid w:val="008D4730"/>
    <w:rsid w:val="008D49F6"/>
    <w:rsid w:val="008D5935"/>
    <w:rsid w:val="008E0E46"/>
    <w:rsid w:val="008E58A3"/>
    <w:rsid w:val="008E7D56"/>
    <w:rsid w:val="008F1455"/>
    <w:rsid w:val="008F4E42"/>
    <w:rsid w:val="008F561F"/>
    <w:rsid w:val="008F649A"/>
    <w:rsid w:val="00903497"/>
    <w:rsid w:val="00907AD2"/>
    <w:rsid w:val="009124F2"/>
    <w:rsid w:val="00915860"/>
    <w:rsid w:val="00917C0E"/>
    <w:rsid w:val="00925B30"/>
    <w:rsid w:val="0092768B"/>
    <w:rsid w:val="009316CC"/>
    <w:rsid w:val="00932460"/>
    <w:rsid w:val="00936C2E"/>
    <w:rsid w:val="00936F09"/>
    <w:rsid w:val="009409EC"/>
    <w:rsid w:val="00940A5E"/>
    <w:rsid w:val="00945924"/>
    <w:rsid w:val="009464F5"/>
    <w:rsid w:val="00946B6A"/>
    <w:rsid w:val="00950A26"/>
    <w:rsid w:val="00951A0F"/>
    <w:rsid w:val="00953A54"/>
    <w:rsid w:val="00957E2B"/>
    <w:rsid w:val="00960ED4"/>
    <w:rsid w:val="00962117"/>
    <w:rsid w:val="009624BC"/>
    <w:rsid w:val="00963CBA"/>
    <w:rsid w:val="00965971"/>
    <w:rsid w:val="00965C97"/>
    <w:rsid w:val="00967CC3"/>
    <w:rsid w:val="009725A7"/>
    <w:rsid w:val="00972BAD"/>
    <w:rsid w:val="00974A8D"/>
    <w:rsid w:val="009755CD"/>
    <w:rsid w:val="00977283"/>
    <w:rsid w:val="0098356E"/>
    <w:rsid w:val="00984222"/>
    <w:rsid w:val="009861C7"/>
    <w:rsid w:val="00987B8A"/>
    <w:rsid w:val="00991261"/>
    <w:rsid w:val="00995E83"/>
    <w:rsid w:val="00996B20"/>
    <w:rsid w:val="00997711"/>
    <w:rsid w:val="00997760"/>
    <w:rsid w:val="009A0783"/>
    <w:rsid w:val="009A4DD4"/>
    <w:rsid w:val="009A4E3B"/>
    <w:rsid w:val="009A505F"/>
    <w:rsid w:val="009A54DF"/>
    <w:rsid w:val="009A6FE8"/>
    <w:rsid w:val="009B0335"/>
    <w:rsid w:val="009B45F7"/>
    <w:rsid w:val="009B4CA8"/>
    <w:rsid w:val="009B730A"/>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ED7"/>
    <w:rsid w:val="00A002DC"/>
    <w:rsid w:val="00A01E5A"/>
    <w:rsid w:val="00A0550C"/>
    <w:rsid w:val="00A061AB"/>
    <w:rsid w:val="00A1427D"/>
    <w:rsid w:val="00A143BC"/>
    <w:rsid w:val="00A14774"/>
    <w:rsid w:val="00A177CF"/>
    <w:rsid w:val="00A17830"/>
    <w:rsid w:val="00A2070C"/>
    <w:rsid w:val="00A24105"/>
    <w:rsid w:val="00A2488D"/>
    <w:rsid w:val="00A26CE4"/>
    <w:rsid w:val="00A318FF"/>
    <w:rsid w:val="00A33DF6"/>
    <w:rsid w:val="00A413F7"/>
    <w:rsid w:val="00A42CEA"/>
    <w:rsid w:val="00A478E2"/>
    <w:rsid w:val="00A52F74"/>
    <w:rsid w:val="00A541EA"/>
    <w:rsid w:val="00A55D32"/>
    <w:rsid w:val="00A5718A"/>
    <w:rsid w:val="00A6339F"/>
    <w:rsid w:val="00A6700E"/>
    <w:rsid w:val="00A72F22"/>
    <w:rsid w:val="00A7307A"/>
    <w:rsid w:val="00A742F7"/>
    <w:rsid w:val="00A747E9"/>
    <w:rsid w:val="00A748A6"/>
    <w:rsid w:val="00A816FE"/>
    <w:rsid w:val="00A822B1"/>
    <w:rsid w:val="00A84BE1"/>
    <w:rsid w:val="00A854F0"/>
    <w:rsid w:val="00A879A4"/>
    <w:rsid w:val="00A905CA"/>
    <w:rsid w:val="00A92C14"/>
    <w:rsid w:val="00A92CBA"/>
    <w:rsid w:val="00A93320"/>
    <w:rsid w:val="00A94CE2"/>
    <w:rsid w:val="00A97F13"/>
    <w:rsid w:val="00AA021B"/>
    <w:rsid w:val="00AA17DC"/>
    <w:rsid w:val="00AA2F9E"/>
    <w:rsid w:val="00AA771D"/>
    <w:rsid w:val="00AB3DA4"/>
    <w:rsid w:val="00AB7662"/>
    <w:rsid w:val="00AB7676"/>
    <w:rsid w:val="00AC1316"/>
    <w:rsid w:val="00AC2900"/>
    <w:rsid w:val="00AC6F63"/>
    <w:rsid w:val="00AC76F5"/>
    <w:rsid w:val="00AD7888"/>
    <w:rsid w:val="00AE20DC"/>
    <w:rsid w:val="00AE55CE"/>
    <w:rsid w:val="00AE7A4A"/>
    <w:rsid w:val="00AF2B04"/>
    <w:rsid w:val="00AF6613"/>
    <w:rsid w:val="00AF685C"/>
    <w:rsid w:val="00B0077F"/>
    <w:rsid w:val="00B0164B"/>
    <w:rsid w:val="00B03A46"/>
    <w:rsid w:val="00B11FD2"/>
    <w:rsid w:val="00B12E63"/>
    <w:rsid w:val="00B146F4"/>
    <w:rsid w:val="00B24BA5"/>
    <w:rsid w:val="00B24D69"/>
    <w:rsid w:val="00B27444"/>
    <w:rsid w:val="00B30040"/>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6400"/>
    <w:rsid w:val="00B66AC9"/>
    <w:rsid w:val="00B72BAF"/>
    <w:rsid w:val="00B75DBE"/>
    <w:rsid w:val="00B81E12"/>
    <w:rsid w:val="00B83813"/>
    <w:rsid w:val="00B83C81"/>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B5567"/>
    <w:rsid w:val="00BC027E"/>
    <w:rsid w:val="00BC73EE"/>
    <w:rsid w:val="00BC74E9"/>
    <w:rsid w:val="00BC775C"/>
    <w:rsid w:val="00BD1D9F"/>
    <w:rsid w:val="00BD2146"/>
    <w:rsid w:val="00BD2427"/>
    <w:rsid w:val="00BD7264"/>
    <w:rsid w:val="00BE07FE"/>
    <w:rsid w:val="00BE2319"/>
    <w:rsid w:val="00BE2713"/>
    <w:rsid w:val="00BE4F74"/>
    <w:rsid w:val="00BE618E"/>
    <w:rsid w:val="00BE68B7"/>
    <w:rsid w:val="00BF25C2"/>
    <w:rsid w:val="00C0023D"/>
    <w:rsid w:val="00C024CD"/>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49C"/>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3511"/>
    <w:rsid w:val="00CC4E3B"/>
    <w:rsid w:val="00CC6C36"/>
    <w:rsid w:val="00CD0AB3"/>
    <w:rsid w:val="00CD403A"/>
    <w:rsid w:val="00CD6B2E"/>
    <w:rsid w:val="00CD7454"/>
    <w:rsid w:val="00CE01C0"/>
    <w:rsid w:val="00CE497F"/>
    <w:rsid w:val="00CE4A8F"/>
    <w:rsid w:val="00CE4B5A"/>
    <w:rsid w:val="00CE4D7C"/>
    <w:rsid w:val="00CE6550"/>
    <w:rsid w:val="00CF36F3"/>
    <w:rsid w:val="00CF37F3"/>
    <w:rsid w:val="00CF3CB7"/>
    <w:rsid w:val="00CF5BB0"/>
    <w:rsid w:val="00D00450"/>
    <w:rsid w:val="00D0058E"/>
    <w:rsid w:val="00D008A3"/>
    <w:rsid w:val="00D01E98"/>
    <w:rsid w:val="00D04BA4"/>
    <w:rsid w:val="00D04E81"/>
    <w:rsid w:val="00D073C6"/>
    <w:rsid w:val="00D121B6"/>
    <w:rsid w:val="00D1389C"/>
    <w:rsid w:val="00D1425B"/>
    <w:rsid w:val="00D164DD"/>
    <w:rsid w:val="00D2031B"/>
    <w:rsid w:val="00D25388"/>
    <w:rsid w:val="00D25FE2"/>
    <w:rsid w:val="00D26929"/>
    <w:rsid w:val="00D27576"/>
    <w:rsid w:val="00D30977"/>
    <w:rsid w:val="00D317BB"/>
    <w:rsid w:val="00D33328"/>
    <w:rsid w:val="00D352CB"/>
    <w:rsid w:val="00D369D8"/>
    <w:rsid w:val="00D43252"/>
    <w:rsid w:val="00D45D0A"/>
    <w:rsid w:val="00D46B40"/>
    <w:rsid w:val="00D55857"/>
    <w:rsid w:val="00D60CDC"/>
    <w:rsid w:val="00D6389B"/>
    <w:rsid w:val="00D66BBC"/>
    <w:rsid w:val="00D71B47"/>
    <w:rsid w:val="00D72DE1"/>
    <w:rsid w:val="00D748D7"/>
    <w:rsid w:val="00D85458"/>
    <w:rsid w:val="00D96269"/>
    <w:rsid w:val="00D978C6"/>
    <w:rsid w:val="00D97FD0"/>
    <w:rsid w:val="00DA3C6C"/>
    <w:rsid w:val="00DA5A0F"/>
    <w:rsid w:val="00DA67AD"/>
    <w:rsid w:val="00DA6D4E"/>
    <w:rsid w:val="00DB06D2"/>
    <w:rsid w:val="00DB2042"/>
    <w:rsid w:val="00DB2A63"/>
    <w:rsid w:val="00DB4C2A"/>
    <w:rsid w:val="00DB5D0F"/>
    <w:rsid w:val="00DC2B13"/>
    <w:rsid w:val="00DC59B0"/>
    <w:rsid w:val="00DC6021"/>
    <w:rsid w:val="00DC7AF7"/>
    <w:rsid w:val="00DD415F"/>
    <w:rsid w:val="00DE32AC"/>
    <w:rsid w:val="00DE3411"/>
    <w:rsid w:val="00DE4FE4"/>
    <w:rsid w:val="00DF0592"/>
    <w:rsid w:val="00DF12F7"/>
    <w:rsid w:val="00DF1747"/>
    <w:rsid w:val="00DF3292"/>
    <w:rsid w:val="00DF44B5"/>
    <w:rsid w:val="00DF495E"/>
    <w:rsid w:val="00DF6806"/>
    <w:rsid w:val="00E01A8F"/>
    <w:rsid w:val="00E02C81"/>
    <w:rsid w:val="00E02CC8"/>
    <w:rsid w:val="00E059FC"/>
    <w:rsid w:val="00E0797D"/>
    <w:rsid w:val="00E07B4D"/>
    <w:rsid w:val="00E12376"/>
    <w:rsid w:val="00E130AB"/>
    <w:rsid w:val="00E131BB"/>
    <w:rsid w:val="00E144BF"/>
    <w:rsid w:val="00E14F86"/>
    <w:rsid w:val="00E15501"/>
    <w:rsid w:val="00E15DC9"/>
    <w:rsid w:val="00E15DF0"/>
    <w:rsid w:val="00E23CAD"/>
    <w:rsid w:val="00E27CED"/>
    <w:rsid w:val="00E322B5"/>
    <w:rsid w:val="00E330C1"/>
    <w:rsid w:val="00E345CE"/>
    <w:rsid w:val="00E3617C"/>
    <w:rsid w:val="00E363D6"/>
    <w:rsid w:val="00E37B82"/>
    <w:rsid w:val="00E41CFE"/>
    <w:rsid w:val="00E43F71"/>
    <w:rsid w:val="00E46597"/>
    <w:rsid w:val="00E47898"/>
    <w:rsid w:val="00E53AC3"/>
    <w:rsid w:val="00E55279"/>
    <w:rsid w:val="00E66F5C"/>
    <w:rsid w:val="00E7260F"/>
    <w:rsid w:val="00E773CD"/>
    <w:rsid w:val="00E819ED"/>
    <w:rsid w:val="00E842CE"/>
    <w:rsid w:val="00E847C3"/>
    <w:rsid w:val="00E87921"/>
    <w:rsid w:val="00E913FD"/>
    <w:rsid w:val="00E92905"/>
    <w:rsid w:val="00E951FE"/>
    <w:rsid w:val="00E96630"/>
    <w:rsid w:val="00E96675"/>
    <w:rsid w:val="00EA264E"/>
    <w:rsid w:val="00EB247C"/>
    <w:rsid w:val="00EB504F"/>
    <w:rsid w:val="00EB6BAC"/>
    <w:rsid w:val="00EC1665"/>
    <w:rsid w:val="00EC2F56"/>
    <w:rsid w:val="00EC54BA"/>
    <w:rsid w:val="00EC67F7"/>
    <w:rsid w:val="00ED095F"/>
    <w:rsid w:val="00ED5D98"/>
    <w:rsid w:val="00ED621D"/>
    <w:rsid w:val="00ED7A2A"/>
    <w:rsid w:val="00EE17D9"/>
    <w:rsid w:val="00EE4A3B"/>
    <w:rsid w:val="00EE5AF8"/>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4197"/>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F1C57"/>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13121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64AB-3B8B-45DF-BEF7-092EDCA8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0</TotalTime>
  <Pages>3</Pages>
  <Words>759</Words>
  <Characters>4691</Characters>
  <Application>Microsoft Office Word</Application>
  <DocSecurity>0</DocSecurity>
  <Lines>39</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ECE-ADN-36-Add.1</cp:lastModifiedBy>
  <cp:revision>2</cp:revision>
  <cp:lastPrinted>2017-05-31T06:29:00Z</cp:lastPrinted>
  <dcterms:created xsi:type="dcterms:W3CDTF">2017-05-31T07:31:00Z</dcterms:created>
  <dcterms:modified xsi:type="dcterms:W3CDTF">2017-05-31T07:31:00Z</dcterms:modified>
</cp:coreProperties>
</file>